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footer8.xml" ContentType="application/vnd.openxmlformats-officedocument.wordprocessingml.footer+xml"/>
  <Override PartName="/word/header29.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10.xml" ContentType="application/vnd.openxmlformats-officedocument.wordprocessingml.footer+xml"/>
  <Override PartName="/word/header31.xml" ContentType="application/vnd.openxmlformats-officedocument.wordprocessingml.header+xml"/>
  <Override PartName="/word/footer11.xml" ContentType="application/vnd.openxmlformats-officedocument.wordprocessingml.foot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footer13.xml" ContentType="application/vnd.openxmlformats-officedocument.wordprocessingml.footer+xml"/>
  <Override PartName="/word/header34.xml" ContentType="application/vnd.openxmlformats-officedocument.wordprocessingml.header+xml"/>
  <Override PartName="/word/footer14.xml" ContentType="application/vnd.openxmlformats-officedocument.wordprocessingml.footer+xml"/>
  <Override PartName="/word/header35.xml" ContentType="application/vnd.openxmlformats-officedocument.wordprocessingml.header+xml"/>
  <Override PartName="/word/footer15.xml" ContentType="application/vnd.openxmlformats-officedocument.wordprocessingml.footer+xml"/>
  <Override PartName="/word/header36.xml" ContentType="application/vnd.openxmlformats-officedocument.wordprocessingml.header+xml"/>
  <Override PartName="/word/footer16.xml" ContentType="application/vnd.openxmlformats-officedocument.wordprocessingml.footer+xml"/>
  <Override PartName="/word/header37.xml" ContentType="application/vnd.openxmlformats-officedocument.wordprocessingml.header+xml"/>
  <Override PartName="/word/footer17.xml" ContentType="application/vnd.openxmlformats-officedocument.wordprocessingml.footer+xml"/>
  <Override PartName="/word/header38.xml" ContentType="application/vnd.openxmlformats-officedocument.wordprocessingml.header+xml"/>
  <Override PartName="/word/footer18.xml" ContentType="application/vnd.openxmlformats-officedocument.wordprocessingml.footer+xml"/>
  <Override PartName="/word/header39.xml" ContentType="application/vnd.openxmlformats-officedocument.wordprocessingml.header+xml"/>
  <Override PartName="/word/footer19.xml" ContentType="application/vnd.openxmlformats-officedocument.wordprocessingml.footer+xml"/>
  <Override PartName="/word/header40.xml" ContentType="application/vnd.openxmlformats-officedocument.wordprocessingml.header+xml"/>
  <Override PartName="/word/footer20.xml" ContentType="application/vnd.openxmlformats-officedocument.wordprocessingml.footer+xml"/>
  <Override PartName="/word/header41.xml" ContentType="application/vnd.openxmlformats-officedocument.wordprocessingml.header+xml"/>
  <Override PartName="/word/footer21.xml" ContentType="application/vnd.openxmlformats-officedocument.wordprocessingml.footer+xml"/>
  <Override PartName="/word/header42.xml" ContentType="application/vnd.openxmlformats-officedocument.wordprocessingml.header+xml"/>
  <Override PartName="/word/footer22.xml" ContentType="application/vnd.openxmlformats-officedocument.wordprocessingml.footer+xml"/>
  <Override PartName="/word/header43.xml" ContentType="application/vnd.openxmlformats-officedocument.wordprocessingml.header+xml"/>
  <Override PartName="/word/footer23.xml" ContentType="application/vnd.openxmlformats-officedocument.wordprocessingml.footer+xml"/>
  <Override PartName="/word/header44.xml" ContentType="application/vnd.openxmlformats-officedocument.wordprocessingml.head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spacing w:line="674" w:lineRule="exact" w:before="7"/>
        <w:ind w:left="1924" w:right="1919" w:hanging="3"/>
        <w:jc w:val="center"/>
        <w:rPr>
          <w:rFonts w:ascii="黑体" w:hAnsi="黑体" w:cs="黑体" w:eastAsia="黑体" w:hint="default"/>
          <w:sz w:val="52"/>
          <w:szCs w:val="52"/>
        </w:rPr>
      </w:pPr>
      <w:bookmarkStart w:name="600100_2008_n.pdf" w:id="1"/>
      <w:bookmarkEnd w:id="1"/>
      <w:r>
        <w:rPr/>
      </w:r>
      <w:r>
        <w:rPr>
          <w:rFonts w:ascii="黑体" w:hAnsi="黑体" w:cs="黑体" w:eastAsia="黑体" w:hint="default"/>
          <w:b/>
          <w:bCs/>
          <w:color w:val="FF0000"/>
          <w:sz w:val="52"/>
          <w:szCs w:val="52"/>
        </w:rPr>
        <w:t>同方股份有限公司</w:t>
      </w:r>
      <w:r>
        <w:rPr>
          <w:rFonts w:ascii="黑体" w:hAnsi="黑体" w:cs="黑体" w:eastAsia="黑体" w:hint="default"/>
          <w:b/>
          <w:bCs/>
          <w:color w:val="FF0000"/>
          <w:spacing w:val="2"/>
          <w:w w:val="99"/>
          <w:sz w:val="52"/>
          <w:szCs w:val="52"/>
        </w:rPr>
        <w:t> </w:t>
      </w:r>
      <w:r>
        <w:rPr>
          <w:rFonts w:ascii="黑体" w:hAnsi="黑体" w:cs="黑体" w:eastAsia="黑体" w:hint="default"/>
          <w:b/>
          <w:bCs/>
          <w:color w:val="FF0000"/>
          <w:sz w:val="52"/>
          <w:szCs w:val="52"/>
        </w:rPr>
        <w:t>二零零八年年度报告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2"/>
        <w:rPr>
          <w:rFonts w:ascii="黑体" w:hAnsi="黑体" w:cs="黑体" w:eastAsia="黑体" w:hint="default"/>
          <w:b/>
          <w:bCs/>
          <w:sz w:val="50"/>
          <w:szCs w:val="50"/>
        </w:rPr>
      </w:pPr>
    </w:p>
    <w:p>
      <w:pPr>
        <w:spacing w:before="0"/>
        <w:ind w:left="2472" w:right="2471" w:firstLine="0"/>
        <w:jc w:val="center"/>
        <w:rPr>
          <w:rFonts w:ascii="黑体" w:hAnsi="黑体" w:cs="黑体" w:eastAsia="黑体" w:hint="default"/>
          <w:sz w:val="36"/>
          <w:szCs w:val="36"/>
        </w:rPr>
      </w:pPr>
      <w:r>
        <w:rPr>
          <w:rFonts w:ascii="黑体" w:hAnsi="黑体" w:cs="黑体" w:eastAsia="黑体" w:hint="default"/>
          <w:b/>
          <w:bCs/>
          <w:color w:val="FF0000"/>
          <w:sz w:val="36"/>
          <w:szCs w:val="36"/>
        </w:rPr>
        <w:t>同方股份有限公司</w:t>
      </w:r>
      <w:r>
        <w:rPr>
          <w:rFonts w:ascii="黑体" w:hAnsi="黑体" w:cs="黑体" w:eastAsia="黑体" w:hint="default"/>
          <w:sz w:val="36"/>
          <w:szCs w:val="36"/>
        </w:rPr>
      </w:r>
    </w:p>
    <w:p>
      <w:pPr>
        <w:spacing w:before="5"/>
        <w:ind w:left="2472" w:right="2471" w:firstLine="0"/>
        <w:jc w:val="center"/>
        <w:rPr>
          <w:rFonts w:ascii="黑体" w:hAnsi="黑体" w:cs="黑体" w:eastAsia="黑体" w:hint="default"/>
          <w:sz w:val="28"/>
          <w:szCs w:val="28"/>
        </w:rPr>
      </w:pPr>
      <w:r>
        <w:rPr>
          <w:rFonts w:ascii="黑体" w:hAnsi="黑体" w:cs="黑体" w:eastAsia="黑体" w:hint="default"/>
          <w:color w:val="FF0000"/>
          <w:sz w:val="28"/>
          <w:szCs w:val="28"/>
        </w:rPr>
        <w:t>印制时间：2009</w:t>
      </w:r>
      <w:r>
        <w:rPr>
          <w:rFonts w:ascii="黑体" w:hAnsi="黑体" w:cs="黑体" w:eastAsia="黑体" w:hint="default"/>
          <w:color w:val="FF0000"/>
          <w:spacing w:val="-73"/>
          <w:sz w:val="28"/>
          <w:szCs w:val="28"/>
        </w:rPr>
        <w:t> </w:t>
      </w:r>
      <w:r>
        <w:rPr>
          <w:rFonts w:ascii="黑体" w:hAnsi="黑体" w:cs="黑体" w:eastAsia="黑体" w:hint="default"/>
          <w:color w:val="FF0000"/>
          <w:sz w:val="28"/>
          <w:szCs w:val="28"/>
        </w:rPr>
        <w:t>年</w:t>
      </w:r>
      <w:r>
        <w:rPr>
          <w:rFonts w:ascii="黑体" w:hAnsi="黑体" w:cs="黑体" w:eastAsia="黑体" w:hint="default"/>
          <w:color w:val="FF0000"/>
          <w:spacing w:val="-72"/>
          <w:sz w:val="28"/>
          <w:szCs w:val="28"/>
        </w:rPr>
        <w:t> </w:t>
      </w:r>
      <w:r>
        <w:rPr>
          <w:rFonts w:ascii="黑体" w:hAnsi="黑体" w:cs="黑体" w:eastAsia="黑体" w:hint="default"/>
          <w:color w:val="FF0000"/>
          <w:sz w:val="28"/>
          <w:szCs w:val="28"/>
        </w:rPr>
        <w:t>4</w:t>
      </w:r>
      <w:r>
        <w:rPr>
          <w:rFonts w:ascii="黑体" w:hAnsi="黑体" w:cs="黑体" w:eastAsia="黑体" w:hint="default"/>
          <w:color w:val="FF0000"/>
          <w:spacing w:val="-71"/>
          <w:sz w:val="28"/>
          <w:szCs w:val="28"/>
        </w:rPr>
        <w:t> </w:t>
      </w:r>
      <w:r>
        <w:rPr>
          <w:rFonts w:ascii="黑体" w:hAnsi="黑体" w:cs="黑体" w:eastAsia="黑体" w:hint="default"/>
          <w:color w:val="FF0000"/>
          <w:sz w:val="28"/>
          <w:szCs w:val="28"/>
        </w:rPr>
        <w:t>月</w:t>
      </w:r>
      <w:r>
        <w:rPr>
          <w:rFonts w:ascii="黑体" w:hAnsi="黑体" w:cs="黑体" w:eastAsia="黑体" w:hint="default"/>
          <w:color w:val="FF0000"/>
          <w:spacing w:val="-72"/>
          <w:sz w:val="28"/>
          <w:szCs w:val="28"/>
        </w:rPr>
        <w:t> </w:t>
      </w:r>
      <w:r>
        <w:rPr>
          <w:rFonts w:ascii="黑体" w:hAnsi="黑体" w:cs="黑体" w:eastAsia="黑体" w:hint="default"/>
          <w:color w:val="FF0000"/>
          <w:sz w:val="28"/>
          <w:szCs w:val="28"/>
        </w:rPr>
        <w:t>18</w:t>
      </w:r>
      <w:r>
        <w:rPr>
          <w:rFonts w:ascii="黑体" w:hAnsi="黑体" w:cs="黑体" w:eastAsia="黑体" w:hint="default"/>
          <w:color w:val="FF0000"/>
          <w:spacing w:val="-71"/>
          <w:sz w:val="28"/>
          <w:szCs w:val="28"/>
        </w:rPr>
        <w:t> </w:t>
      </w:r>
      <w:r>
        <w:rPr>
          <w:rFonts w:ascii="黑体" w:hAnsi="黑体" w:cs="黑体" w:eastAsia="黑体" w:hint="default"/>
          <w:color w:val="FF0000"/>
          <w:sz w:val="28"/>
          <w:szCs w:val="28"/>
        </w:rPr>
        <w:t>日</w:t>
      </w:r>
      <w:r>
        <w:rPr>
          <w:rFonts w:ascii="黑体" w:hAnsi="黑体" w:cs="黑体" w:eastAsia="黑体" w:hint="default"/>
          <w:sz w:val="28"/>
          <w:szCs w:val="28"/>
        </w:rPr>
      </w:r>
    </w:p>
    <w:p>
      <w:pPr>
        <w:spacing w:after="0"/>
        <w:jc w:val="center"/>
        <w:rPr>
          <w:rFonts w:ascii="黑体" w:hAnsi="黑体" w:cs="黑体" w:eastAsia="黑体" w:hint="default"/>
          <w:sz w:val="28"/>
          <w:szCs w:val="28"/>
        </w:rPr>
        <w:sectPr>
          <w:type w:val="continuous"/>
          <w:pgSz w:w="1191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8"/>
          <w:szCs w:val="28"/>
        </w:rPr>
      </w:pPr>
    </w:p>
    <w:p>
      <w:pPr>
        <w:spacing w:line="674" w:lineRule="exact" w:before="7"/>
        <w:ind w:left="1932" w:right="2292" w:firstLine="260"/>
        <w:jc w:val="left"/>
        <w:rPr>
          <w:rFonts w:ascii="黑体" w:hAnsi="黑体" w:cs="黑体" w:eastAsia="黑体" w:hint="default"/>
          <w:sz w:val="52"/>
          <w:szCs w:val="52"/>
        </w:rPr>
      </w:pPr>
      <w:r>
        <w:rPr>
          <w:rFonts w:ascii="黑体" w:hAnsi="黑体" w:cs="黑体" w:eastAsia="黑体" w:hint="default"/>
          <w:sz w:val="52"/>
          <w:szCs w:val="52"/>
        </w:rPr>
        <w:t>同方股份有限公司</w:t>
      </w:r>
      <w:r>
        <w:rPr>
          <w:rFonts w:ascii="黑体" w:hAnsi="黑体" w:cs="黑体" w:eastAsia="黑体" w:hint="default"/>
          <w:w w:val="99"/>
          <w:sz w:val="52"/>
          <w:szCs w:val="52"/>
        </w:rPr>
        <w:t> </w:t>
      </w:r>
      <w:r>
        <w:rPr>
          <w:rFonts w:ascii="黑体" w:hAnsi="黑体" w:cs="黑体" w:eastAsia="黑体" w:hint="default"/>
          <w:sz w:val="52"/>
          <w:szCs w:val="52"/>
        </w:rPr>
        <w:t>二零零八年年度报告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373"/>
        <w:ind w:left="5567" w:right="107" w:firstLine="0"/>
        <w:jc w:val="left"/>
        <w:rPr>
          <w:rFonts w:ascii="黑体" w:hAnsi="黑体" w:cs="黑体" w:eastAsia="黑体" w:hint="default"/>
          <w:sz w:val="36"/>
          <w:szCs w:val="36"/>
        </w:rPr>
      </w:pPr>
      <w:r>
        <w:rPr/>
        <w:pict>
          <v:shape style="position:absolute;margin-left:430.919983pt;margin-top:48.595497pt;width:80.999985pt;height:54.720001pt;mso-position-horizontal-relative:page;mso-position-vertical-relative:paragraph;z-index:-900424" type="#_x0000_t75" stroked="false">
            <v:imagedata r:id="rId5" o:title=""/>
          </v:shape>
        </w:pict>
      </w:r>
      <w:r>
        <w:rPr>
          <w:rFonts w:ascii="黑体" w:hAnsi="黑体" w:cs="黑体" w:eastAsia="黑体" w:hint="default"/>
          <w:sz w:val="36"/>
          <w:szCs w:val="36"/>
        </w:rPr>
        <w:t>同方股份有限公司</w:t>
      </w:r>
    </w:p>
    <w:p>
      <w:pPr>
        <w:spacing w:line="240" w:lineRule="auto" w:before="8"/>
        <w:rPr>
          <w:rFonts w:ascii="黑体" w:hAnsi="黑体" w:cs="黑体" w:eastAsia="黑体" w:hint="default"/>
          <w:sz w:val="35"/>
          <w:szCs w:val="35"/>
        </w:rPr>
      </w:pPr>
    </w:p>
    <w:p>
      <w:pPr>
        <w:spacing w:line="712" w:lineRule="auto" w:before="0"/>
        <w:ind w:left="5607" w:right="107" w:hanging="151"/>
        <w:jc w:val="left"/>
        <w:rPr>
          <w:rFonts w:ascii="黑体" w:hAnsi="黑体" w:cs="黑体" w:eastAsia="黑体" w:hint="default"/>
          <w:sz w:val="32"/>
          <w:szCs w:val="32"/>
        </w:rPr>
      </w:pPr>
      <w:r>
        <w:rPr>
          <w:rFonts w:ascii="黑体" w:hAnsi="黑体" w:cs="黑体" w:eastAsia="黑体" w:hint="default"/>
          <w:sz w:val="32"/>
          <w:szCs w:val="32"/>
        </w:rPr>
        <w:t>董事长：</w:t>
      </w:r>
      <w:r>
        <w:rPr>
          <w:rFonts w:ascii="黑体" w:hAnsi="黑体" w:cs="黑体" w:eastAsia="黑体" w:hint="default"/>
          <w:spacing w:val="-1"/>
          <w:w w:val="100"/>
          <w:sz w:val="32"/>
          <w:szCs w:val="32"/>
        </w:rPr>
        <w:t> </w:t>
      </w:r>
      <w:r>
        <w:rPr>
          <w:rFonts w:ascii="黑体" w:hAnsi="黑体" w:cs="黑体" w:eastAsia="黑体" w:hint="default"/>
          <w:spacing w:val="-1"/>
          <w:sz w:val="32"/>
          <w:szCs w:val="32"/>
        </w:rPr>
        <w:t>二零零九年四月十八日</w:t>
      </w:r>
      <w:r>
        <w:rPr>
          <w:rFonts w:ascii="黑体" w:hAnsi="黑体" w:cs="黑体" w:eastAsia="黑体" w:hint="default"/>
          <w:sz w:val="32"/>
          <w:szCs w:val="32"/>
        </w:rPr>
      </w:r>
    </w:p>
    <w:p>
      <w:pPr>
        <w:spacing w:after="0" w:line="712" w:lineRule="auto"/>
        <w:jc w:val="left"/>
        <w:rPr>
          <w:rFonts w:ascii="黑体" w:hAnsi="黑体" w:cs="黑体" w:eastAsia="黑体" w:hint="default"/>
          <w:sz w:val="32"/>
          <w:szCs w:val="32"/>
        </w:rPr>
        <w:sectPr>
          <w:pgSz w:w="11910" w:h="16840"/>
          <w:pgMar w:top="1600" w:bottom="280" w:left="1680" w:right="13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before="121"/>
        <w:ind w:left="3752" w:right="3751" w:firstLine="0"/>
        <w:jc w:val="center"/>
        <w:rPr>
          <w:rFonts w:ascii="黑体" w:hAnsi="黑体" w:cs="黑体" w:eastAsia="黑体" w:hint="default"/>
          <w:sz w:val="44"/>
          <w:szCs w:val="44"/>
        </w:rPr>
      </w:pPr>
      <w:r>
        <w:rPr>
          <w:rFonts w:ascii="黑体" w:hAnsi="黑体" w:cs="黑体" w:eastAsia="黑体" w:hint="default"/>
          <w:sz w:val="44"/>
          <w:szCs w:val="44"/>
        </w:rPr>
        <w:t>重要提示</w:t>
      </w:r>
    </w:p>
    <w:p>
      <w:pPr>
        <w:spacing w:line="240" w:lineRule="auto" w:before="0"/>
        <w:rPr>
          <w:rFonts w:ascii="黑体" w:hAnsi="黑体" w:cs="黑体" w:eastAsia="黑体" w:hint="default"/>
          <w:sz w:val="44"/>
          <w:szCs w:val="44"/>
        </w:rPr>
      </w:pPr>
    </w:p>
    <w:p>
      <w:pPr>
        <w:spacing w:line="240" w:lineRule="auto" w:before="8"/>
        <w:rPr>
          <w:rFonts w:ascii="黑体" w:hAnsi="黑体" w:cs="黑体" w:eastAsia="黑体" w:hint="default"/>
          <w:sz w:val="41"/>
          <w:szCs w:val="41"/>
        </w:rPr>
      </w:pPr>
    </w:p>
    <w:p>
      <w:pPr>
        <w:pStyle w:val="BodyText"/>
        <w:spacing w:line="237" w:lineRule="auto"/>
        <w:ind w:left="118" w:right="114" w:firstLine="480"/>
        <w:jc w:val="both"/>
      </w:pPr>
      <w:r>
        <w:rPr>
          <w:spacing w:val="-2"/>
        </w:rPr>
        <w:t>本公司董事会、监事会及董事、监事、高级管理人员保证本报告所载资料不存在任</w:t>
      </w:r>
      <w:r>
        <w:rPr/>
        <w:t> </w:t>
      </w:r>
      <w:r>
        <w:rPr>
          <w:spacing w:val="-2"/>
        </w:rPr>
        <w:t>何虚假记载、误导性陈述或者重大遗漏，并对其内容的真实性、准确性和完整性负个别</w:t>
      </w:r>
      <w:r>
        <w:rPr>
          <w:spacing w:val="-95"/>
        </w:rPr>
        <w:t> </w:t>
      </w:r>
      <w:r>
        <w:rPr>
          <w:spacing w:val="-95"/>
        </w:rPr>
      </w:r>
      <w:r>
        <w:rPr/>
        <w:t>及连带责任。</w:t>
      </w:r>
    </w:p>
    <w:p>
      <w:pPr>
        <w:spacing w:line="240" w:lineRule="auto" w:before="1"/>
        <w:rPr>
          <w:rFonts w:ascii="宋体" w:hAnsi="宋体" w:cs="宋体" w:eastAsia="宋体" w:hint="default"/>
          <w:sz w:val="26"/>
          <w:szCs w:val="26"/>
        </w:rPr>
      </w:pPr>
    </w:p>
    <w:p>
      <w:pPr>
        <w:pStyle w:val="BodyText"/>
        <w:spacing w:line="310" w:lineRule="exact"/>
        <w:ind w:left="118" w:right="114" w:firstLine="480"/>
        <w:jc w:val="both"/>
      </w:pPr>
      <w:r>
        <w:rPr>
          <w:spacing w:val="-2"/>
        </w:rPr>
        <w:t>本公司负责人董事长荣泳霖先生、总裁陆致成先生、主管会计工作负责人副总裁孙</w:t>
      </w:r>
      <w:r>
        <w:rPr/>
        <w:t> 岷先生、会计机构负责人甘朝晖女士声明：保证年度报告中财务报告的真实、完整。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spacing w:line="364" w:lineRule="exact" w:before="0"/>
        <w:ind w:left="0" w:right="114" w:firstLine="0"/>
        <w:jc w:val="right"/>
        <w:rPr>
          <w:rFonts w:ascii="黑体" w:hAnsi="黑体" w:cs="黑体" w:eastAsia="黑体" w:hint="default"/>
          <w:sz w:val="28"/>
          <w:szCs w:val="28"/>
        </w:rPr>
      </w:pPr>
      <w:r>
        <w:rPr>
          <w:rFonts w:ascii="黑体" w:hAnsi="黑体" w:cs="黑体" w:eastAsia="黑体" w:hint="default"/>
          <w:w w:val="95"/>
          <w:sz w:val="28"/>
          <w:szCs w:val="28"/>
        </w:rPr>
        <w:t>同方股份有限公司</w:t>
      </w:r>
      <w:r>
        <w:rPr>
          <w:rFonts w:ascii="黑体" w:hAnsi="黑体" w:cs="黑体" w:eastAsia="黑体" w:hint="default"/>
          <w:sz w:val="28"/>
          <w:szCs w:val="28"/>
        </w:rPr>
      </w:r>
    </w:p>
    <w:p>
      <w:pPr>
        <w:spacing w:line="364" w:lineRule="exact" w:before="34"/>
        <w:ind w:left="7018" w:right="114" w:firstLine="771"/>
        <w:jc w:val="left"/>
        <w:rPr>
          <w:rFonts w:ascii="黑体" w:hAnsi="黑体" w:cs="黑体" w:eastAsia="黑体" w:hint="default"/>
          <w:sz w:val="28"/>
          <w:szCs w:val="28"/>
        </w:rPr>
      </w:pPr>
      <w:r>
        <w:rPr>
          <w:rFonts w:ascii="黑体" w:hAnsi="黑体" w:cs="黑体" w:eastAsia="黑体" w:hint="default"/>
          <w:sz w:val="28"/>
          <w:szCs w:val="28"/>
        </w:rPr>
        <w:t>董事会</w:t>
      </w:r>
      <w:r>
        <w:rPr>
          <w:rFonts w:ascii="黑体" w:hAnsi="黑体" w:cs="黑体" w:eastAsia="黑体" w:hint="default"/>
          <w:w w:val="99"/>
          <w:sz w:val="28"/>
          <w:szCs w:val="28"/>
        </w:rPr>
        <w:t> </w:t>
      </w:r>
      <w:r>
        <w:rPr>
          <w:rFonts w:ascii="黑体" w:hAnsi="黑体" w:cs="黑体" w:eastAsia="黑体" w:hint="default"/>
          <w:sz w:val="28"/>
          <w:szCs w:val="28"/>
        </w:rPr>
        <w:t>2009</w:t>
      </w:r>
      <w:r>
        <w:rPr>
          <w:rFonts w:ascii="黑体" w:hAnsi="黑体" w:cs="黑体" w:eastAsia="黑体" w:hint="default"/>
          <w:spacing w:val="-71"/>
          <w:sz w:val="28"/>
          <w:szCs w:val="28"/>
        </w:rPr>
        <w:t> </w:t>
      </w:r>
      <w:r>
        <w:rPr>
          <w:rFonts w:ascii="黑体" w:hAnsi="黑体" w:cs="黑体" w:eastAsia="黑体" w:hint="default"/>
          <w:sz w:val="28"/>
          <w:szCs w:val="28"/>
        </w:rPr>
        <w:t>年</w:t>
      </w:r>
      <w:r>
        <w:rPr>
          <w:rFonts w:ascii="黑体" w:hAnsi="黑体" w:cs="黑体" w:eastAsia="黑体" w:hint="default"/>
          <w:spacing w:val="-72"/>
          <w:sz w:val="28"/>
          <w:szCs w:val="28"/>
        </w:rPr>
        <w:t> </w:t>
      </w:r>
      <w:r>
        <w:rPr>
          <w:rFonts w:ascii="黑体" w:hAnsi="黑体" w:cs="黑体" w:eastAsia="黑体" w:hint="default"/>
          <w:sz w:val="28"/>
          <w:szCs w:val="28"/>
        </w:rPr>
        <w:t>4</w:t>
      </w:r>
      <w:r>
        <w:rPr>
          <w:rFonts w:ascii="黑体" w:hAnsi="黑体" w:cs="黑体" w:eastAsia="黑体" w:hint="default"/>
          <w:spacing w:val="-71"/>
          <w:sz w:val="28"/>
          <w:szCs w:val="28"/>
        </w:rPr>
        <w:t> </w:t>
      </w:r>
      <w:r>
        <w:rPr>
          <w:rFonts w:ascii="黑体" w:hAnsi="黑体" w:cs="黑体" w:eastAsia="黑体" w:hint="default"/>
          <w:sz w:val="28"/>
          <w:szCs w:val="28"/>
        </w:rPr>
        <w:t>月</w:t>
      </w:r>
      <w:r>
        <w:rPr>
          <w:rFonts w:ascii="黑体" w:hAnsi="黑体" w:cs="黑体" w:eastAsia="黑体" w:hint="default"/>
          <w:spacing w:val="-72"/>
          <w:sz w:val="28"/>
          <w:szCs w:val="28"/>
        </w:rPr>
        <w:t> </w:t>
      </w:r>
      <w:r>
        <w:rPr>
          <w:rFonts w:ascii="黑体" w:hAnsi="黑体" w:cs="黑体" w:eastAsia="黑体" w:hint="default"/>
          <w:sz w:val="28"/>
          <w:szCs w:val="28"/>
        </w:rPr>
        <w:t>18</w:t>
      </w:r>
      <w:r>
        <w:rPr>
          <w:rFonts w:ascii="黑体" w:hAnsi="黑体" w:cs="黑体" w:eastAsia="黑体" w:hint="default"/>
          <w:spacing w:val="-71"/>
          <w:sz w:val="28"/>
          <w:szCs w:val="28"/>
        </w:rPr>
        <w:t> </w:t>
      </w:r>
      <w:r>
        <w:rPr>
          <w:rFonts w:ascii="黑体" w:hAnsi="黑体" w:cs="黑体" w:eastAsia="黑体" w:hint="default"/>
          <w:sz w:val="28"/>
          <w:szCs w:val="28"/>
        </w:rPr>
        <w:t>日</w:t>
      </w:r>
    </w:p>
    <w:p>
      <w:pPr>
        <w:spacing w:after="0" w:line="364" w:lineRule="exact"/>
        <w:jc w:val="left"/>
        <w:rPr>
          <w:rFonts w:ascii="黑体" w:hAnsi="黑体" w:cs="黑体" w:eastAsia="黑体" w:hint="default"/>
          <w:sz w:val="28"/>
          <w:szCs w:val="28"/>
        </w:rPr>
        <w:sectPr>
          <w:pgSz w:w="11910" w:h="16840"/>
          <w:pgMar w:top="1600" w:bottom="280" w:left="1300" w:right="13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5"/>
          <w:szCs w:val="15"/>
        </w:rPr>
      </w:pPr>
    </w:p>
    <w:p>
      <w:pPr>
        <w:spacing w:line="540" w:lineRule="exact" w:before="0"/>
        <w:ind w:left="4072" w:right="3811" w:firstLine="0"/>
        <w:jc w:val="center"/>
        <w:rPr>
          <w:rFonts w:ascii="黑体" w:hAnsi="黑体" w:cs="黑体" w:eastAsia="黑体" w:hint="default"/>
          <w:sz w:val="44"/>
          <w:szCs w:val="44"/>
        </w:rPr>
      </w:pPr>
      <w:r>
        <w:rPr>
          <w:rFonts w:ascii="黑体" w:hAnsi="黑体" w:cs="黑体" w:eastAsia="黑体" w:hint="default"/>
          <w:sz w:val="44"/>
          <w:szCs w:val="44"/>
        </w:rPr>
        <w:t>目录</w:t>
      </w:r>
    </w:p>
    <w:p>
      <w:pPr>
        <w:tabs>
          <w:tab w:pos="8206" w:val="left" w:leader="dot"/>
        </w:tabs>
        <w:spacing w:before="799"/>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一、公司基本情况简介…</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1</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二、会计数据和业务数据摘要…</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2</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三、股本变动及股东情况…</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4</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四、董事、监事、高级管理人员和员工情况…</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9</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五、公司治理结构…</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15</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六、股东大会情况简介…</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17</w:t>
      </w:r>
    </w:p>
    <w:p>
      <w:pPr>
        <w:tabs>
          <w:tab w:pos="8206" w:val="left" w:leader="dot"/>
        </w:tabs>
        <w:spacing w:before="177"/>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七、董事会报告…</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18</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八、监事会报告…</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59</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九、重要事项…</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62</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十、财务报告…</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71</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十一、备查文件…</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151</w:t>
      </w:r>
    </w:p>
    <w:p>
      <w:pPr>
        <w:spacing w:after="0"/>
        <w:jc w:val="left"/>
        <w:rPr>
          <w:rFonts w:ascii="宋体" w:hAnsi="宋体" w:cs="宋体" w:eastAsia="宋体" w:hint="default"/>
          <w:sz w:val="28"/>
          <w:szCs w:val="28"/>
        </w:rPr>
        <w:sectPr>
          <w:pgSz w:w="11910" w:h="16840"/>
          <w:pgMar w:top="1600" w:bottom="280" w:left="1420" w:right="1680"/>
        </w:sectPr>
      </w:pPr>
    </w:p>
    <w:p>
      <w:pPr>
        <w:spacing w:line="240" w:lineRule="auto" w:before="7"/>
        <w:rPr>
          <w:rFonts w:ascii="宋体" w:hAnsi="宋体" w:cs="宋体" w:eastAsia="宋体" w:hint="default"/>
          <w:sz w:val="22"/>
          <w:szCs w:val="22"/>
        </w:rPr>
      </w:pPr>
    </w:p>
    <w:p>
      <w:pPr>
        <w:spacing w:line="936" w:lineRule="exact"/>
        <w:ind w:left="100"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83.9pt;height:46.8pt;mso-position-horizontal-relative:char;mso-position-vertical-relative:line" coordorigin="0,0" coordsize="3678,936">
            <v:shape style="position:absolute;left:0;top:0;width:3678;height:936" type="#_x0000_t75" stroked="false">
              <v:imagedata r:id="rId8" o:title=""/>
            </v:shape>
            <v:group style="position:absolute;left:3510;top:92;width:8;height:610" coordorigin="3510,92" coordsize="8,610">
              <v:shape style="position:absolute;left:3510;top:92;width:8;height:610" coordorigin="3510,92" coordsize="8,610" path="m3510,92l3517,702e" filled="false" stroked="true" strokeweight=".25pt" strokecolor="#000000">
                <v:path arrowok="t"/>
              </v:shape>
            </v:group>
            <v:group style="position:absolute;left:78;top:730;width:3440;height:2" coordorigin="78,730" coordsize="3440,2">
              <v:shape style="position:absolute;left:78;top:730;width:3440;height:2" coordorigin="78,730" coordsize="3440,0" path="m78,730l3517,730e" filled="false" stroked="true" strokeweight=".25pt" strokecolor="#000000">
                <v:path arrowok="t"/>
              </v:shape>
              <v:shape style="position:absolute;left:0;top:0;width:3678;height:936" type="#_x0000_t202" filled="false" stroked="false">
                <v:textbox inset="0,0,0,0">
                  <w:txbxContent>
                    <w:p>
                      <w:pPr>
                        <w:spacing w:before="264"/>
                        <w:ind w:left="78" w:right="0" w:firstLine="0"/>
                        <w:jc w:val="left"/>
                        <w:rPr>
                          <w:rFonts w:ascii="黑体" w:hAnsi="黑体" w:cs="黑体" w:eastAsia="黑体" w:hint="default"/>
                          <w:sz w:val="30"/>
                          <w:szCs w:val="30"/>
                        </w:rPr>
                      </w:pPr>
                      <w:r>
                        <w:rPr>
                          <w:rFonts w:ascii="黑体" w:hAnsi="黑体" w:cs="黑体" w:eastAsia="黑体" w:hint="default"/>
                          <w:b/>
                          <w:bCs/>
                          <w:sz w:val="30"/>
                          <w:szCs w:val="30"/>
                        </w:rPr>
                        <w:t>一、公司基本情况简介</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2"/>
        <w:rPr>
          <w:rFonts w:ascii="宋体" w:hAnsi="宋体" w:cs="宋体" w:eastAsia="宋体" w:hint="default"/>
          <w:sz w:val="30"/>
          <w:szCs w:val="30"/>
        </w:rPr>
      </w:pPr>
    </w:p>
    <w:p>
      <w:pPr>
        <w:pStyle w:val="BodyText"/>
        <w:spacing w:line="237" w:lineRule="auto"/>
        <w:ind w:left="178" w:right="5604"/>
        <w:jc w:val="left"/>
      </w:pPr>
      <w:r>
        <w:rPr/>
        <w:t>1.公司名称 </w:t>
      </w:r>
      <w:r>
        <w:rPr>
          <w:rFonts w:ascii="宋体" w:hAnsi="宋体" w:cs="宋体" w:eastAsia="宋体" w:hint="default"/>
          <w:b/>
          <w:bCs/>
        </w:rPr>
        <w:t>中文</w:t>
      </w:r>
      <w:r>
        <w:rPr/>
        <w:t>：同方股份有限公司 </w:t>
      </w:r>
      <w:r>
        <w:rPr>
          <w:rFonts w:ascii="宋体" w:hAnsi="宋体" w:cs="宋体" w:eastAsia="宋体" w:hint="default"/>
          <w:b/>
          <w:bCs/>
        </w:rPr>
        <w:t>原名称：</w:t>
      </w:r>
      <w:r>
        <w:rPr/>
        <w:t>清华同方股份有限公司</w:t>
      </w:r>
      <w:r>
        <w:rPr>
          <w:spacing w:val="-1"/>
        </w:rPr>
        <w:t> </w:t>
      </w:r>
      <w:r>
        <w:rPr>
          <w:rFonts w:ascii="宋体" w:hAnsi="宋体" w:cs="宋体" w:eastAsia="宋体" w:hint="default"/>
          <w:b/>
          <w:bCs/>
        </w:rPr>
        <w:t>英文</w:t>
      </w:r>
      <w:r>
        <w:rPr/>
        <w:t>：TSINGHUATONGFANG CO.,LTD.</w:t>
      </w:r>
    </w:p>
    <w:p>
      <w:pPr>
        <w:pStyle w:val="BodyText"/>
        <w:spacing w:line="475" w:lineRule="auto"/>
        <w:ind w:left="178" w:right="5965"/>
        <w:jc w:val="left"/>
      </w:pPr>
      <w:r>
        <w:rPr>
          <w:rFonts w:ascii="宋体" w:hAnsi="宋体" w:cs="宋体" w:eastAsia="宋体" w:hint="default"/>
          <w:b/>
          <w:bCs/>
        </w:rPr>
        <w:t>英文简称</w:t>
      </w:r>
      <w:r>
        <w:rPr/>
        <w:t>：THTF</w:t>
      </w:r>
      <w:r>
        <w:rPr>
          <w:spacing w:val="-1"/>
        </w:rPr>
        <w:t> </w:t>
      </w:r>
      <w:r>
        <w:rPr/>
        <w:t>2.公司法定代表人</w:t>
      </w:r>
      <w:r>
        <w:rPr>
          <w:rFonts w:ascii="宋体" w:hAnsi="宋体" w:cs="宋体" w:eastAsia="宋体" w:hint="default"/>
          <w:b/>
          <w:bCs/>
        </w:rPr>
        <w:t>：</w:t>
      </w:r>
      <w:r>
        <w:rPr/>
        <w:t>荣泳霖先生</w:t>
      </w:r>
    </w:p>
    <w:p>
      <w:pPr>
        <w:pStyle w:val="BodyText"/>
        <w:spacing w:line="237" w:lineRule="auto" w:before="76"/>
        <w:ind w:left="178" w:right="2886"/>
        <w:jc w:val="left"/>
      </w:pPr>
      <w:r>
        <w:rPr/>
        <w:t>3.公司董事会秘书：孙岷先生 公司证券事务代表：张园园女士 </w:t>
      </w:r>
      <w:r>
        <w:rPr>
          <w:spacing w:val="6"/>
        </w:rPr>
        <w:t>联系地址：北京海淀区清华同方科技大厦A座</w:t>
      </w:r>
      <w:r>
        <w:rPr>
          <w:spacing w:val="-60"/>
        </w:rPr>
        <w:t> </w:t>
      </w:r>
      <w:r>
        <w:rPr>
          <w:spacing w:val="20"/>
        </w:rPr>
        <w:t>29层</w:t>
      </w:r>
      <w:r>
        <w:rPr>
          <w:spacing w:val="-60"/>
        </w:rPr>
        <w:t> </w:t>
      </w:r>
      <w:r>
        <w:rPr/>
        <w:t>联系电话：010－82399888</w:t>
      </w:r>
      <w:r>
        <w:rPr/>
        <w:t> 联系传真：010－82399765、82399970</w:t>
      </w:r>
    </w:p>
    <w:p>
      <w:pPr>
        <w:pStyle w:val="BodyText"/>
        <w:spacing w:line="331" w:lineRule="exact"/>
        <w:ind w:left="178" w:right="5604"/>
        <w:jc w:val="left"/>
        <w:rPr>
          <w:rFonts w:ascii="Times New Roman" w:hAnsi="Times New Roman" w:cs="Times New Roman" w:eastAsia="Times New Roman" w:hint="default"/>
        </w:rPr>
      </w:pPr>
      <w:r>
        <w:rPr/>
        <w:t>E－Mail：</w:t>
      </w:r>
      <w:hyperlink r:id="rId9">
        <w:r>
          <w:rPr>
            <w:rFonts w:ascii="Times New Roman" w:hAnsi="Times New Roman" w:cs="Times New Roman" w:eastAsia="Times New Roman" w:hint="default"/>
          </w:rPr>
          <w:t>600100</w:t>
        </w:r>
        <w:r>
          <w:rPr/>
          <w:t>@</w:t>
        </w:r>
        <w:r>
          <w:rPr>
            <w:rFonts w:ascii="Times New Roman" w:hAnsi="Times New Roman" w:cs="Times New Roman" w:eastAsia="Times New Roman" w:hint="default"/>
          </w:rPr>
          <w:t>thtf.com.cn</w:t>
        </w:r>
      </w:hyperlink>
    </w:p>
    <w:p>
      <w:pPr>
        <w:spacing w:line="240" w:lineRule="auto" w:before="5"/>
        <w:rPr>
          <w:rFonts w:ascii="Times New Roman" w:hAnsi="Times New Roman" w:cs="Times New Roman" w:eastAsia="Times New Roman" w:hint="default"/>
          <w:sz w:val="25"/>
          <w:szCs w:val="25"/>
        </w:rPr>
      </w:pPr>
    </w:p>
    <w:p>
      <w:pPr>
        <w:pStyle w:val="BodyText"/>
        <w:spacing w:line="237" w:lineRule="auto"/>
        <w:ind w:left="178" w:right="2886"/>
        <w:jc w:val="left"/>
      </w:pPr>
      <w:r>
        <w:rPr/>
        <w:t>4.公司注册地址：北京海淀区清华园清华同方大厦 </w:t>
      </w:r>
      <w:r>
        <w:rPr>
          <w:spacing w:val="5"/>
        </w:rPr>
        <w:t>公司办公地址：北京海淀区清华同方科技大厦A座</w:t>
      </w:r>
      <w:r>
        <w:rPr>
          <w:spacing w:val="-56"/>
        </w:rPr>
        <w:t> </w:t>
      </w:r>
      <w:r>
        <w:rPr>
          <w:spacing w:val="20"/>
        </w:rPr>
        <w:t>29层</w:t>
      </w:r>
      <w:r>
        <w:rPr>
          <w:spacing w:val="-115"/>
        </w:rPr>
        <w:t> </w:t>
      </w:r>
      <w:r>
        <w:rPr/>
        <w:t>邮政编码：100083</w:t>
      </w:r>
      <w:hyperlink r:id="rId10">
        <w:r>
          <w:rPr/>
          <w:t> 公司国际互联网网址：http://www.thtf.com.cn</w:t>
        </w:r>
      </w:hyperlink>
    </w:p>
    <w:p>
      <w:pPr>
        <w:pStyle w:val="BodyText"/>
        <w:spacing w:line="312" w:lineRule="exact"/>
        <w:ind w:left="178" w:right="2886"/>
        <w:jc w:val="left"/>
      </w:pPr>
      <w:r>
        <w:rPr/>
        <w:t>公司</w:t>
      </w:r>
      <w:r>
        <w:rPr>
          <w:spacing w:val="-60"/>
        </w:rPr>
        <w:t> </w:t>
      </w:r>
      <w:hyperlink r:id="rId9">
        <w:r>
          <w:rPr/>
          <w:t>E－Mail：600100@thtf.com.cn</w:t>
        </w:r>
      </w:hyperlink>
    </w:p>
    <w:p>
      <w:pPr>
        <w:spacing w:line="240" w:lineRule="auto" w:before="1"/>
        <w:rPr>
          <w:rFonts w:ascii="宋体" w:hAnsi="宋体" w:cs="宋体" w:eastAsia="宋体" w:hint="default"/>
          <w:sz w:val="26"/>
          <w:szCs w:val="26"/>
        </w:rPr>
      </w:pPr>
    </w:p>
    <w:p>
      <w:pPr>
        <w:pStyle w:val="BodyText"/>
        <w:spacing w:line="310" w:lineRule="exact"/>
        <w:ind w:left="178" w:right="1046"/>
        <w:jc w:val="left"/>
      </w:pPr>
      <w:r>
        <w:rPr>
          <w:spacing w:val="-5"/>
        </w:rPr>
        <w:t>5.公司信息披露的指定报刊：《中国证券报》和《上海证券报》</w:t>
      </w:r>
      <w:r>
        <w:rPr>
          <w:spacing w:val="-95"/>
        </w:rPr>
        <w:t> </w:t>
      </w:r>
      <w:hyperlink r:id="rId11">
        <w:r>
          <w:rPr>
            <w:spacing w:val="-95"/>
          </w:rPr>
        </w:r>
        <w:r>
          <w:rPr/>
          <w:t>登载公司年度报告的中国证监会指定国际互联网网址：http://www.sse.com.cn</w:t>
        </w:r>
      </w:hyperlink>
      <w:r>
        <w:rPr/>
        <w:t> </w:t>
      </w:r>
      <w:r>
        <w:rPr>
          <w:spacing w:val="4"/>
        </w:rPr>
        <w:t>公司年度报告置备地点：北京海淀区清华同方科技大厦A座</w:t>
      </w:r>
      <w:r>
        <w:rPr>
          <w:spacing w:val="-52"/>
        </w:rPr>
        <w:t> </w:t>
      </w:r>
      <w:r>
        <w:rPr/>
        <w:t>29</w:t>
      </w:r>
      <w:r>
        <w:rPr>
          <w:spacing w:val="-52"/>
        </w:rPr>
        <w:t> </w:t>
      </w:r>
      <w:r>
        <w:rPr/>
        <w:t>层办公室</w:t>
      </w:r>
    </w:p>
    <w:p>
      <w:pPr>
        <w:spacing w:line="240" w:lineRule="auto" w:before="8"/>
        <w:rPr>
          <w:rFonts w:ascii="宋体" w:hAnsi="宋体" w:cs="宋体" w:eastAsia="宋体" w:hint="default"/>
          <w:sz w:val="21"/>
          <w:szCs w:val="21"/>
        </w:rPr>
      </w:pPr>
    </w:p>
    <w:p>
      <w:pPr>
        <w:pStyle w:val="BodyText"/>
        <w:spacing w:line="237" w:lineRule="auto"/>
        <w:ind w:left="178" w:right="5485"/>
        <w:jc w:val="left"/>
      </w:pPr>
      <w:r>
        <w:rPr/>
        <w:t>6.公司股票上市地</w:t>
      </w:r>
      <w:r>
        <w:rPr>
          <w:rFonts w:ascii="宋体" w:hAnsi="宋体" w:cs="宋体" w:eastAsia="宋体" w:hint="default"/>
          <w:b/>
          <w:bCs/>
        </w:rPr>
        <w:t>：</w:t>
      </w:r>
      <w:r>
        <w:rPr/>
        <w:t>上海证券交易所 股票简称：同方股份 原股票简称：清华同方 股票代码：600100</w:t>
      </w:r>
    </w:p>
    <w:p>
      <w:pPr>
        <w:spacing w:line="240" w:lineRule="auto" w:before="1"/>
        <w:rPr>
          <w:rFonts w:ascii="宋体" w:hAnsi="宋体" w:cs="宋体" w:eastAsia="宋体" w:hint="default"/>
          <w:sz w:val="26"/>
          <w:szCs w:val="26"/>
        </w:rPr>
      </w:pPr>
    </w:p>
    <w:p>
      <w:pPr>
        <w:pStyle w:val="BodyText"/>
        <w:spacing w:line="310" w:lineRule="exact"/>
        <w:ind w:left="178" w:right="1886"/>
        <w:jc w:val="left"/>
      </w:pPr>
      <w:r>
        <w:rPr/>
        <w:t>7.公司于</w:t>
      </w:r>
      <w:r>
        <w:rPr>
          <w:spacing w:val="-60"/>
        </w:rPr>
        <w:t> </w:t>
      </w:r>
      <w:r>
        <w:rPr>
          <w:spacing w:val="25"/>
        </w:rPr>
        <w:t>1997年6月</w:t>
      </w:r>
      <w:r>
        <w:rPr>
          <w:spacing w:val="-60"/>
        </w:rPr>
        <w:t> </w:t>
      </w:r>
      <w:r>
        <w:rPr/>
        <w:t>25</w:t>
      </w:r>
      <w:r>
        <w:rPr>
          <w:spacing w:val="-60"/>
        </w:rPr>
        <w:t> </w:t>
      </w:r>
      <w:r>
        <w:rPr/>
        <w:t>日在国家工商行政管理总局首次注册登记。</w:t>
      </w:r>
      <w:r>
        <w:rPr>
          <w:spacing w:val="-118"/>
        </w:rPr>
        <w:t> </w:t>
      </w:r>
      <w:r>
        <w:rPr>
          <w:spacing w:val="-118"/>
        </w:rPr>
      </w:r>
      <w:r>
        <w:rPr/>
        <w:t>公司于</w:t>
      </w:r>
      <w:r>
        <w:rPr>
          <w:spacing w:val="-60"/>
        </w:rPr>
        <w:t> </w:t>
      </w:r>
      <w:r>
        <w:rPr/>
        <w:t>2008</w:t>
      </w:r>
      <w:r>
        <w:rPr>
          <w:spacing w:val="-60"/>
        </w:rPr>
        <w:t> </w:t>
      </w:r>
      <w:r>
        <w:rPr/>
        <w:t>年</w:t>
      </w:r>
      <w:r>
        <w:rPr>
          <w:spacing w:val="-60"/>
        </w:rPr>
        <w:t> </w:t>
      </w:r>
      <w:r>
        <w:rPr/>
        <w:t>10</w:t>
      </w:r>
      <w:r>
        <w:rPr>
          <w:spacing w:val="-60"/>
        </w:rPr>
        <w:t> </w:t>
      </w:r>
      <w:r>
        <w:rPr/>
        <w:t>月</w:t>
      </w:r>
      <w:r>
        <w:rPr>
          <w:spacing w:val="-60"/>
        </w:rPr>
        <w:t> </w:t>
      </w:r>
      <w:r>
        <w:rPr/>
        <w:t>6</w:t>
      </w:r>
      <w:r>
        <w:rPr>
          <w:spacing w:val="-60"/>
        </w:rPr>
        <w:t> </w:t>
      </w:r>
      <w:r>
        <w:rPr/>
        <w:t>日在北京市工商行政管理局进行变更注册登记。</w:t>
      </w:r>
    </w:p>
    <w:p>
      <w:pPr>
        <w:spacing w:line="240" w:lineRule="auto" w:before="8"/>
        <w:rPr>
          <w:rFonts w:ascii="宋体" w:hAnsi="宋体" w:cs="宋体" w:eastAsia="宋体" w:hint="default"/>
          <w:sz w:val="21"/>
          <w:szCs w:val="21"/>
        </w:rPr>
      </w:pPr>
    </w:p>
    <w:p>
      <w:pPr>
        <w:pStyle w:val="BodyText"/>
        <w:spacing w:line="237" w:lineRule="auto"/>
        <w:ind w:left="418" w:right="3705" w:hanging="240"/>
        <w:jc w:val="left"/>
      </w:pPr>
      <w:r>
        <w:rPr/>
        <w:t>8.公司的企业法人营业执照注册号：110000010720704 税务登记号码：110108100026793 组织机构代码：10002679-3</w:t>
      </w:r>
    </w:p>
    <w:p>
      <w:pPr>
        <w:spacing w:line="240" w:lineRule="auto" w:before="1"/>
        <w:rPr>
          <w:rFonts w:ascii="宋体" w:hAnsi="宋体" w:cs="宋体" w:eastAsia="宋体" w:hint="default"/>
          <w:sz w:val="26"/>
          <w:szCs w:val="26"/>
        </w:rPr>
      </w:pPr>
    </w:p>
    <w:p>
      <w:pPr>
        <w:pStyle w:val="BodyText"/>
        <w:spacing w:line="310" w:lineRule="exact"/>
        <w:ind w:left="178" w:right="1046"/>
        <w:jc w:val="left"/>
      </w:pPr>
      <w:r>
        <w:rPr/>
        <w:t>9.公司聘请的会计师事务所：信永中和会计师事务所有限公司 会计师事务所办公地址：北京市朝阳门北大街</w:t>
      </w:r>
      <w:r>
        <w:rPr>
          <w:spacing w:val="-60"/>
        </w:rPr>
        <w:t> </w:t>
      </w:r>
      <w:r>
        <w:rPr/>
        <w:t>8</w:t>
      </w:r>
      <w:r>
        <w:rPr>
          <w:spacing w:val="-60"/>
        </w:rPr>
        <w:t> </w:t>
      </w:r>
      <w:r>
        <w:rPr>
          <w:spacing w:val="17"/>
        </w:rPr>
        <w:t>号富华大厦C座</w:t>
      </w:r>
      <w:r>
        <w:rPr>
          <w:spacing w:val="-60"/>
        </w:rPr>
        <w:t> </w:t>
      </w:r>
      <w:r>
        <w:rPr>
          <w:spacing w:val="20"/>
        </w:rPr>
        <w:t>12层</w:t>
      </w:r>
      <w:r>
        <w:rPr>
          <w:spacing w:val="-60"/>
        </w:rPr>
        <w:t> </w:t>
      </w:r>
      <w:r>
        <w:rPr/>
      </w:r>
    </w:p>
    <w:p>
      <w:pPr>
        <w:spacing w:after="0" w:line="310" w:lineRule="exact"/>
        <w:jc w:val="left"/>
        <w:sectPr>
          <w:headerReference w:type="default" r:id="rId6"/>
          <w:footerReference w:type="default" r:id="rId7"/>
          <w:pgSz w:w="11910" w:h="16840"/>
          <w:pgMar w:header="610" w:footer="764" w:top="1080" w:bottom="960" w:left="1240" w:right="1140"/>
          <w:pgNumType w:start="2"/>
        </w:sectPr>
      </w:pPr>
    </w:p>
    <w:p>
      <w:pPr>
        <w:spacing w:line="240" w:lineRule="auto" w:before="8"/>
        <w:rPr>
          <w:rFonts w:ascii="宋体" w:hAnsi="宋体" w:cs="宋体" w:eastAsia="宋体" w:hint="default"/>
          <w:sz w:val="16"/>
          <w:szCs w:val="16"/>
        </w:rPr>
      </w:pPr>
    </w:p>
    <w:p>
      <w:pPr>
        <w:spacing w:line="938" w:lineRule="exact"/>
        <w:ind w:left="2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226.45pt;height:46.95pt;mso-position-horizontal-relative:char;mso-position-vertical-relative:line" coordorigin="0,0" coordsize="4529,939">
            <v:shape style="position:absolute;left:0;top:0;width:4529;height:938" type="#_x0000_t75" stroked="false">
              <v:imagedata r:id="rId12" o:title=""/>
            </v:shape>
            <v:group style="position:absolute;left:104;top:780;width:4337;height:2" coordorigin="104,780" coordsize="4337,2">
              <v:shape style="position:absolute;left:104;top:780;width:4337;height:2" coordorigin="104,780" coordsize="4337,0" path="m104,780l4441,780e" filled="false" stroked="true" strokeweight=".25pt" strokecolor="#000000">
                <v:path arrowok="t"/>
              </v:shape>
            </v:group>
            <v:group style="position:absolute;left:4440;top:263;width:2;height:572" coordorigin="4440,263" coordsize="2,572">
              <v:shape style="position:absolute;left:4440;top:263;width:2;height:572" coordorigin="4440,263" coordsize="2,572" path="m4440,263l4441,834e" filled="false" stroked="true" strokeweight=".25pt" strokecolor="#000000">
                <v:path arrowok="t"/>
              </v:shape>
              <v:shape style="position:absolute;left:0;top:0;width:4529;height:939" type="#_x0000_t202" filled="false" stroked="false">
                <v:textbox inset="0,0,0,0">
                  <w:txbxContent>
                    <w:p>
                      <w:pPr>
                        <w:spacing w:line="240" w:lineRule="auto" w:before="2"/>
                        <w:rPr>
                          <w:rFonts w:ascii="宋体" w:hAnsi="宋体" w:cs="宋体" w:eastAsia="宋体" w:hint="default"/>
                          <w:sz w:val="26"/>
                          <w:szCs w:val="26"/>
                        </w:rPr>
                      </w:pPr>
                    </w:p>
                    <w:p>
                      <w:pPr>
                        <w:spacing w:before="0"/>
                        <w:ind w:left="127" w:right="0" w:firstLine="0"/>
                        <w:jc w:val="left"/>
                        <w:rPr>
                          <w:rFonts w:ascii="黑体" w:hAnsi="黑体" w:cs="黑体" w:eastAsia="黑体" w:hint="default"/>
                          <w:sz w:val="30"/>
                          <w:szCs w:val="30"/>
                        </w:rPr>
                      </w:pPr>
                      <w:r>
                        <w:rPr>
                          <w:rFonts w:ascii="黑体" w:hAnsi="黑体" w:cs="黑体" w:eastAsia="黑体" w:hint="default"/>
                          <w:b/>
                          <w:bCs/>
                          <w:sz w:val="30"/>
                          <w:szCs w:val="30"/>
                        </w:rPr>
                        <w:t>二、会计数据和业务数据摘要</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spacing w:before="162"/>
        <w:ind w:left="238" w:right="4066" w:firstLine="0"/>
        <w:jc w:val="left"/>
        <w:rPr>
          <w:rFonts w:ascii="宋体" w:hAnsi="宋体" w:cs="宋体" w:eastAsia="宋体" w:hint="default"/>
          <w:sz w:val="21"/>
          <w:szCs w:val="21"/>
        </w:rPr>
      </w:pPr>
      <w:r>
        <w:rPr>
          <w:rFonts w:ascii="宋体" w:hAnsi="宋体" w:cs="宋体" w:eastAsia="宋体" w:hint="default"/>
          <w:b/>
          <w:bCs/>
          <w:sz w:val="24"/>
          <w:szCs w:val="24"/>
        </w:rPr>
        <w:t>1、本年度利润总额及构成</w:t>
      </w:r>
      <w:r>
        <w:rPr>
          <w:rFonts w:ascii="宋体" w:hAnsi="宋体" w:cs="宋体" w:eastAsia="宋体" w:hint="default"/>
          <w:sz w:val="21"/>
          <w:szCs w:val="21"/>
        </w:rPr>
        <w:t>(合并报表)</w:t>
      </w:r>
    </w:p>
    <w:p>
      <w:pPr>
        <w:spacing w:line="240" w:lineRule="auto" w:before="8"/>
        <w:rPr>
          <w:rFonts w:ascii="宋体" w:hAnsi="宋体" w:cs="宋体" w:eastAsia="宋体" w:hint="default"/>
          <w:sz w:val="23"/>
          <w:szCs w:val="23"/>
        </w:rPr>
      </w:pPr>
    </w:p>
    <w:p>
      <w:pPr>
        <w:pStyle w:val="BodyText"/>
        <w:spacing w:line="357" w:lineRule="auto"/>
        <w:ind w:left="238" w:right="4066"/>
        <w:jc w:val="left"/>
      </w:pPr>
      <w:r>
        <w:rPr/>
        <w:t>营业利润：419,454,180.67</w:t>
      </w:r>
      <w:r>
        <w:rPr>
          <w:spacing w:val="-60"/>
        </w:rPr>
        <w:t> </w:t>
      </w:r>
      <w:r>
        <w:rPr/>
        <w:t>元</w:t>
      </w:r>
      <w:r>
        <w:rPr/>
        <w:t> 利润总额：467,070,343.68</w:t>
      </w:r>
      <w:r>
        <w:rPr>
          <w:spacing w:val="-60"/>
        </w:rPr>
        <w:t> </w:t>
      </w:r>
      <w:r>
        <w:rPr/>
        <w:t>元</w:t>
      </w:r>
      <w:r>
        <w:rPr/>
        <w:t> 归属于上市公司股东的净利润：251,426,820.71</w:t>
      </w:r>
      <w:r>
        <w:rPr>
          <w:spacing w:val="-60"/>
        </w:rPr>
        <w:t> </w:t>
      </w:r>
      <w:r>
        <w:rPr/>
        <w:t>元</w:t>
      </w:r>
    </w:p>
    <w:p>
      <w:pPr>
        <w:pStyle w:val="BodyText"/>
        <w:spacing w:line="357" w:lineRule="auto" w:before="35"/>
        <w:ind w:left="238" w:right="1666"/>
        <w:jc w:val="left"/>
      </w:pPr>
      <w:r>
        <w:rPr/>
        <w:t>归属于上市公司股东的扣除非经常性损益后的净利润：269,987,897.43</w:t>
      </w:r>
      <w:r>
        <w:rPr>
          <w:spacing w:val="-60"/>
        </w:rPr>
        <w:t> </w:t>
      </w:r>
      <w:r>
        <w:rPr/>
        <w:t>元</w:t>
      </w:r>
      <w:r>
        <w:rPr/>
        <w:t> 经营活动产生的现金流量净额：47,575,992.00</w:t>
      </w:r>
      <w:r>
        <w:rPr>
          <w:spacing w:val="-60"/>
        </w:rPr>
        <w:t> </w:t>
      </w:r>
      <w:r>
        <w:rPr/>
        <w:t>元</w:t>
      </w:r>
    </w:p>
    <w:p>
      <w:pPr>
        <w:spacing w:line="240" w:lineRule="auto" w:before="7"/>
        <w:rPr>
          <w:rFonts w:ascii="宋体" w:hAnsi="宋体" w:cs="宋体" w:eastAsia="宋体" w:hint="default"/>
          <w:sz w:val="26"/>
          <w:szCs w:val="26"/>
        </w:rPr>
      </w:pPr>
    </w:p>
    <w:p>
      <w:pPr>
        <w:spacing w:before="0"/>
        <w:ind w:left="238" w:right="4066" w:firstLine="0"/>
        <w:jc w:val="left"/>
        <w:rPr>
          <w:rFonts w:ascii="宋体" w:hAnsi="宋体" w:cs="宋体" w:eastAsia="宋体" w:hint="default"/>
          <w:sz w:val="21"/>
          <w:szCs w:val="21"/>
        </w:rPr>
      </w:pPr>
      <w:r>
        <w:rPr>
          <w:rFonts w:ascii="宋体" w:hAnsi="宋体" w:cs="宋体" w:eastAsia="宋体" w:hint="default"/>
          <w:b/>
          <w:bCs/>
          <w:sz w:val="24"/>
          <w:szCs w:val="24"/>
        </w:rPr>
        <w:t>2、会计数据及财务指标</w:t>
      </w:r>
      <w:r>
        <w:rPr>
          <w:rFonts w:ascii="宋体" w:hAnsi="宋体" w:cs="宋体" w:eastAsia="宋体" w:hint="default"/>
          <w:sz w:val="21"/>
          <w:szCs w:val="21"/>
        </w:rPr>
        <w:t>(合并报表)</w:t>
      </w:r>
    </w:p>
    <w:p>
      <w:pPr>
        <w:spacing w:line="240" w:lineRule="auto" w:before="7"/>
        <w:rPr>
          <w:rFonts w:ascii="宋体" w:hAnsi="宋体" w:cs="宋体" w:eastAsia="宋体" w:hint="default"/>
          <w:sz w:val="23"/>
          <w:szCs w:val="23"/>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72.35pt;height:1pt;mso-position-horizontal-relative:char;mso-position-vertical-relative:line" coordorigin="0,0" coordsize="9447,20">
            <v:group style="position:absolute;left:10;top:10;width:6695;height:2" coordorigin="10,10" coordsize="6695,2">
              <v:shape style="position:absolute;left:10;top:10;width:6695;height:2" coordorigin="10,10" coordsize="6695,0" path="m10,10l6704,10e" filled="false" stroked="true" strokeweight=".96pt" strokecolor="#000000">
                <v:path arrowok="t"/>
              </v:shape>
            </v:group>
            <v:group style="position:absolute;left:6704;top:10;width:1437;height:2" coordorigin="6704,10" coordsize="1437,2">
              <v:shape style="position:absolute;left:6704;top:10;width:1437;height:2" coordorigin="6704,10" coordsize="1437,0" path="m6704,10l8141,10e" filled="false" stroked="true" strokeweight=".96pt" strokecolor="#000000">
                <v:path arrowok="t"/>
              </v:shape>
            </v:group>
            <v:group style="position:absolute;left:8141;top:10;width:1296;height:2" coordorigin="8141,10" coordsize="1296,2">
              <v:shape style="position:absolute;left:8141;top:10;width:1296;height:2" coordorigin="8141,10" coordsize="1296,0" path="m8141,10l9437,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610" w:footer="764" w:top="1080" w:bottom="980" w:left="1180" w:right="1060"/>
        </w:sectPr>
      </w:pPr>
    </w:p>
    <w:p>
      <w:pPr>
        <w:tabs>
          <w:tab w:pos="4474" w:val="left" w:leader="none"/>
          <w:tab w:pos="5770" w:val="left" w:leader="none"/>
          <w:tab w:pos="6989" w:val="left" w:leader="none"/>
        </w:tabs>
        <w:spacing w:line="316" w:lineRule="auto" w:before="11"/>
        <w:ind w:left="7303" w:right="0" w:hanging="5320"/>
        <w:jc w:val="left"/>
        <w:rPr>
          <w:rFonts w:ascii="宋体" w:hAnsi="宋体" w:cs="宋体" w:eastAsia="宋体" w:hint="default"/>
          <w:sz w:val="18"/>
          <w:szCs w:val="18"/>
        </w:rPr>
      </w:pPr>
      <w:r>
        <w:rPr/>
        <w:pict>
          <v:group style="position:absolute;margin-left:65.040001pt;margin-top:31.462013pt;width:471.4pt;height:.1pt;mso-position-horizontal-relative:page;mso-position-vertical-relative:paragraph;z-index:-900280" coordorigin="1301,629" coordsize="9428,2">
            <v:shape style="position:absolute;left:1301;top:629;width:9428;height:2" coordorigin="1301,629" coordsize="9428,0" path="m1301,629l10728,629e" filled="false" stroked="true" strokeweight=".48pt" strokecolor="#000000">
              <v:path arrowok="t"/>
            </v:shape>
            <w10:wrap type="none"/>
          </v:group>
        </w:pict>
      </w:r>
      <w:r>
        <w:rPr>
          <w:rFonts w:ascii="宋体" w:hAnsi="宋体" w:cs="宋体" w:eastAsia="宋体" w:hint="default"/>
          <w:b/>
          <w:bCs/>
          <w:w w:val="95"/>
          <w:sz w:val="18"/>
          <w:szCs w:val="18"/>
        </w:rPr>
        <w:t>项目</w:t>
        <w:tab/>
      </w:r>
      <w:r>
        <w:rPr>
          <w:rFonts w:ascii="宋体" w:hAnsi="宋体" w:cs="宋体" w:eastAsia="宋体" w:hint="default"/>
          <w:b/>
          <w:bCs/>
          <w:sz w:val="18"/>
          <w:szCs w:val="18"/>
        </w:rPr>
        <w:t>2008</w:t>
      </w:r>
      <w:r>
        <w:rPr>
          <w:rFonts w:ascii="宋体" w:hAnsi="宋体" w:cs="宋体" w:eastAsia="宋体" w:hint="default"/>
          <w:b/>
          <w:bCs/>
          <w:spacing w:val="-49"/>
          <w:sz w:val="18"/>
          <w:szCs w:val="18"/>
        </w:rPr>
        <w:t> </w:t>
      </w:r>
      <w:r>
        <w:rPr>
          <w:rFonts w:ascii="宋体" w:hAnsi="宋体" w:cs="宋体" w:eastAsia="宋体" w:hint="default"/>
          <w:b/>
          <w:bCs/>
          <w:sz w:val="18"/>
          <w:szCs w:val="18"/>
        </w:rPr>
        <w:t>年度</w:t>
        <w:tab/>
        <w:t>2007</w:t>
      </w:r>
      <w:r>
        <w:rPr>
          <w:rFonts w:ascii="宋体" w:hAnsi="宋体" w:cs="宋体" w:eastAsia="宋体" w:hint="default"/>
          <w:b/>
          <w:bCs/>
          <w:spacing w:val="-49"/>
          <w:sz w:val="18"/>
          <w:szCs w:val="18"/>
        </w:rPr>
        <w:t> </w:t>
      </w:r>
      <w:r>
        <w:rPr>
          <w:rFonts w:ascii="宋体" w:hAnsi="宋体" w:cs="宋体" w:eastAsia="宋体" w:hint="default"/>
          <w:b/>
          <w:bCs/>
          <w:sz w:val="18"/>
          <w:szCs w:val="18"/>
        </w:rPr>
        <w:t>年度</w:t>
        <w:tab/>
      </w:r>
      <w:r>
        <w:rPr>
          <w:rFonts w:ascii="宋体" w:hAnsi="宋体" w:cs="宋体" w:eastAsia="宋体" w:hint="default"/>
          <w:b/>
          <w:bCs/>
          <w:w w:val="95"/>
          <w:sz w:val="18"/>
          <w:szCs w:val="18"/>
        </w:rPr>
        <w:t>本年比上年增</w:t>
      </w:r>
      <w:r>
        <w:rPr>
          <w:rFonts w:ascii="宋体" w:hAnsi="宋体" w:cs="宋体" w:eastAsia="宋体" w:hint="default"/>
          <w:b/>
          <w:bCs/>
          <w:spacing w:val="-36"/>
          <w:w w:val="95"/>
          <w:sz w:val="18"/>
          <w:szCs w:val="18"/>
        </w:rPr>
        <w:t> </w:t>
      </w:r>
      <w:r>
        <w:rPr>
          <w:rFonts w:ascii="宋体" w:hAnsi="宋体" w:cs="宋体" w:eastAsia="宋体" w:hint="default"/>
          <w:b/>
          <w:bCs/>
          <w:spacing w:val="-36"/>
          <w:w w:val="95"/>
          <w:sz w:val="18"/>
          <w:szCs w:val="18"/>
        </w:rPr>
      </w:r>
      <w:r>
        <w:rPr>
          <w:rFonts w:ascii="宋体" w:hAnsi="宋体" w:cs="宋体" w:eastAsia="宋体" w:hint="default"/>
          <w:b/>
          <w:bCs/>
          <w:sz w:val="18"/>
          <w:szCs w:val="18"/>
        </w:rPr>
        <w:t>减(%)</w:t>
      </w:r>
      <w:r>
        <w:rPr>
          <w:rFonts w:ascii="宋体" w:hAnsi="宋体" w:cs="宋体" w:eastAsia="宋体" w:hint="default"/>
          <w:sz w:val="18"/>
          <w:szCs w:val="18"/>
        </w:rPr>
      </w:r>
    </w:p>
    <w:p>
      <w:pPr>
        <w:spacing w:before="11"/>
        <w:ind w:left="40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2006</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180" w:right="1060"/>
          <w:cols w:num="2" w:equalWidth="0">
            <w:col w:w="8073" w:space="40"/>
            <w:col w:w="1557"/>
          </w:cols>
        </w:sectPr>
      </w:pPr>
    </w:p>
    <w:tbl>
      <w:tblPr>
        <w:tblW w:w="0" w:type="auto"/>
        <w:jc w:val="left"/>
        <w:tblInd w:w="193" w:type="dxa"/>
        <w:tblLayout w:type="fixed"/>
        <w:tblCellMar>
          <w:top w:w="0" w:type="dxa"/>
          <w:left w:w="0" w:type="dxa"/>
          <w:bottom w:w="0" w:type="dxa"/>
          <w:right w:w="0" w:type="dxa"/>
        </w:tblCellMar>
        <w:tblLook w:val="01E0"/>
      </w:tblPr>
      <w:tblGrid>
        <w:gridCol w:w="4017"/>
        <w:gridCol w:w="1297"/>
        <w:gridCol w:w="1296"/>
        <w:gridCol w:w="1456"/>
        <w:gridCol w:w="1223"/>
      </w:tblGrid>
      <w:tr>
        <w:trPr>
          <w:trHeight w:val="346"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(1)营业收入(万元)</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1,392,803.27</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1,462,588.67</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-4.77%</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1,222,172.99</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(2)利润总额(万元)</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46,707.03</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71,750.50</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-34.90%</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38,001.28</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(3)归属于上市公司股东的净利润(万元)</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25,142.68</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44,074.99</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-42.95%</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15,853.28</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(4)归属于上市公司股东的扣除非经常性损益后的</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26,998.79</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23,029.57</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17.24%</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9,372.12</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净利润(万元)</w:t>
            </w:r>
          </w:p>
        </w:tc>
        <w:tc>
          <w:tcPr>
            <w:tcW w:w="1297"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(5)经营活动产生的现金流量净额(万元)</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4,757.60</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23,808.73</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-80.02%</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27,612.41</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(6)总资产(万元)</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1,808,043.69</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1,741,973.30</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3.79%</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1,289,690.06</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(7)股东权益(万元)</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704,612.80</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556,046.92</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26.72%</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336,820.29</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(8)基本每股收益(元/股)</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0.2672</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0.5211</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-48.72%</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0.2122</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(9)稀释每股收益(元/股)</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0.2672</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0.5211</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-48.72%</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0.2122</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(10)扣除非经常性损益后的基本每股收益(元/股)</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0.2870</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0.2723</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5.40%</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0.1242</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(11)全面摊薄净资产收益率</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3.57%</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7.93%</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降低了 4.36</w:t>
            </w:r>
            <w:r>
              <w:rPr>
                <w:rFonts w:ascii="宋体" w:hAnsi="宋体" w:cs="宋体" w:eastAsia="宋体" w:hint="default"/>
                <w:spacing w:val="-21"/>
                <w:sz w:val="18"/>
                <w:szCs w:val="18"/>
              </w:rPr>
              <w:t> </w:t>
            </w:r>
            <w:r>
              <w:rPr>
                <w:rFonts w:ascii="宋体" w:hAnsi="宋体" w:cs="宋体" w:eastAsia="宋体" w:hint="default"/>
                <w:sz w:val="18"/>
                <w:szCs w:val="18"/>
              </w:rPr>
              <w:t>个</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4.70%</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223" w:type="dxa"/>
            <w:tcBorders>
              <w:top w:val="nil" w:sz="6" w:space="0" w:color="auto"/>
              <w:left w:val="nil" w:sz="6" w:space="0" w:color="auto"/>
              <w:bottom w:val="nil" w:sz="6" w:space="0" w:color="auto"/>
              <w:right w:val="nil" w:sz="6" w:space="0" w:color="auto"/>
            </w:tcBorders>
          </w:tcPr>
          <w:p>
            <w:pP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(12)加权平均净资产收益率</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3.88%</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10.05%</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降低了 6.17</w:t>
            </w:r>
            <w:r>
              <w:rPr>
                <w:rFonts w:ascii="宋体" w:hAnsi="宋体" w:cs="宋体" w:eastAsia="宋体" w:hint="default"/>
                <w:spacing w:val="-21"/>
                <w:sz w:val="18"/>
                <w:szCs w:val="18"/>
              </w:rPr>
              <w:t> </w:t>
            </w:r>
            <w:r>
              <w:rPr>
                <w:rFonts w:ascii="宋体" w:hAnsi="宋体" w:cs="宋体" w:eastAsia="宋体" w:hint="default"/>
                <w:sz w:val="18"/>
                <w:szCs w:val="18"/>
              </w:rPr>
              <w:t>个</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4.88%</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223" w:type="dxa"/>
            <w:tcBorders>
              <w:top w:val="nil" w:sz="6" w:space="0" w:color="auto"/>
              <w:left w:val="nil" w:sz="6" w:space="0" w:color="auto"/>
              <w:bottom w:val="nil" w:sz="6" w:space="0" w:color="auto"/>
              <w:right w:val="nil" w:sz="6" w:space="0" w:color="auto"/>
            </w:tcBorders>
          </w:tcPr>
          <w:p>
            <w:pP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(13)扣除非经常性损益后全面摊薄净资产收益率</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3.83%</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4.14%</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降低了 0.31</w:t>
            </w:r>
            <w:r>
              <w:rPr>
                <w:rFonts w:ascii="宋体" w:hAnsi="宋体" w:cs="宋体" w:eastAsia="宋体" w:hint="default"/>
                <w:spacing w:val="-21"/>
                <w:sz w:val="18"/>
                <w:szCs w:val="18"/>
              </w:rPr>
              <w:t> </w:t>
            </w:r>
            <w:r>
              <w:rPr>
                <w:rFonts w:ascii="宋体" w:hAnsi="宋体" w:cs="宋体" w:eastAsia="宋体" w:hint="default"/>
                <w:sz w:val="18"/>
                <w:szCs w:val="18"/>
              </w:rPr>
              <w:t>个</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2.75%</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223" w:type="dxa"/>
            <w:tcBorders>
              <w:top w:val="nil" w:sz="6" w:space="0" w:color="auto"/>
              <w:left w:val="nil" w:sz="6" w:space="0" w:color="auto"/>
              <w:bottom w:val="nil" w:sz="6" w:space="0" w:color="auto"/>
              <w:right w:val="nil" w:sz="6" w:space="0" w:color="auto"/>
            </w:tcBorders>
          </w:tcPr>
          <w:p>
            <w:pP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(14)扣除非经常性损益后加权平均净资产收益率</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z w:val="18"/>
              </w:rPr>
              <w:t>4.17%</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z w:val="18"/>
              </w:rPr>
              <w:t>5.25%</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降低了 1.08</w:t>
            </w:r>
            <w:r>
              <w:rPr>
                <w:rFonts w:ascii="宋体" w:hAnsi="宋体" w:cs="宋体" w:eastAsia="宋体" w:hint="default"/>
                <w:spacing w:val="-21"/>
                <w:sz w:val="18"/>
                <w:szCs w:val="18"/>
              </w:rPr>
              <w:t> </w:t>
            </w:r>
            <w:r>
              <w:rPr>
                <w:rFonts w:ascii="宋体" w:hAnsi="宋体" w:cs="宋体" w:eastAsia="宋体" w:hint="default"/>
                <w:sz w:val="18"/>
                <w:szCs w:val="18"/>
              </w:rPr>
              <w:t>个</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2.85%</w:t>
            </w: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223" w:type="dxa"/>
            <w:tcBorders>
              <w:top w:val="nil" w:sz="6" w:space="0" w:color="auto"/>
              <w:left w:val="nil" w:sz="6" w:space="0" w:color="auto"/>
              <w:bottom w:val="nil" w:sz="6" w:space="0" w:color="auto"/>
              <w:right w:val="nil" w:sz="6" w:space="0" w:color="auto"/>
            </w:tcBorders>
          </w:tcPr>
          <w:p>
            <w:pPr/>
          </w:p>
        </w:tc>
      </w:tr>
      <w:tr>
        <w:trPr>
          <w:trHeight w:val="312"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(15)每股经营活动产生的现金流量净额(元/股)</w:t>
            </w:r>
          </w:p>
        </w:tc>
        <w:tc>
          <w:tcPr>
            <w:tcW w:w="1297"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z w:val="18"/>
              </w:rPr>
              <w:t>0.05</w:t>
            </w:r>
          </w:p>
        </w:tc>
        <w:tc>
          <w:tcPr>
            <w:tcW w:w="1296"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z w:val="18"/>
              </w:rPr>
              <w:t>0.38</w:t>
            </w:r>
          </w:p>
        </w:tc>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z w:val="18"/>
              </w:rPr>
              <w:t>-86.84%</w:t>
            </w:r>
          </w:p>
        </w:tc>
        <w:tc>
          <w:tcPr>
            <w:tcW w:w="122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0.48</w:t>
            </w:r>
          </w:p>
        </w:tc>
      </w:tr>
      <w:tr>
        <w:trPr>
          <w:trHeight w:val="323" w:hRule="exact"/>
        </w:trPr>
        <w:tc>
          <w:tcPr>
            <w:tcW w:w="4017" w:type="dxa"/>
            <w:tcBorders>
              <w:top w:val="nil" w:sz="6" w:space="0" w:color="auto"/>
              <w:left w:val="nil" w:sz="6" w:space="0" w:color="auto"/>
              <w:bottom w:val="single" w:sz="8" w:space="0" w:color="000000"/>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(16)归属于上市公司股东的每股净资产(元/股)</w:t>
            </w:r>
          </w:p>
        </w:tc>
        <w:tc>
          <w:tcPr>
            <w:tcW w:w="1297" w:type="dxa"/>
            <w:tcBorders>
              <w:top w:val="nil" w:sz="6" w:space="0" w:color="auto"/>
              <w:left w:val="nil" w:sz="6" w:space="0" w:color="auto"/>
              <w:bottom w:val="single" w:sz="8" w:space="0" w:color="000000"/>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z w:val="18"/>
              </w:rPr>
              <w:t>7.21</w:t>
            </w:r>
          </w:p>
        </w:tc>
        <w:tc>
          <w:tcPr>
            <w:tcW w:w="1296" w:type="dxa"/>
            <w:tcBorders>
              <w:top w:val="nil" w:sz="6" w:space="0" w:color="auto"/>
              <w:left w:val="nil" w:sz="6" w:space="0" w:color="auto"/>
              <w:bottom w:val="single" w:sz="8" w:space="0" w:color="000000"/>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z w:val="18"/>
              </w:rPr>
              <w:t>8.85</w:t>
            </w:r>
          </w:p>
        </w:tc>
        <w:tc>
          <w:tcPr>
            <w:tcW w:w="1456" w:type="dxa"/>
            <w:tcBorders>
              <w:top w:val="nil" w:sz="6" w:space="0" w:color="auto"/>
              <w:left w:val="nil" w:sz="6" w:space="0" w:color="auto"/>
              <w:bottom w:val="single" w:sz="8" w:space="0" w:color="000000"/>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z w:val="18"/>
              </w:rPr>
              <w:t>-18.53%</w:t>
            </w:r>
          </w:p>
        </w:tc>
        <w:tc>
          <w:tcPr>
            <w:tcW w:w="1223" w:type="dxa"/>
            <w:tcBorders>
              <w:top w:val="nil" w:sz="6" w:space="0" w:color="auto"/>
              <w:left w:val="nil" w:sz="6" w:space="0" w:color="auto"/>
              <w:bottom w:val="single" w:sz="8" w:space="0" w:color="000000"/>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5.86</w:t>
            </w:r>
          </w:p>
        </w:tc>
      </w:tr>
    </w:tbl>
    <w:p>
      <w:pPr>
        <w:spacing w:line="213"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注：(1)公司根据中国证监会发布的《公开发行证券的公司信息披露解释性公告第 1</w:t>
      </w:r>
      <w:r>
        <w:rPr>
          <w:rFonts w:ascii="宋体" w:hAnsi="宋体" w:cs="宋体" w:eastAsia="宋体" w:hint="default"/>
          <w:spacing w:val="-42"/>
          <w:sz w:val="21"/>
          <w:szCs w:val="21"/>
        </w:rPr>
        <w:t> </w:t>
      </w:r>
      <w:r>
        <w:rPr>
          <w:rFonts w:ascii="宋体" w:hAnsi="宋体" w:cs="宋体" w:eastAsia="宋体" w:hint="default"/>
          <w:sz w:val="21"/>
          <w:szCs w:val="21"/>
        </w:rPr>
        <w:t>号——非经常性</w:t>
      </w:r>
    </w:p>
    <w:p>
      <w:pPr>
        <w:spacing w:line="272" w:lineRule="exact" w:before="26"/>
        <w:ind w:left="238" w:right="0" w:firstLine="0"/>
        <w:jc w:val="left"/>
        <w:rPr>
          <w:rFonts w:ascii="宋体" w:hAnsi="宋体" w:cs="宋体" w:eastAsia="宋体" w:hint="default"/>
          <w:sz w:val="21"/>
          <w:szCs w:val="21"/>
        </w:rPr>
      </w:pPr>
      <w:r>
        <w:rPr>
          <w:rFonts w:ascii="宋体" w:hAnsi="宋体" w:cs="宋体" w:eastAsia="宋体" w:hint="default"/>
          <w:spacing w:val="-2"/>
          <w:sz w:val="21"/>
          <w:szCs w:val="21"/>
        </w:rPr>
        <w:t>损益（2008）》所规定的新口径，对以往年度的非经常性损益进行了一致性调整，并因此影响到以往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年度扣除非经常损益的净利润及相关财务指标。</w:t>
      </w:r>
    </w:p>
    <w:p>
      <w:pPr>
        <w:spacing w:line="246" w:lineRule="exact" w:before="0"/>
        <w:ind w:left="238" w:right="0" w:firstLine="0"/>
        <w:jc w:val="left"/>
        <w:rPr>
          <w:rFonts w:ascii="宋体" w:hAnsi="宋体" w:cs="宋体" w:eastAsia="宋体" w:hint="default"/>
          <w:sz w:val="21"/>
          <w:szCs w:val="21"/>
        </w:rPr>
      </w:pPr>
      <w:r>
        <w:rPr>
          <w:rFonts w:ascii="宋体" w:hAnsi="宋体" w:cs="宋体" w:eastAsia="宋体" w:hint="default"/>
          <w:spacing w:val="-1"/>
          <w:sz w:val="21"/>
          <w:szCs w:val="21"/>
        </w:rPr>
        <w:t>(2)公司根</w:t>
      </w:r>
      <w:r>
        <w:rPr>
          <w:rFonts w:ascii="宋体" w:hAnsi="宋体" w:cs="宋体" w:eastAsia="宋体" w:hint="default"/>
          <w:spacing w:val="-11"/>
          <w:sz w:val="21"/>
          <w:szCs w:val="21"/>
        </w:rPr>
        <w:t>据</w:t>
      </w:r>
      <w:r>
        <w:rPr>
          <w:rFonts w:ascii="宋体" w:hAnsi="宋体" w:cs="宋体" w:eastAsia="宋体" w:hint="default"/>
          <w:spacing w:val="-1"/>
          <w:sz w:val="21"/>
          <w:szCs w:val="21"/>
        </w:rPr>
        <w:t>《企业会计准则</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2"/>
          <w:sz w:val="21"/>
          <w:szCs w:val="21"/>
        </w:rPr>
        <w:t>号</w:t>
      </w:r>
      <w:r>
        <w:rPr>
          <w:rFonts w:ascii="宋体" w:hAnsi="宋体" w:cs="宋体" w:eastAsia="宋体" w:hint="default"/>
          <w:spacing w:val="-1"/>
          <w:sz w:val="21"/>
          <w:szCs w:val="21"/>
        </w:rPr>
        <w:t>—每股收益</w:t>
      </w:r>
      <w:r>
        <w:rPr>
          <w:rFonts w:ascii="宋体" w:hAnsi="宋体" w:cs="宋体" w:eastAsia="宋体" w:hint="default"/>
          <w:spacing w:val="-115"/>
          <w:sz w:val="21"/>
          <w:szCs w:val="21"/>
        </w:rPr>
        <w:t>》</w:t>
      </w:r>
      <w:r>
        <w:rPr>
          <w:rFonts w:ascii="宋体" w:hAnsi="宋体" w:cs="宋体" w:eastAsia="宋体" w:hint="default"/>
          <w:spacing w:val="-1"/>
          <w:sz w:val="21"/>
          <w:szCs w:val="21"/>
        </w:rPr>
        <w:t>“第四</w:t>
      </w:r>
      <w:r>
        <w:rPr>
          <w:rFonts w:ascii="宋体" w:hAnsi="宋体" w:cs="宋体" w:eastAsia="宋体" w:hint="default"/>
          <w:sz w:val="21"/>
          <w:szCs w:val="21"/>
        </w:rPr>
        <w:t>章</w:t>
      </w:r>
      <w:r>
        <w:rPr>
          <w:rFonts w:ascii="宋体" w:hAnsi="宋体" w:cs="宋体" w:eastAsia="宋体" w:hint="default"/>
          <w:spacing w:val="-1"/>
          <w:sz w:val="21"/>
          <w:szCs w:val="21"/>
        </w:rPr>
        <w:t> </w:t>
      </w:r>
      <w:r>
        <w:rPr>
          <w:rFonts w:ascii="宋体" w:hAnsi="宋体" w:cs="宋体" w:eastAsia="宋体" w:hint="default"/>
          <w:spacing w:val="-2"/>
          <w:sz w:val="21"/>
          <w:szCs w:val="21"/>
        </w:rPr>
        <w:t>列</w:t>
      </w:r>
      <w:r>
        <w:rPr>
          <w:rFonts w:ascii="宋体" w:hAnsi="宋体" w:cs="宋体" w:eastAsia="宋体" w:hint="default"/>
          <w:spacing w:val="-1"/>
          <w:sz w:val="21"/>
          <w:szCs w:val="21"/>
        </w:rPr>
        <w:t>报</w:t>
      </w:r>
      <w:r>
        <w:rPr>
          <w:rFonts w:ascii="宋体" w:hAnsi="宋体" w:cs="宋体" w:eastAsia="宋体" w:hint="default"/>
          <w:spacing w:val="-10"/>
          <w:sz w:val="21"/>
          <w:szCs w:val="21"/>
        </w:rPr>
        <w:t>”</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2"/>
          <w:sz w:val="21"/>
          <w:szCs w:val="21"/>
        </w:rPr>
        <w:t>条</w:t>
      </w:r>
      <w:r>
        <w:rPr>
          <w:rFonts w:ascii="宋体" w:hAnsi="宋体" w:cs="宋体" w:eastAsia="宋体" w:hint="default"/>
          <w:spacing w:val="-1"/>
          <w:sz w:val="21"/>
          <w:szCs w:val="21"/>
        </w:rPr>
        <w:t>之规定</w:t>
      </w:r>
      <w:r>
        <w:rPr>
          <w:rFonts w:ascii="宋体" w:hAnsi="宋体" w:cs="宋体" w:eastAsia="宋体" w:hint="default"/>
          <w:spacing w:val="-10"/>
          <w:sz w:val="21"/>
          <w:szCs w:val="21"/>
        </w:rPr>
        <w:t>，</w:t>
      </w:r>
      <w:r>
        <w:rPr>
          <w:rFonts w:ascii="宋体" w:hAnsi="宋体" w:cs="宋体" w:eastAsia="宋体" w:hint="default"/>
          <w:spacing w:val="-1"/>
          <w:sz w:val="21"/>
          <w:szCs w:val="21"/>
        </w:rPr>
        <w:t>针</w:t>
      </w:r>
      <w:r>
        <w:rPr>
          <w:rFonts w:ascii="宋体" w:hAnsi="宋体" w:cs="宋体" w:eastAsia="宋体" w:hint="default"/>
          <w:sz w:val="21"/>
          <w:szCs w:val="21"/>
        </w:rPr>
        <w:t>对</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pacing w:val="-1"/>
          <w:sz w:val="21"/>
          <w:szCs w:val="21"/>
        </w:rPr>
        <w:t>度因</w:t>
      </w:r>
      <w:r>
        <w:rPr>
          <w:rFonts w:ascii="宋体" w:hAnsi="宋体" w:cs="宋体" w:eastAsia="宋体" w:hint="default"/>
          <w:sz w:val="21"/>
          <w:szCs w:val="21"/>
        </w:rPr>
      </w:r>
    </w:p>
    <w:p>
      <w:pPr>
        <w:spacing w:line="274"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配股和资本公积转增股本所引起的普通股数量变动，重新计算了</w:t>
      </w:r>
      <w:r>
        <w:rPr>
          <w:rFonts w:ascii="宋体" w:hAnsi="宋体" w:cs="宋体" w:eastAsia="宋体" w:hint="default"/>
          <w:spacing w:val="-64"/>
          <w:sz w:val="21"/>
          <w:szCs w:val="21"/>
        </w:rPr>
        <w:t> </w:t>
      </w:r>
      <w:r>
        <w:rPr>
          <w:rFonts w:ascii="宋体" w:hAnsi="宋体" w:cs="宋体" w:eastAsia="宋体" w:hint="default"/>
          <w:sz w:val="21"/>
          <w:szCs w:val="21"/>
        </w:rPr>
        <w:t>2007</w:t>
      </w:r>
      <w:r>
        <w:rPr>
          <w:rFonts w:ascii="宋体" w:hAnsi="宋体" w:cs="宋体" w:eastAsia="宋体" w:hint="default"/>
          <w:spacing w:val="-64"/>
          <w:sz w:val="21"/>
          <w:szCs w:val="21"/>
        </w:rPr>
        <w:t> </w:t>
      </w:r>
      <w:r>
        <w:rPr>
          <w:rFonts w:ascii="宋体" w:hAnsi="宋体" w:cs="宋体" w:eastAsia="宋体" w:hint="default"/>
          <w:sz w:val="21"/>
          <w:szCs w:val="21"/>
        </w:rPr>
        <w:t>年度和</w:t>
      </w:r>
      <w:r>
        <w:rPr>
          <w:rFonts w:ascii="宋体" w:hAnsi="宋体" w:cs="宋体" w:eastAsia="宋体" w:hint="default"/>
          <w:spacing w:val="-64"/>
          <w:sz w:val="21"/>
          <w:szCs w:val="21"/>
        </w:rPr>
        <w:t> </w:t>
      </w:r>
      <w:r>
        <w:rPr>
          <w:rFonts w:ascii="宋体" w:hAnsi="宋体" w:cs="宋体" w:eastAsia="宋体" w:hint="default"/>
          <w:sz w:val="21"/>
          <w:szCs w:val="21"/>
        </w:rPr>
        <w:t>2006</w:t>
      </w:r>
      <w:r>
        <w:rPr>
          <w:rFonts w:ascii="宋体" w:hAnsi="宋体" w:cs="宋体" w:eastAsia="宋体" w:hint="default"/>
          <w:spacing w:val="-64"/>
          <w:sz w:val="21"/>
          <w:szCs w:val="21"/>
        </w:rPr>
        <w:t> </w:t>
      </w:r>
      <w:r>
        <w:rPr>
          <w:rFonts w:ascii="宋体" w:hAnsi="宋体" w:cs="宋体" w:eastAsia="宋体" w:hint="default"/>
          <w:sz w:val="21"/>
          <w:szCs w:val="21"/>
        </w:rPr>
        <w:t>年度的每股收益。</w:t>
      </w:r>
    </w:p>
    <w:p>
      <w:pPr>
        <w:spacing w:after="0" w:line="274" w:lineRule="exact"/>
        <w:jc w:val="left"/>
        <w:rPr>
          <w:rFonts w:ascii="宋体" w:hAnsi="宋体" w:cs="宋体" w:eastAsia="宋体" w:hint="default"/>
          <w:sz w:val="21"/>
          <w:szCs w:val="21"/>
        </w:rPr>
        <w:sectPr>
          <w:type w:val="continuous"/>
          <w:pgSz w:w="11910" w:h="16840"/>
          <w:pgMar w:top="1600" w:bottom="280" w:left="11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26"/>
        <w:ind w:left="238" w:right="4066" w:firstLine="0"/>
        <w:jc w:val="left"/>
        <w:rPr>
          <w:rFonts w:ascii="宋体" w:hAnsi="宋体" w:cs="宋体" w:eastAsia="宋体" w:hint="default"/>
          <w:sz w:val="21"/>
          <w:szCs w:val="21"/>
        </w:rPr>
      </w:pPr>
      <w:r>
        <w:rPr>
          <w:rFonts w:ascii="宋体" w:hAnsi="宋体" w:cs="宋体" w:eastAsia="宋体" w:hint="default"/>
          <w:b/>
          <w:bCs/>
          <w:spacing w:val="-9"/>
          <w:sz w:val="24"/>
          <w:szCs w:val="24"/>
        </w:rPr>
        <w:t>3、非经常性损益的构成</w:t>
      </w:r>
      <w:r>
        <w:rPr>
          <w:rFonts w:ascii="宋体" w:hAnsi="宋体" w:cs="宋体" w:eastAsia="宋体" w:hint="default"/>
          <w:spacing w:val="-9"/>
          <w:sz w:val="21"/>
          <w:szCs w:val="21"/>
        </w:rPr>
        <w:t>(单位：元)</w:t>
      </w:r>
      <w:r>
        <w:rPr>
          <w:rFonts w:ascii="宋体" w:hAnsi="宋体" w:cs="宋体" w:eastAsia="宋体" w:hint="default"/>
          <w:sz w:val="21"/>
          <w:szCs w:val="21"/>
        </w:rPr>
      </w:r>
    </w:p>
    <w:p>
      <w:pPr>
        <w:spacing w:line="240" w:lineRule="auto" w:before="9"/>
        <w:rPr>
          <w:rFonts w:ascii="宋体" w:hAnsi="宋体" w:cs="宋体" w:eastAsia="宋体" w:hint="default"/>
          <w:sz w:val="24"/>
          <w:szCs w:val="24"/>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05pt;height:1.5pt;mso-position-horizontal-relative:char;mso-position-vertical-relative:line" coordorigin="0,0" coordsize="9441,30">
            <v:group style="position:absolute;left:15;top:15;width:9411;height:2" coordorigin="15,15" coordsize="9411,2">
              <v:shape style="position:absolute;left:15;top:15;width:9411;height:2" coordorigin="15,15" coordsize="9411,0" path="m15,15l9425,15e" filled="false" stroked="true" strokeweight="1.5pt" strokecolor="#000000">
                <v:path arrowok="t"/>
              </v:shape>
            </v:group>
          </v:group>
        </w:pict>
      </w:r>
      <w:r>
        <w:rPr>
          <w:rFonts w:ascii="宋体" w:hAnsi="宋体" w:cs="宋体" w:eastAsia="宋体" w:hint="default"/>
          <w:position w:val="0"/>
          <w:sz w:val="3"/>
          <w:szCs w:val="3"/>
        </w:rPr>
      </w:r>
    </w:p>
    <w:p>
      <w:pPr>
        <w:tabs>
          <w:tab w:pos="8339" w:val="left" w:leader="none"/>
        </w:tabs>
        <w:spacing w:before="0"/>
        <w:ind w:left="3843" w:right="0" w:firstLine="0"/>
        <w:jc w:val="left"/>
        <w:rPr>
          <w:rFonts w:ascii="宋体" w:hAnsi="宋体" w:cs="宋体" w:eastAsia="宋体" w:hint="default"/>
          <w:sz w:val="21"/>
          <w:szCs w:val="21"/>
        </w:rPr>
      </w:pPr>
      <w:r>
        <w:rPr>
          <w:rFonts w:ascii="宋体" w:hAnsi="宋体" w:cs="宋体" w:eastAsia="宋体" w:hint="default"/>
          <w:b/>
          <w:bCs/>
          <w:w w:val="95"/>
          <w:sz w:val="21"/>
          <w:szCs w:val="21"/>
        </w:rPr>
        <w:t>项目</w:t>
        <w:tab/>
      </w:r>
      <w:r>
        <w:rPr>
          <w:rFonts w:ascii="宋体" w:hAnsi="宋体" w:cs="宋体" w:eastAsia="宋体" w:hint="default"/>
          <w:b/>
          <w:bCs/>
          <w:sz w:val="21"/>
          <w:szCs w:val="21"/>
        </w:rPr>
        <w:t>本年金额</w:t>
      </w:r>
      <w:r>
        <w:rPr>
          <w:rFonts w:ascii="宋体" w:hAnsi="宋体" w:cs="宋体" w:eastAsia="宋体" w:hint="default"/>
          <w:sz w:val="21"/>
          <w:szCs w:val="21"/>
        </w:rPr>
      </w:r>
    </w:p>
    <w:p>
      <w:pPr>
        <w:spacing w:line="240" w:lineRule="auto" w:before="1"/>
        <w:rPr>
          <w:rFonts w:ascii="宋体" w:hAnsi="宋体" w:cs="宋体" w:eastAsia="宋体" w:hint="default"/>
          <w:b/>
          <w:bCs/>
          <w:sz w:val="4"/>
          <w:szCs w:val="4"/>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71.5pt;height:1pt;mso-position-horizontal-relative:char;mso-position-vertical-relative:line" coordorigin="0,0" coordsize="9430,20">
            <v:group style="position:absolute;left:10;top:10;width:9411;height:2" coordorigin="10,10" coordsize="9411,2">
              <v:shape style="position:absolute;left:10;top:10;width:9411;height:2" coordorigin="10,10" coordsize="9411,0" path="m10,10l9420,10e" filled="false" stroked="true" strokeweight=".96pt" strokecolor="#000000">
                <v:path arrowok="t"/>
              </v:shape>
            </v:group>
          </v:group>
        </w:pict>
      </w:r>
      <w:r>
        <w:rPr>
          <w:rFonts w:ascii="宋体" w:hAnsi="宋体" w:cs="宋体" w:eastAsia="宋体" w:hint="default"/>
          <w:sz w:val="2"/>
          <w:szCs w:val="2"/>
        </w:rPr>
      </w:r>
    </w:p>
    <w:p>
      <w:pPr>
        <w:tabs>
          <w:tab w:pos="8335" w:val="left" w:leader="none"/>
        </w:tabs>
        <w:spacing w:before="0"/>
        <w:ind w:left="238"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(1)非流动资产处置损益</w:t>
        <w:tab/>
      </w:r>
      <w:r>
        <w:rPr>
          <w:rFonts w:ascii="Times New Roman" w:hAnsi="Times New Roman" w:cs="Times New Roman" w:eastAsia="Times New Roman" w:hint="default"/>
          <w:spacing w:val="-1"/>
          <w:sz w:val="21"/>
          <w:szCs w:val="21"/>
        </w:rPr>
        <w:t>8,914,906.95</w:t>
      </w:r>
    </w:p>
    <w:p>
      <w:pPr>
        <w:tabs>
          <w:tab w:pos="8231" w:val="left" w:leader="none"/>
        </w:tabs>
        <w:spacing w:before="21"/>
        <w:ind w:left="238"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(2)计入当期损益的政府补助</w:t>
        <w:tab/>
      </w:r>
      <w:r>
        <w:rPr>
          <w:rFonts w:ascii="Times New Roman" w:hAnsi="Times New Roman" w:cs="Times New Roman" w:eastAsia="Times New Roman" w:hint="default"/>
          <w:spacing w:val="-1"/>
          <w:sz w:val="21"/>
          <w:szCs w:val="21"/>
        </w:rPr>
        <w:t>67,447,888.27</w:t>
      </w:r>
    </w:p>
    <w:p>
      <w:pPr>
        <w:spacing w:line="232" w:lineRule="exact" w:before="46"/>
        <w:ind w:left="238" w:right="1666" w:firstLine="0"/>
        <w:jc w:val="left"/>
        <w:rPr>
          <w:rFonts w:ascii="宋体" w:hAnsi="宋体" w:cs="宋体" w:eastAsia="宋体" w:hint="default"/>
          <w:sz w:val="21"/>
          <w:szCs w:val="21"/>
        </w:rPr>
      </w:pPr>
      <w:r>
        <w:rPr>
          <w:rFonts w:ascii="宋体" w:hAnsi="宋体" w:cs="宋体" w:eastAsia="宋体" w:hint="default"/>
          <w:sz w:val="21"/>
          <w:szCs w:val="21"/>
        </w:rPr>
        <w:t>(3)企业取得子公司、联营企业及合营企业的投资成本小于取得投资时应享有被投资</w:t>
      </w:r>
    </w:p>
    <w:p>
      <w:pPr>
        <w:spacing w:line="214" w:lineRule="exact" w:before="0"/>
        <w:ind w:left="0" w:right="223" w:firstLine="0"/>
        <w:jc w:val="right"/>
        <w:rPr>
          <w:rFonts w:ascii="Times New Roman" w:hAnsi="Times New Roman" w:cs="Times New Roman" w:eastAsia="Times New Roman" w:hint="default"/>
          <w:sz w:val="21"/>
          <w:szCs w:val="21"/>
        </w:rPr>
      </w:pPr>
      <w:r>
        <w:rPr/>
        <w:pict>
          <v:shape style="position:absolute;margin-left:65.519997pt;margin-top:7.227137pt;width:470.55pt;height:235.7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85"/>
                    <w:gridCol w:w="1526"/>
                  </w:tblGrid>
                  <w:tr>
                    <w:trPr>
                      <w:trHeight w:val="604" w:hRule="exact"/>
                    </w:trPr>
                    <w:tc>
                      <w:tcPr>
                        <w:tcW w:w="7885"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21"/>
                            <w:szCs w:val="21"/>
                          </w:rPr>
                        </w:pPr>
                        <w:r>
                          <w:rPr>
                            <w:rFonts w:ascii="宋体" w:hAnsi="宋体" w:cs="宋体" w:eastAsia="宋体" w:hint="default"/>
                            <w:sz w:val="21"/>
                            <w:szCs w:val="21"/>
                          </w:rPr>
                          <w:t>单位可辨认净资产公允价值产生的收益</w:t>
                        </w:r>
                      </w:p>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(4)非货币性资产交换损益</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200.00</w:t>
                        </w:r>
                      </w:p>
                    </w:tc>
                  </w:tr>
                  <w:tr>
                    <w:trPr>
                      <w:trHeight w:val="314" w:hRule="exact"/>
                    </w:trPr>
                    <w:tc>
                      <w:tcPr>
                        <w:tcW w:w="7885" w:type="dxa"/>
                        <w:tcBorders>
                          <w:top w:val="nil" w:sz="6" w:space="0" w:color="auto"/>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sz w:val="21"/>
                            <w:szCs w:val="21"/>
                          </w:rPr>
                          <w:t>(5)债务重组损益</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54,130.40</w:t>
                        </w:r>
                      </w:p>
                    </w:tc>
                  </w:tr>
                  <w:tr>
                    <w:trPr>
                      <w:trHeight w:val="309" w:hRule="exact"/>
                    </w:trPr>
                    <w:tc>
                      <w:tcPr>
                        <w:tcW w:w="7885" w:type="dxa"/>
                        <w:tcBorders>
                          <w:top w:val="nil" w:sz="6" w:space="0" w:color="auto"/>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(6)除同公司正常经营业务相关的有效套期保值业务外，持有交易性金融资产、交易</w:t>
                        </w:r>
                      </w:p>
                    </w:tc>
                    <w:tc>
                      <w:tcPr>
                        <w:tcW w:w="1526" w:type="dxa"/>
                        <w:tcBorders>
                          <w:top w:val="nil" w:sz="6" w:space="0" w:color="auto"/>
                          <w:left w:val="nil" w:sz="6" w:space="0" w:color="auto"/>
                          <w:bottom w:val="nil" w:sz="6" w:space="0" w:color="auto"/>
                          <w:right w:val="nil" w:sz="6" w:space="0" w:color="auto"/>
                        </w:tcBorders>
                      </w:tcPr>
                      <w:p>
                        <w:pPr/>
                      </w:p>
                    </w:tc>
                  </w:tr>
                  <w:tr>
                    <w:trPr>
                      <w:trHeight w:val="626" w:hRule="exact"/>
                    </w:trPr>
                    <w:tc>
                      <w:tcPr>
                        <w:tcW w:w="7885"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性金融负债产生的公允价值变动损益，以及处置交易性金融资产、交易性金融负债</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和可供出售金融资产取得的投资收益</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-16,977,894.81</w:t>
                        </w:r>
                        <w:r>
                          <w:rPr>
                            <w:rFonts w:ascii="Times New Roman"/>
                            <w:sz w:val="21"/>
                          </w:rPr>
                        </w:r>
                      </w:p>
                    </w:tc>
                  </w:tr>
                  <w:tr>
                    <w:trPr>
                      <w:trHeight w:val="320" w:hRule="exact"/>
                    </w:trPr>
                    <w:tc>
                      <w:tcPr>
                        <w:tcW w:w="7885" w:type="dxa"/>
                        <w:tcBorders>
                          <w:top w:val="nil" w:sz="6" w:space="0" w:color="auto"/>
                          <w:left w:val="nil" w:sz="6" w:space="0" w:color="auto"/>
                          <w:bottom w:val="nil" w:sz="6" w:space="0" w:color="auto"/>
                          <w:right w:val="nil" w:sz="6" w:space="0" w:color="auto"/>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(7)单独进行减值测试的应收款项减值准备转回</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143,150.24</w:t>
                        </w:r>
                        <w:r>
                          <w:rPr>
                            <w:rFonts w:ascii="Times New Roman"/>
                            <w:sz w:val="21"/>
                          </w:rPr>
                        </w:r>
                      </w:p>
                    </w:tc>
                  </w:tr>
                  <w:tr>
                    <w:trPr>
                      <w:trHeight w:val="312" w:hRule="exact"/>
                    </w:trPr>
                    <w:tc>
                      <w:tcPr>
                        <w:tcW w:w="7885" w:type="dxa"/>
                        <w:tcBorders>
                          <w:top w:val="nil" w:sz="6" w:space="0" w:color="auto"/>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sz w:val="21"/>
                            <w:szCs w:val="21"/>
                          </w:rPr>
                          <w:t>(8)对外委托贷款取得的损益</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w:t>
                        </w:r>
                      </w:p>
                    </w:tc>
                  </w:tr>
                  <w:tr>
                    <w:trPr>
                      <w:trHeight w:val="312" w:hRule="exact"/>
                    </w:trPr>
                    <w:tc>
                      <w:tcPr>
                        <w:tcW w:w="7885" w:type="dxa"/>
                        <w:tcBorders>
                          <w:top w:val="nil" w:sz="6" w:space="0" w:color="auto"/>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sz w:val="21"/>
                            <w:szCs w:val="21"/>
                          </w:rPr>
                          <w:t>(9)除上述各项之外的其他营业外收入和支出</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-68,911,547.20</w:t>
                        </w:r>
                        <w:r>
                          <w:rPr>
                            <w:rFonts w:ascii="Times New Roman"/>
                            <w:sz w:val="21"/>
                          </w:rPr>
                        </w:r>
                      </w:p>
                    </w:tc>
                  </w:tr>
                  <w:tr>
                    <w:trPr>
                      <w:trHeight w:val="312" w:hRule="exact"/>
                    </w:trPr>
                    <w:tc>
                      <w:tcPr>
                        <w:tcW w:w="7885" w:type="dxa"/>
                        <w:tcBorders>
                          <w:top w:val="nil" w:sz="6" w:space="0" w:color="auto"/>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sz w:val="21"/>
                            <w:szCs w:val="21"/>
                          </w:rPr>
                          <w:t>(10)其他符合非经常性损益定义的损益项目</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7,643,042.33</w:t>
                        </w:r>
                      </w:p>
                    </w:tc>
                  </w:tr>
                  <w:tr>
                    <w:trPr>
                      <w:trHeight w:val="313" w:hRule="exact"/>
                    </w:trPr>
                    <w:tc>
                      <w:tcPr>
                        <w:tcW w:w="7885" w:type="dxa"/>
                        <w:tcBorders>
                          <w:top w:val="nil" w:sz="6" w:space="0" w:color="auto"/>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21"/>
                            <w:szCs w:val="21"/>
                          </w:rPr>
                        </w:pPr>
                        <w:r>
                          <w:rPr>
                            <w:rFonts w:ascii="Times New Roman"/>
                            <w:b/>
                            <w:spacing w:val="-1"/>
                            <w:sz w:val="21"/>
                          </w:rPr>
                          <w:t>-1,686,123.82</w:t>
                        </w:r>
                        <w:r>
                          <w:rPr>
                            <w:rFonts w:ascii="Times New Roman"/>
                            <w:spacing w:val="-1"/>
                            <w:sz w:val="21"/>
                          </w:rPr>
                        </w:r>
                      </w:p>
                    </w:tc>
                  </w:tr>
                  <w:tr>
                    <w:trPr>
                      <w:trHeight w:val="311" w:hRule="exact"/>
                    </w:trPr>
                    <w:tc>
                      <w:tcPr>
                        <w:tcW w:w="7885" w:type="dxa"/>
                        <w:tcBorders>
                          <w:top w:val="nil" w:sz="6" w:space="0" w:color="auto"/>
                          <w:left w:val="nil" w:sz="6" w:space="0" w:color="auto"/>
                          <w:bottom w:val="nil" w:sz="6" w:space="0" w:color="auto"/>
                          <w:right w:val="nil" w:sz="6" w:space="0" w:color="auto"/>
                        </w:tcBorders>
                      </w:tcPr>
                      <w:p>
                        <w:pPr>
                          <w:pStyle w:val="TableParagraph"/>
                          <w:spacing w:line="254"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-4,027,001.71</w:t>
                        </w:r>
                      </w:p>
                    </w:tc>
                  </w:tr>
                  <w:tr>
                    <w:trPr>
                      <w:trHeight w:val="309" w:hRule="exact"/>
                    </w:trPr>
                    <w:tc>
                      <w:tcPr>
                        <w:tcW w:w="7885" w:type="dxa"/>
                        <w:tcBorders>
                          <w:top w:val="nil" w:sz="6" w:space="0" w:color="auto"/>
                          <w:left w:val="nil" w:sz="6" w:space="0" w:color="auto"/>
                          <w:bottom w:val="single" w:sz="2" w:space="0" w:color="000000"/>
                          <w:right w:val="nil" w:sz="6" w:space="0" w:color="auto"/>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非经常性净损益合计</w:t>
                        </w:r>
                        <w:r>
                          <w:rPr>
                            <w:rFonts w:ascii="宋体" w:hAnsi="宋体" w:cs="宋体" w:eastAsia="宋体" w:hint="default"/>
                            <w:sz w:val="21"/>
                            <w:szCs w:val="21"/>
                          </w:rPr>
                        </w:r>
                      </w:p>
                    </w:tc>
                    <w:tc>
                      <w:tcPr>
                        <w:tcW w:w="1526" w:type="dxa"/>
                        <w:tcBorders>
                          <w:top w:val="nil" w:sz="6" w:space="0" w:color="auto"/>
                          <w:left w:val="nil" w:sz="6" w:space="0" w:color="auto"/>
                          <w:bottom w:val="single" w:sz="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21"/>
                            <w:szCs w:val="21"/>
                          </w:rPr>
                        </w:pPr>
                        <w:r>
                          <w:rPr>
                            <w:rFonts w:ascii="Times New Roman"/>
                            <w:b/>
                            <w:spacing w:val="-1"/>
                            <w:sz w:val="21"/>
                          </w:rPr>
                          <w:t>-5,713,125.53</w:t>
                        </w:r>
                        <w:r>
                          <w:rPr>
                            <w:rFonts w:ascii="Times New Roman"/>
                            <w:spacing w:val="-1"/>
                            <w:sz w:val="21"/>
                          </w:rPr>
                        </w:r>
                      </w:p>
                    </w:tc>
                  </w:tr>
                  <w:tr>
                    <w:trPr>
                      <w:trHeight w:val="320" w:hRule="exact"/>
                    </w:trPr>
                    <w:tc>
                      <w:tcPr>
                        <w:tcW w:w="7885" w:type="dxa"/>
                        <w:tcBorders>
                          <w:top w:val="single" w:sz="2" w:space="0" w:color="000000"/>
                          <w:left w:val="nil" w:sz="6" w:space="0" w:color="auto"/>
                          <w:bottom w:val="nil" w:sz="6" w:space="0" w:color="auto"/>
                          <w:right w:val="nil" w:sz="6" w:space="0" w:color="auto"/>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其中：归属于母公司股东的非经常性损益</w:t>
                        </w:r>
                        <w:r>
                          <w:rPr>
                            <w:rFonts w:ascii="宋体" w:hAnsi="宋体" w:cs="宋体" w:eastAsia="宋体" w:hint="default"/>
                            <w:sz w:val="21"/>
                            <w:szCs w:val="21"/>
                          </w:rPr>
                        </w:r>
                      </w:p>
                    </w:tc>
                    <w:tc>
                      <w:tcPr>
                        <w:tcW w:w="1526" w:type="dxa"/>
                        <w:tcBorders>
                          <w:top w:val="single" w:sz="2" w:space="0" w:color="000000"/>
                          <w:left w:val="nil" w:sz="6" w:space="0" w:color="auto"/>
                          <w:bottom w:val="nil" w:sz="6" w:space="0" w:color="auto"/>
                          <w:right w:val="nil" w:sz="6" w:space="0" w:color="auto"/>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b/>
                            <w:spacing w:val="-1"/>
                            <w:sz w:val="21"/>
                          </w:rPr>
                          <w:t>-18,561,076.72</w:t>
                        </w:r>
                        <w:r>
                          <w:rPr>
                            <w:rFonts w:ascii="Times New Roman"/>
                            <w:sz w:val="21"/>
                          </w:rPr>
                        </w:r>
                      </w:p>
                    </w:tc>
                  </w:tr>
                  <w:tr>
                    <w:trPr>
                      <w:trHeight w:val="321" w:hRule="exact"/>
                    </w:trPr>
                    <w:tc>
                      <w:tcPr>
                        <w:tcW w:w="7885" w:type="dxa"/>
                        <w:tcBorders>
                          <w:top w:val="nil" w:sz="6" w:space="0" w:color="auto"/>
                          <w:left w:val="nil" w:sz="6" w:space="0" w:color="auto"/>
                          <w:bottom w:val="single" w:sz="12" w:space="0" w:color="000000"/>
                          <w:right w:val="nil" w:sz="6" w:space="0" w:color="auto"/>
                        </w:tcBorders>
                      </w:tcPr>
                      <w:p>
                        <w:pPr>
                          <w:pStyle w:val="TableParagraph"/>
                          <w:spacing w:line="254" w:lineRule="exact"/>
                          <w:ind w:left="738" w:right="0"/>
                          <w:jc w:val="left"/>
                          <w:rPr>
                            <w:rFonts w:ascii="宋体" w:hAnsi="宋体" w:cs="宋体" w:eastAsia="宋体" w:hint="default"/>
                            <w:sz w:val="21"/>
                            <w:szCs w:val="21"/>
                          </w:rPr>
                        </w:pPr>
                        <w:r>
                          <w:rPr>
                            <w:rFonts w:ascii="宋体" w:hAnsi="宋体" w:cs="宋体" w:eastAsia="宋体" w:hint="default"/>
                            <w:sz w:val="21"/>
                            <w:szCs w:val="21"/>
                          </w:rPr>
                          <w:t>归属于少数股东的非经常性损益</w:t>
                        </w:r>
                      </w:p>
                    </w:tc>
                    <w:tc>
                      <w:tcPr>
                        <w:tcW w:w="1526"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12,847,951.19</w:t>
                        </w:r>
                      </w:p>
                    </w:tc>
                  </w:tr>
                </w:tbl>
                <w:p>
                  <w:pPr/>
                </w:p>
              </w:txbxContent>
            </v:textbox>
            <w10:wrap type="none"/>
          </v:shape>
        </w:pict>
      </w:r>
      <w:r>
        <w:rPr>
          <w:rFonts w:ascii="Times New Roman"/>
          <w:sz w:val="21"/>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86" w:lineRule="exact" w:before="60"/>
        <w:ind w:left="238" w:right="0" w:firstLine="0"/>
        <w:jc w:val="left"/>
        <w:rPr>
          <w:rFonts w:ascii="宋体" w:hAnsi="宋体" w:cs="宋体" w:eastAsia="宋体" w:hint="default"/>
          <w:sz w:val="22"/>
          <w:szCs w:val="22"/>
        </w:rPr>
      </w:pPr>
      <w:r>
        <w:rPr>
          <w:rFonts w:ascii="宋体" w:hAnsi="宋体" w:cs="宋体" w:eastAsia="宋体" w:hint="default"/>
          <w:sz w:val="22"/>
          <w:szCs w:val="22"/>
        </w:rPr>
        <w:t>注：非经常性损益中第(9)项主要系公司实施的奥运门票系统捐赠、地震灾区捐赠等公益性事宜</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影响所致。</w:t>
      </w:r>
    </w:p>
    <w:p>
      <w:pPr>
        <w:spacing w:after="0" w:line="286" w:lineRule="exact"/>
        <w:jc w:val="left"/>
        <w:rPr>
          <w:rFonts w:ascii="宋体" w:hAnsi="宋体" w:cs="宋体" w:eastAsia="宋体" w:hint="default"/>
          <w:sz w:val="22"/>
          <w:szCs w:val="22"/>
        </w:rPr>
        <w:sectPr>
          <w:pgSz w:w="11910" w:h="16840"/>
          <w:pgMar w:header="610" w:footer="764" w:top="1080" w:bottom="980" w:left="1180" w:right="1060"/>
        </w:sectPr>
      </w:pPr>
    </w:p>
    <w:p>
      <w:pPr>
        <w:spacing w:line="240" w:lineRule="auto" w:before="7"/>
        <w:rPr>
          <w:rFonts w:ascii="宋体" w:hAnsi="宋体" w:cs="宋体" w:eastAsia="宋体" w:hint="default"/>
          <w:sz w:val="22"/>
          <w:szCs w:val="22"/>
        </w:rPr>
      </w:pPr>
    </w:p>
    <w:p>
      <w:pPr>
        <w:spacing w:line="847" w:lineRule="exact"/>
        <w:ind w:left="14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231.1pt;height:42.4pt;mso-position-horizontal-relative:char;mso-position-vertical-relative:line" coordorigin="0,0" coordsize="4622,848">
            <v:shape style="position:absolute;left:0;top:0;width:4621;height:847" type="#_x0000_t75" stroked="false">
              <v:imagedata r:id="rId13" o:title=""/>
            </v:shape>
            <v:group style="position:absolute;left:106;top:702;width:4426;height:2" coordorigin="106,702" coordsize="4426,2">
              <v:shape style="position:absolute;left:106;top:702;width:4426;height:2" coordorigin="106,702" coordsize="4426,0" path="m106,702l4531,702e" filled="false" stroked="true" strokeweight=".25pt" strokecolor="#000000">
                <v:path arrowok="t"/>
              </v:shape>
            </v:group>
            <v:group style="position:absolute;left:4530;top:185;width:2;height:572" coordorigin="4530,185" coordsize="2,572">
              <v:shape style="position:absolute;left:4530;top:185;width:2;height:572" coordorigin="4530,185" coordsize="2,572" path="m4530,185l4531,756e" filled="false" stroked="true" strokeweight=".25pt" strokecolor="#000000">
                <v:path arrowok="t"/>
              </v:shape>
              <v:shape style="position:absolute;left:0;top:0;width:4622;height:848" type="#_x0000_t202" filled="false" stroked="false">
                <v:textbox inset="0,0,0,0">
                  <w:txbxContent>
                    <w:p>
                      <w:pPr>
                        <w:spacing w:before="264"/>
                        <w:ind w:left="142" w:right="0" w:firstLine="0"/>
                        <w:jc w:val="left"/>
                        <w:rPr>
                          <w:rFonts w:ascii="黑体" w:hAnsi="黑体" w:cs="黑体" w:eastAsia="黑体" w:hint="default"/>
                          <w:sz w:val="30"/>
                          <w:szCs w:val="30"/>
                        </w:rPr>
                      </w:pPr>
                      <w:r>
                        <w:rPr>
                          <w:rFonts w:ascii="黑体" w:hAnsi="黑体" w:cs="黑体" w:eastAsia="黑体" w:hint="default"/>
                          <w:b/>
                          <w:bCs/>
                          <w:sz w:val="30"/>
                          <w:szCs w:val="30"/>
                        </w:rPr>
                        <w:t>三、股本变动及股东情况介绍</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6"/>
          <w:sz w:val="20"/>
          <w:szCs w:val="20"/>
        </w:rPr>
      </w:r>
    </w:p>
    <w:p>
      <w:pPr>
        <w:spacing w:line="240" w:lineRule="auto" w:before="1"/>
        <w:rPr>
          <w:rFonts w:ascii="宋体" w:hAnsi="宋体" w:cs="宋体" w:eastAsia="宋体" w:hint="default"/>
          <w:sz w:val="12"/>
          <w:szCs w:val="12"/>
        </w:rPr>
      </w:pPr>
    </w:p>
    <w:p>
      <w:pPr>
        <w:pStyle w:val="Heading2"/>
        <w:spacing w:line="240" w:lineRule="auto" w:before="13"/>
        <w:ind w:left="138" w:right="0"/>
        <w:jc w:val="both"/>
        <w:rPr>
          <w:b w:val="0"/>
          <w:bCs w:val="0"/>
        </w:rPr>
      </w:pPr>
      <w:r>
        <w:rPr/>
        <w:t>(一)股本变动情况</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left="138" w:right="0"/>
        <w:jc w:val="both"/>
        <w:rPr>
          <w:b w:val="0"/>
          <w:bCs w:val="0"/>
        </w:rPr>
      </w:pPr>
      <w:r>
        <w:rPr/>
        <w:t>1、公司股票发行与上市之沿革</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0"/>
        <w:jc w:val="both"/>
      </w:pPr>
      <w:r>
        <w:rPr/>
        <w:t>公司于</w:t>
      </w:r>
      <w:r>
        <w:rPr>
          <w:spacing w:val="-81"/>
        </w:rPr>
        <w:t> </w:t>
      </w:r>
      <w:r>
        <w:rPr/>
        <w:t>1997</w:t>
      </w:r>
      <w:r>
        <w:rPr>
          <w:spacing w:val="-81"/>
        </w:rPr>
        <w:t> </w:t>
      </w:r>
      <w:r>
        <w:rPr/>
        <w:t>年</w:t>
      </w:r>
      <w:r>
        <w:rPr>
          <w:spacing w:val="-81"/>
        </w:rPr>
        <w:t> </w:t>
      </w:r>
      <w:r>
        <w:rPr/>
        <w:t>6</w:t>
      </w:r>
      <w:r>
        <w:rPr>
          <w:spacing w:val="-80"/>
        </w:rPr>
        <w:t> </w:t>
      </w:r>
      <w:r>
        <w:rPr/>
        <w:t>月</w:t>
      </w:r>
      <w:r>
        <w:rPr>
          <w:spacing w:val="-81"/>
        </w:rPr>
        <w:t> </w:t>
      </w:r>
      <w:r>
        <w:rPr/>
        <w:t>12</w:t>
      </w:r>
      <w:r>
        <w:rPr>
          <w:spacing w:val="-80"/>
        </w:rPr>
        <w:t> </w:t>
      </w:r>
      <w:r>
        <w:rPr/>
        <w:t>日首次向社会公众发行了普通股(A)42,000,000</w:t>
      </w:r>
      <w:r>
        <w:rPr>
          <w:spacing w:val="-81"/>
        </w:rPr>
        <w:t> </w:t>
      </w:r>
      <w:r>
        <w:rPr/>
        <w:t>股(其中</w:t>
      </w:r>
      <w:r>
        <w:rPr>
          <w:spacing w:val="-81"/>
        </w:rPr>
        <w:t> </w:t>
      </w:r>
      <w:r>
        <w:rPr/>
        <w:t>4,200,000</w:t>
      </w:r>
    </w:p>
    <w:p>
      <w:pPr>
        <w:pStyle w:val="BodyText"/>
        <w:spacing w:line="312" w:lineRule="exact" w:before="29"/>
        <w:ind w:right="213"/>
        <w:jc w:val="left"/>
      </w:pPr>
      <w:r>
        <w:rPr/>
        <w:t>股为内部职工股)，每股发行价</w:t>
      </w:r>
      <w:r>
        <w:rPr>
          <w:spacing w:val="-51"/>
        </w:rPr>
        <w:t> </w:t>
      </w:r>
      <w:r>
        <w:rPr/>
        <w:t>8.28</w:t>
      </w:r>
      <w:r>
        <w:rPr>
          <w:spacing w:val="-51"/>
        </w:rPr>
        <w:t> </w:t>
      </w:r>
      <w:r>
        <w:rPr/>
        <w:t>元，所发行股票于</w:t>
      </w:r>
      <w:r>
        <w:rPr>
          <w:spacing w:val="-51"/>
        </w:rPr>
        <w:t> </w:t>
      </w:r>
      <w:r>
        <w:rPr/>
        <w:t>1997</w:t>
      </w:r>
      <w:r>
        <w:rPr>
          <w:spacing w:val="-51"/>
        </w:rPr>
        <w:t> </w:t>
      </w:r>
      <w:r>
        <w:rPr/>
        <w:t>年</w:t>
      </w:r>
      <w:r>
        <w:rPr>
          <w:spacing w:val="-50"/>
        </w:rPr>
        <w:t> </w:t>
      </w:r>
      <w:r>
        <w:rPr/>
        <w:t>6</w:t>
      </w:r>
      <w:r>
        <w:rPr>
          <w:spacing w:val="-51"/>
        </w:rPr>
        <w:t> </w:t>
      </w:r>
      <w:r>
        <w:rPr/>
        <w:t>月</w:t>
      </w:r>
      <w:r>
        <w:rPr>
          <w:spacing w:val="-51"/>
        </w:rPr>
        <w:t> </w:t>
      </w:r>
      <w:r>
        <w:rPr/>
        <w:t>27</w:t>
      </w:r>
      <w:r>
        <w:rPr>
          <w:spacing w:val="-51"/>
        </w:rPr>
        <w:t> </w:t>
      </w:r>
      <w:r>
        <w:rPr/>
        <w:t>日在上海证券交</w:t>
      </w:r>
      <w:r>
        <w:rPr/>
        <w:t> 易所挂牌交易。发行后，公司总股本为</w:t>
      </w:r>
      <w:r>
        <w:rPr>
          <w:spacing w:val="-60"/>
        </w:rPr>
        <w:t> </w:t>
      </w:r>
      <w:r>
        <w:rPr/>
        <w:t>110,700,000</w:t>
      </w:r>
      <w:r>
        <w:rPr>
          <w:spacing w:val="-60"/>
        </w:rPr>
        <w:t> </w:t>
      </w:r>
      <w:r>
        <w:rPr/>
        <w:t>股，其中已流通股占</w:t>
      </w:r>
      <w:r>
        <w:rPr>
          <w:spacing w:val="-60"/>
        </w:rPr>
        <w:t> </w:t>
      </w:r>
      <w:r>
        <w:rPr/>
        <w:t>37.94%。</w:t>
      </w:r>
    </w:p>
    <w:p>
      <w:pPr>
        <w:spacing w:line="240" w:lineRule="auto" w:before="11"/>
        <w:rPr>
          <w:rFonts w:ascii="宋体" w:hAnsi="宋体" w:cs="宋体" w:eastAsia="宋体" w:hint="default"/>
          <w:sz w:val="23"/>
          <w:szCs w:val="23"/>
        </w:rPr>
      </w:pPr>
    </w:p>
    <w:p>
      <w:pPr>
        <w:pStyle w:val="BodyText"/>
        <w:spacing w:line="310" w:lineRule="exact"/>
        <w:ind w:right="223"/>
        <w:jc w:val="both"/>
      </w:pPr>
      <w:r>
        <w:rPr/>
        <w:t>公司于</w:t>
      </w:r>
      <w:r>
        <w:rPr>
          <w:spacing w:val="-68"/>
        </w:rPr>
        <w:t> </w:t>
      </w:r>
      <w:r>
        <w:rPr>
          <w:spacing w:val="24"/>
        </w:rPr>
        <w:t>1998年1月</w:t>
      </w:r>
      <w:r>
        <w:rPr>
          <w:spacing w:val="-68"/>
        </w:rPr>
        <w:t> </w:t>
      </w:r>
      <w:r>
        <w:rPr/>
        <w:t>13</w:t>
      </w:r>
      <w:r>
        <w:rPr>
          <w:spacing w:val="-68"/>
        </w:rPr>
        <w:t> </w:t>
      </w:r>
      <w:r>
        <w:rPr/>
        <w:t>日公告了向全体股东以每</w:t>
      </w:r>
      <w:r>
        <w:rPr>
          <w:spacing w:val="-68"/>
        </w:rPr>
        <w:t> </w:t>
      </w:r>
      <w:r>
        <w:rPr/>
        <w:t>10</w:t>
      </w:r>
      <w:r>
        <w:rPr>
          <w:spacing w:val="-68"/>
        </w:rPr>
        <w:t> </w:t>
      </w:r>
      <w:r>
        <w:rPr/>
        <w:t>股转增</w:t>
      </w:r>
      <w:r>
        <w:rPr>
          <w:spacing w:val="-68"/>
        </w:rPr>
        <w:t> </w:t>
      </w:r>
      <w:r>
        <w:rPr/>
        <w:t>5</w:t>
      </w:r>
      <w:r>
        <w:rPr>
          <w:spacing w:val="-68"/>
        </w:rPr>
        <w:t> </w:t>
      </w:r>
      <w:r>
        <w:rPr/>
        <w:t>股的资本公积转增股本的方</w:t>
      </w:r>
      <w:r>
        <w:rPr>
          <w:spacing w:val="-1"/>
        </w:rPr>
        <w:t> </w:t>
      </w:r>
      <w:r>
        <w:rPr>
          <w:spacing w:val="-3"/>
        </w:rPr>
        <w:t>案。所转增股份的上市交易日为</w:t>
      </w:r>
      <w:r>
        <w:rPr>
          <w:spacing w:val="-57"/>
        </w:rPr>
        <w:t> </w:t>
      </w:r>
      <w:r>
        <w:rPr>
          <w:spacing w:val="25"/>
        </w:rPr>
        <w:t>1998年1月</w:t>
      </w:r>
      <w:r>
        <w:rPr>
          <w:spacing w:val="-57"/>
        </w:rPr>
        <w:t> </w:t>
      </w:r>
      <w:r>
        <w:rPr/>
        <w:t>16</w:t>
      </w:r>
      <w:r>
        <w:rPr>
          <w:spacing w:val="-57"/>
        </w:rPr>
        <w:t> </w:t>
      </w:r>
      <w:r>
        <w:rPr>
          <w:spacing w:val="-6"/>
        </w:rPr>
        <w:t>日。转增后，公司总股本为</w:t>
      </w:r>
      <w:r>
        <w:rPr>
          <w:spacing w:val="-57"/>
        </w:rPr>
        <w:t> </w:t>
      </w:r>
      <w:r>
        <w:rPr/>
        <w:t>166,050,000</w:t>
      </w:r>
      <w:r>
        <w:rPr/>
        <w:t> 股，其中已流通股占</w:t>
      </w:r>
      <w:r>
        <w:rPr>
          <w:spacing w:val="-60"/>
        </w:rPr>
        <w:t> </w:t>
      </w:r>
      <w:r>
        <w:rPr/>
        <w:t>37.94%。</w:t>
      </w:r>
    </w:p>
    <w:p>
      <w:pPr>
        <w:spacing w:line="240" w:lineRule="auto" w:before="6"/>
        <w:rPr>
          <w:rFonts w:ascii="宋体" w:hAnsi="宋体" w:cs="宋体" w:eastAsia="宋体" w:hint="default"/>
          <w:sz w:val="21"/>
          <w:szCs w:val="21"/>
        </w:rPr>
      </w:pPr>
    </w:p>
    <w:p>
      <w:pPr>
        <w:pStyle w:val="BodyText"/>
        <w:spacing w:line="312" w:lineRule="exact"/>
        <w:ind w:right="0"/>
        <w:jc w:val="both"/>
      </w:pPr>
      <w:r>
        <w:rPr/>
        <w:t>公司于</w:t>
      </w:r>
      <w:r>
        <w:rPr>
          <w:spacing w:val="-56"/>
        </w:rPr>
        <w:t> </w:t>
      </w:r>
      <w:r>
        <w:rPr/>
        <w:t>1999</w:t>
      </w:r>
      <w:r>
        <w:rPr>
          <w:spacing w:val="-56"/>
        </w:rPr>
        <w:t> </w:t>
      </w:r>
      <w:r>
        <w:rPr/>
        <w:t>年</w:t>
      </w:r>
      <w:r>
        <w:rPr>
          <w:spacing w:val="-56"/>
        </w:rPr>
        <w:t> </w:t>
      </w:r>
      <w:r>
        <w:rPr/>
        <w:t>6</w:t>
      </w:r>
      <w:r>
        <w:rPr>
          <w:spacing w:val="-58"/>
        </w:rPr>
        <w:t> </w:t>
      </w:r>
      <w:r>
        <w:rPr/>
        <w:t>月</w:t>
      </w:r>
      <w:r>
        <w:rPr>
          <w:spacing w:val="-56"/>
        </w:rPr>
        <w:t> </w:t>
      </w:r>
      <w:r>
        <w:rPr/>
        <w:t>24</w:t>
      </w:r>
      <w:r>
        <w:rPr>
          <w:spacing w:val="-56"/>
        </w:rPr>
        <w:t> </w:t>
      </w:r>
      <w:r>
        <w:rPr/>
        <w:t>日公告了向全体股东以每</w:t>
      </w:r>
      <w:r>
        <w:rPr>
          <w:spacing w:val="-56"/>
        </w:rPr>
        <w:t> </w:t>
      </w:r>
      <w:r>
        <w:rPr/>
        <w:t>10</w:t>
      </w:r>
      <w:r>
        <w:rPr>
          <w:spacing w:val="-56"/>
        </w:rPr>
        <w:t> </w:t>
      </w:r>
      <w:r>
        <w:rPr/>
        <w:t>股配</w:t>
      </w:r>
      <w:r>
        <w:rPr>
          <w:spacing w:val="-56"/>
        </w:rPr>
        <w:t> </w:t>
      </w:r>
      <w:r>
        <w:rPr/>
        <w:t>3</w:t>
      </w:r>
      <w:r>
        <w:rPr>
          <w:spacing w:val="-56"/>
        </w:rPr>
        <w:t> </w:t>
      </w:r>
      <w:r>
        <w:rPr/>
        <w:t>股、配股价为每股</w:t>
      </w:r>
      <w:r>
        <w:rPr>
          <w:spacing w:val="-56"/>
        </w:rPr>
        <w:t> </w:t>
      </w:r>
      <w:r>
        <w:rPr/>
        <w:t>20</w:t>
      </w:r>
      <w:r>
        <w:rPr>
          <w:spacing w:val="-56"/>
        </w:rPr>
        <w:t> </w:t>
      </w:r>
      <w:r>
        <w:rPr/>
        <w:t>元的配</w:t>
      </w:r>
    </w:p>
    <w:p>
      <w:pPr>
        <w:pStyle w:val="BodyText"/>
        <w:spacing w:line="312" w:lineRule="exact" w:before="29"/>
        <w:ind w:right="213"/>
        <w:jc w:val="left"/>
      </w:pPr>
      <w:r>
        <w:rPr>
          <w:spacing w:val="-3"/>
        </w:rPr>
        <w:t>股方案。所配股份上市交易日为</w:t>
      </w:r>
      <w:r>
        <w:rPr>
          <w:spacing w:val="-57"/>
        </w:rPr>
        <w:t> </w:t>
      </w:r>
      <w:r>
        <w:rPr>
          <w:spacing w:val="25"/>
        </w:rPr>
        <w:t>1999年8月</w:t>
      </w:r>
      <w:r>
        <w:rPr>
          <w:spacing w:val="-57"/>
        </w:rPr>
        <w:t> </w:t>
      </w:r>
      <w:r>
        <w:rPr/>
        <w:t>10</w:t>
      </w:r>
      <w:r>
        <w:rPr>
          <w:spacing w:val="-57"/>
        </w:rPr>
        <w:t> </w:t>
      </w:r>
      <w:r>
        <w:rPr>
          <w:spacing w:val="-6"/>
        </w:rPr>
        <w:t>日。配股后，公司总股本为</w:t>
      </w:r>
      <w:r>
        <w:rPr>
          <w:spacing w:val="-57"/>
        </w:rPr>
        <w:t> </w:t>
      </w:r>
      <w:r>
        <w:rPr/>
        <w:t>189,800,000</w:t>
      </w:r>
      <w:r>
        <w:rPr/>
        <w:t> 股，其中已流通股占</w:t>
      </w:r>
      <w:r>
        <w:rPr>
          <w:spacing w:val="-60"/>
        </w:rPr>
        <w:t> </w:t>
      </w:r>
      <w:r>
        <w:rPr/>
        <w:t>43.15%。</w:t>
      </w:r>
    </w:p>
    <w:p>
      <w:pPr>
        <w:spacing w:line="240" w:lineRule="auto" w:before="11"/>
        <w:rPr>
          <w:rFonts w:ascii="宋体" w:hAnsi="宋体" w:cs="宋体" w:eastAsia="宋体" w:hint="default"/>
          <w:sz w:val="23"/>
          <w:szCs w:val="23"/>
        </w:rPr>
      </w:pPr>
    </w:p>
    <w:p>
      <w:pPr>
        <w:pStyle w:val="BodyText"/>
        <w:spacing w:line="310" w:lineRule="exact"/>
        <w:ind w:right="206"/>
        <w:jc w:val="left"/>
      </w:pPr>
      <w:r>
        <w:rPr/>
        <w:t>公司于</w:t>
      </w:r>
      <w:r>
        <w:rPr>
          <w:spacing w:val="-56"/>
        </w:rPr>
        <w:t> </w:t>
      </w:r>
      <w:r>
        <w:rPr>
          <w:spacing w:val="29"/>
        </w:rPr>
        <w:t>1999年6月</w:t>
      </w:r>
      <w:r>
        <w:rPr>
          <w:spacing w:val="-56"/>
        </w:rPr>
        <w:t> </w:t>
      </w:r>
      <w:r>
        <w:rPr/>
        <w:t>12</w:t>
      </w:r>
      <w:r>
        <w:rPr>
          <w:spacing w:val="-56"/>
        </w:rPr>
        <w:t> </w:t>
      </w:r>
      <w:r>
        <w:rPr/>
        <w:t>日公告了以每</w:t>
      </w:r>
      <w:r>
        <w:rPr>
          <w:spacing w:val="-56"/>
        </w:rPr>
        <w:t> </w:t>
      </w:r>
      <w:r>
        <w:rPr/>
        <w:t>1.8</w:t>
      </w:r>
      <w:r>
        <w:rPr>
          <w:spacing w:val="-56"/>
        </w:rPr>
        <w:t> </w:t>
      </w:r>
      <w:r>
        <w:rPr/>
        <w:t>股鲁颖电子股份折合</w:t>
      </w:r>
      <w:r>
        <w:rPr>
          <w:spacing w:val="-56"/>
        </w:rPr>
        <w:t> </w:t>
      </w:r>
      <w:r>
        <w:rPr/>
        <w:t>1</w:t>
      </w:r>
      <w:r>
        <w:rPr>
          <w:spacing w:val="-56"/>
        </w:rPr>
        <w:t> </w:t>
      </w:r>
      <w:r>
        <w:rPr/>
        <w:t>股的比例，向鲁颖电子</w:t>
      </w:r>
      <w:r>
        <w:rPr>
          <w:spacing w:val="-1"/>
        </w:rPr>
        <w:t> </w:t>
      </w:r>
      <w:r>
        <w:rPr/>
        <w:t>全体股东定向发行 15,172,328</w:t>
      </w:r>
      <w:r>
        <w:rPr>
          <w:spacing w:val="-40"/>
        </w:rPr>
        <w:t> </w:t>
      </w:r>
      <w:r>
        <w:rPr/>
        <w:t>股,吸收合并山东鲁颖电子股份有限公司(简称鲁颖电子)</w:t>
      </w:r>
    </w:p>
    <w:p>
      <w:pPr>
        <w:pStyle w:val="BodyText"/>
        <w:spacing w:line="282" w:lineRule="exact"/>
        <w:ind w:right="0"/>
        <w:jc w:val="both"/>
      </w:pPr>
      <w:r>
        <w:rPr/>
        <w:t>的合并方案</w:t>
      </w:r>
      <w:r>
        <w:rPr>
          <w:spacing w:val="-120"/>
        </w:rPr>
        <w:t>。</w:t>
      </w:r>
      <w:r>
        <w:rPr>
          <w:spacing w:val="-1"/>
        </w:rPr>
        <w:t>199</w:t>
      </w:r>
      <w:r>
        <w:rPr/>
        <w:t>9</w:t>
      </w:r>
      <w:r>
        <w:rPr>
          <w:spacing w:val="-67"/>
        </w:rPr>
        <w:t> </w:t>
      </w:r>
      <w:r>
        <w:rPr/>
        <w:t>年</w:t>
      </w:r>
      <w:r>
        <w:rPr>
          <w:spacing w:val="-67"/>
        </w:rPr>
        <w:t> </w:t>
      </w:r>
      <w:r>
        <w:rPr/>
        <w:t>8</w:t>
      </w:r>
      <w:r>
        <w:rPr>
          <w:spacing w:val="-68"/>
        </w:rPr>
        <w:t> </w:t>
      </w:r>
      <w:r>
        <w:rPr/>
        <w:t>月</w:t>
      </w:r>
      <w:r>
        <w:rPr>
          <w:spacing w:val="-67"/>
        </w:rPr>
        <w:t> </w:t>
      </w:r>
      <w:r>
        <w:rPr/>
        <w:t>5</w:t>
      </w:r>
      <w:r>
        <w:rPr>
          <w:spacing w:val="-67"/>
        </w:rPr>
        <w:t> </w:t>
      </w:r>
      <w:r>
        <w:rPr>
          <w:spacing w:val="-1"/>
        </w:rPr>
        <w:t>日刊登股份变动公告</w:t>
      </w:r>
      <w:r>
        <w:rPr>
          <w:spacing w:val="-120"/>
        </w:rPr>
        <w:t>。</w:t>
      </w:r>
      <w:r>
        <w:rPr/>
        <w:t>吸收合并后</w:t>
      </w:r>
      <w:r>
        <w:rPr>
          <w:spacing w:val="-120"/>
        </w:rPr>
        <w:t>，</w:t>
      </w:r>
      <w:r>
        <w:rPr/>
        <w:t>公司总股本为</w:t>
      </w:r>
      <w:r>
        <w:rPr>
          <w:spacing w:val="-66"/>
        </w:rPr>
        <w:t> </w:t>
      </w:r>
      <w:r>
        <w:rPr/>
        <w:t>204,972,328</w:t>
      </w:r>
    </w:p>
    <w:p>
      <w:pPr>
        <w:pStyle w:val="BodyText"/>
        <w:spacing w:line="313" w:lineRule="exact"/>
        <w:ind w:right="0"/>
        <w:jc w:val="both"/>
      </w:pPr>
      <w:r>
        <w:rPr/>
        <w:t>股，其中已流通股占</w:t>
      </w:r>
      <w:r>
        <w:rPr>
          <w:spacing w:val="-60"/>
        </w:rPr>
        <w:t> </w:t>
      </w:r>
      <w:r>
        <w:rPr/>
        <w:t>39.95%。</w:t>
      </w:r>
    </w:p>
    <w:p>
      <w:pPr>
        <w:spacing w:line="240" w:lineRule="auto" w:before="11"/>
        <w:rPr>
          <w:rFonts w:ascii="宋体" w:hAnsi="宋体" w:cs="宋体" w:eastAsia="宋体" w:hint="default"/>
          <w:sz w:val="25"/>
          <w:szCs w:val="25"/>
        </w:rPr>
      </w:pPr>
    </w:p>
    <w:p>
      <w:pPr>
        <w:pStyle w:val="BodyText"/>
        <w:spacing w:line="312" w:lineRule="exact"/>
        <w:ind w:right="206"/>
        <w:jc w:val="left"/>
      </w:pPr>
      <w:r>
        <w:rPr/>
        <w:t>公司于</w:t>
      </w:r>
      <w:r>
        <w:rPr>
          <w:spacing w:val="-56"/>
        </w:rPr>
        <w:t> </w:t>
      </w:r>
      <w:r>
        <w:rPr>
          <w:spacing w:val="32"/>
        </w:rPr>
        <w:t>1999年9月9</w:t>
      </w:r>
      <w:r>
        <w:rPr>
          <w:spacing w:val="-54"/>
        </w:rPr>
        <w:t> </w:t>
      </w:r>
      <w:r>
        <w:rPr/>
        <w:t>日公告了向全体股东以每</w:t>
      </w:r>
      <w:r>
        <w:rPr>
          <w:spacing w:val="-56"/>
        </w:rPr>
        <w:t> </w:t>
      </w:r>
      <w:r>
        <w:rPr/>
        <w:t>10</w:t>
      </w:r>
      <w:r>
        <w:rPr>
          <w:spacing w:val="-56"/>
        </w:rPr>
        <w:t> </w:t>
      </w:r>
      <w:r>
        <w:rPr/>
        <w:t>股送</w:t>
      </w:r>
      <w:r>
        <w:rPr>
          <w:spacing w:val="-54"/>
        </w:rPr>
        <w:t> </w:t>
      </w:r>
      <w:r>
        <w:rPr/>
        <w:t>3</w:t>
      </w:r>
      <w:r>
        <w:rPr>
          <w:spacing w:val="-56"/>
        </w:rPr>
        <w:t> </w:t>
      </w:r>
      <w:r>
        <w:rPr/>
        <w:t>股(按截至</w:t>
      </w:r>
      <w:r>
        <w:rPr>
          <w:spacing w:val="-56"/>
        </w:rPr>
        <w:t> </w:t>
      </w:r>
      <w:r>
        <w:rPr/>
        <w:t>1999</w:t>
      </w:r>
      <w:r>
        <w:rPr>
          <w:spacing w:val="-56"/>
        </w:rPr>
        <w:t> </w:t>
      </w:r>
      <w:r>
        <w:rPr/>
        <w:t>年</w:t>
      </w:r>
      <w:r>
        <w:rPr>
          <w:spacing w:val="-54"/>
        </w:rPr>
        <w:t> </w:t>
      </w:r>
      <w:r>
        <w:rPr>
          <w:spacing w:val="42"/>
        </w:rPr>
        <w:t>9月9</w:t>
      </w:r>
      <w:r>
        <w:rPr>
          <w:spacing w:val="-56"/>
        </w:rPr>
        <w:t> </w:t>
      </w:r>
      <w:r>
        <w:rPr/>
        <w:t>日股</w:t>
      </w:r>
      <w:r>
        <w:rPr/>
        <w:t> 本总数</w:t>
      </w:r>
      <w:r>
        <w:rPr>
          <w:spacing w:val="-40"/>
        </w:rPr>
        <w:t> </w:t>
      </w:r>
      <w:r>
        <w:rPr/>
        <w:t>204,972,328</w:t>
      </w:r>
      <w:r>
        <w:rPr>
          <w:spacing w:val="-40"/>
        </w:rPr>
        <w:t> </w:t>
      </w:r>
      <w:r>
        <w:rPr/>
        <w:t>股为基数，折算的送股比例为每</w:t>
      </w:r>
      <w:r>
        <w:rPr>
          <w:spacing w:val="-40"/>
        </w:rPr>
        <w:t> </w:t>
      </w:r>
      <w:r>
        <w:rPr/>
        <w:t>10</w:t>
      </w:r>
      <w:r>
        <w:rPr>
          <w:spacing w:val="-40"/>
        </w:rPr>
        <w:t> </w:t>
      </w:r>
      <w:r>
        <w:rPr/>
        <w:t>股派送红股</w:t>
      </w:r>
      <w:r>
        <w:rPr>
          <w:spacing w:val="-40"/>
        </w:rPr>
        <w:t> </w:t>
      </w:r>
      <w:r>
        <w:rPr/>
        <w:t>2.6524</w:t>
      </w:r>
      <w:r>
        <w:rPr>
          <w:spacing w:val="-40"/>
        </w:rPr>
        <w:t> </w:t>
      </w:r>
      <w:r>
        <w:rPr/>
        <w:t>股)的</w:t>
      </w:r>
      <w:r>
        <w:rPr>
          <w:spacing w:val="-40"/>
        </w:rPr>
        <w:t> </w:t>
      </w:r>
      <w:r>
        <w:rPr/>
        <w:t>1998</w:t>
      </w:r>
    </w:p>
    <w:p>
      <w:pPr>
        <w:pStyle w:val="BodyText"/>
        <w:spacing w:line="281" w:lineRule="exact"/>
        <w:ind w:right="0"/>
        <w:jc w:val="both"/>
      </w:pPr>
      <w:r>
        <w:rPr/>
        <w:t>年利润分配方案。所送股份上市交易日为 1999 年 9 月 14</w:t>
      </w:r>
      <w:r>
        <w:rPr>
          <w:spacing w:val="-40"/>
        </w:rPr>
        <w:t> </w:t>
      </w:r>
      <w:r>
        <w:rPr/>
        <w:t>日。送股后，公司总股本为</w:t>
      </w:r>
    </w:p>
    <w:p>
      <w:pPr>
        <w:pStyle w:val="BodyText"/>
        <w:spacing w:line="313" w:lineRule="exact"/>
        <w:ind w:right="0"/>
        <w:jc w:val="both"/>
      </w:pPr>
      <w:r>
        <w:rPr/>
        <w:t>259,339,024</w:t>
      </w:r>
      <w:r>
        <w:rPr>
          <w:spacing w:val="-60"/>
        </w:rPr>
        <w:t> </w:t>
      </w:r>
      <w:r>
        <w:rPr/>
        <w:t>股，其中已流通股占</w:t>
      </w:r>
      <w:r>
        <w:rPr>
          <w:spacing w:val="-60"/>
        </w:rPr>
        <w:t> </w:t>
      </w:r>
      <w:r>
        <w:rPr/>
        <w:t>39.95%。</w:t>
      </w:r>
    </w:p>
    <w:p>
      <w:pPr>
        <w:spacing w:line="240" w:lineRule="auto" w:before="9"/>
        <w:rPr>
          <w:rFonts w:ascii="宋体" w:hAnsi="宋体" w:cs="宋体" w:eastAsia="宋体" w:hint="default"/>
          <w:sz w:val="23"/>
          <w:szCs w:val="23"/>
        </w:rPr>
      </w:pPr>
    </w:p>
    <w:p>
      <w:pPr>
        <w:pStyle w:val="BodyText"/>
        <w:spacing w:line="237" w:lineRule="auto"/>
        <w:ind w:right="222"/>
        <w:jc w:val="both"/>
      </w:pPr>
      <w:r>
        <w:rPr/>
        <w:t>公司于</w:t>
      </w:r>
      <w:r>
        <w:rPr>
          <w:spacing w:val="-68"/>
        </w:rPr>
        <w:t> </w:t>
      </w:r>
      <w:r>
        <w:rPr>
          <w:spacing w:val="24"/>
        </w:rPr>
        <w:t>2000年5月</w:t>
      </w:r>
      <w:r>
        <w:rPr>
          <w:spacing w:val="-68"/>
        </w:rPr>
        <w:t> </w:t>
      </w:r>
      <w:r>
        <w:rPr/>
        <w:t>13</w:t>
      </w:r>
      <w:r>
        <w:rPr>
          <w:spacing w:val="-68"/>
        </w:rPr>
        <w:t> </w:t>
      </w:r>
      <w:r>
        <w:rPr/>
        <w:t>日公告了向全体股东以每</w:t>
      </w:r>
      <w:r>
        <w:rPr>
          <w:spacing w:val="-68"/>
        </w:rPr>
        <w:t> </w:t>
      </w:r>
      <w:r>
        <w:rPr/>
        <w:t>10</w:t>
      </w:r>
      <w:r>
        <w:rPr>
          <w:spacing w:val="-68"/>
        </w:rPr>
        <w:t> </w:t>
      </w:r>
      <w:r>
        <w:rPr/>
        <w:t>股转增</w:t>
      </w:r>
      <w:r>
        <w:rPr>
          <w:spacing w:val="-68"/>
        </w:rPr>
        <w:t> </w:t>
      </w:r>
      <w:r>
        <w:rPr/>
        <w:t>4</w:t>
      </w:r>
      <w:r>
        <w:rPr>
          <w:spacing w:val="-68"/>
        </w:rPr>
        <w:t> </w:t>
      </w:r>
      <w:r>
        <w:rPr/>
        <w:t>股的资本公积金转增股本方</w:t>
      </w:r>
      <w:r>
        <w:rPr>
          <w:spacing w:val="-1"/>
        </w:rPr>
        <w:t> </w:t>
      </w:r>
      <w:r>
        <w:rPr/>
        <w:t>案。所转增股份上市交易日为</w:t>
      </w:r>
      <w:r>
        <w:rPr>
          <w:spacing w:val="-40"/>
        </w:rPr>
        <w:t> </w:t>
      </w:r>
      <w:r>
        <w:rPr>
          <w:spacing w:val="34"/>
        </w:rPr>
        <w:t>2000年5月</w:t>
      </w:r>
      <w:r>
        <w:rPr>
          <w:spacing w:val="-40"/>
        </w:rPr>
        <w:t> </w:t>
      </w:r>
      <w:r>
        <w:rPr/>
        <w:t>19</w:t>
      </w:r>
      <w:r>
        <w:rPr>
          <w:spacing w:val="-40"/>
        </w:rPr>
        <w:t> </w:t>
      </w:r>
      <w:r>
        <w:rPr/>
        <w:t>日。转增后，公司总股本为</w:t>
      </w:r>
      <w:r>
        <w:rPr>
          <w:spacing w:val="-40"/>
        </w:rPr>
        <w:t> </w:t>
      </w:r>
      <w:r>
        <w:rPr/>
        <w:t>363,074,634</w:t>
      </w:r>
      <w:r>
        <w:rPr/>
        <w:t> 股，其中已流通股占</w:t>
      </w:r>
      <w:r>
        <w:rPr>
          <w:spacing w:val="-60"/>
        </w:rPr>
        <w:t> </w:t>
      </w:r>
      <w:r>
        <w:rPr/>
        <w:t>39.95%。</w:t>
      </w:r>
    </w:p>
    <w:p>
      <w:pPr>
        <w:spacing w:line="240" w:lineRule="auto" w:before="8"/>
        <w:rPr>
          <w:rFonts w:ascii="宋体" w:hAnsi="宋体" w:cs="宋体" w:eastAsia="宋体" w:hint="default"/>
          <w:sz w:val="23"/>
          <w:szCs w:val="23"/>
        </w:rPr>
      </w:pPr>
    </w:p>
    <w:p>
      <w:pPr>
        <w:pStyle w:val="BodyText"/>
        <w:spacing w:line="312" w:lineRule="exact"/>
        <w:ind w:right="0"/>
        <w:jc w:val="both"/>
      </w:pPr>
      <w:r>
        <w:rPr/>
        <w:t>公司于</w:t>
      </w:r>
      <w:r>
        <w:rPr>
          <w:spacing w:val="-60"/>
        </w:rPr>
        <w:t> </w:t>
      </w:r>
      <w:r>
        <w:rPr/>
        <w:t>2000</w:t>
      </w:r>
      <w:r>
        <w:rPr>
          <w:spacing w:val="-60"/>
        </w:rPr>
        <w:t> </w:t>
      </w:r>
      <w:r>
        <w:rPr/>
        <w:t>年</w:t>
      </w:r>
      <w:r>
        <w:rPr>
          <w:spacing w:val="-60"/>
        </w:rPr>
        <w:t> </w:t>
      </w:r>
      <w:r>
        <w:rPr/>
        <w:t>12</w:t>
      </w:r>
      <w:r>
        <w:rPr>
          <w:spacing w:val="-60"/>
        </w:rPr>
        <w:t> </w:t>
      </w:r>
      <w:r>
        <w:rPr/>
        <w:t>月</w:t>
      </w:r>
      <w:r>
        <w:rPr>
          <w:spacing w:val="-60"/>
        </w:rPr>
        <w:t> </w:t>
      </w:r>
      <w:r>
        <w:rPr/>
        <w:t>4</w:t>
      </w:r>
      <w:r>
        <w:rPr>
          <w:spacing w:val="-60"/>
        </w:rPr>
        <w:t> </w:t>
      </w:r>
      <w:r>
        <w:rPr/>
        <w:t>日公告了向机构投资者和老股东增发</w:t>
      </w:r>
      <w:r>
        <w:rPr>
          <w:spacing w:val="-60"/>
        </w:rPr>
        <w:t> </w:t>
      </w:r>
      <w:r>
        <w:rPr/>
        <w:t>20,000,000</w:t>
      </w:r>
      <w:r>
        <w:rPr>
          <w:spacing w:val="-60"/>
        </w:rPr>
        <w:t> </w:t>
      </w:r>
      <w:r>
        <w:rPr>
          <w:spacing w:val="-6"/>
        </w:rPr>
        <w:t>股、发行价格为</w:t>
      </w:r>
    </w:p>
    <w:p>
      <w:pPr>
        <w:pStyle w:val="BodyText"/>
        <w:spacing w:line="312" w:lineRule="exact" w:before="29"/>
        <w:ind w:right="213"/>
        <w:jc w:val="left"/>
      </w:pPr>
      <w:r>
        <w:rPr/>
        <w:t>每股</w:t>
      </w:r>
      <w:r>
        <w:rPr>
          <w:spacing w:val="-51"/>
        </w:rPr>
        <w:t> </w:t>
      </w:r>
      <w:r>
        <w:rPr/>
        <w:t>46</w:t>
      </w:r>
      <w:r>
        <w:rPr>
          <w:spacing w:val="-51"/>
        </w:rPr>
        <w:t> </w:t>
      </w:r>
      <w:r>
        <w:rPr/>
        <w:t>元的增发方案。所增发股份上市交易日为</w:t>
      </w:r>
      <w:r>
        <w:rPr>
          <w:spacing w:val="-51"/>
        </w:rPr>
        <w:t> </w:t>
      </w:r>
      <w:r>
        <w:rPr/>
        <w:t>2000</w:t>
      </w:r>
      <w:r>
        <w:rPr>
          <w:spacing w:val="-50"/>
        </w:rPr>
        <w:t> </w:t>
      </w:r>
      <w:r>
        <w:rPr/>
        <w:t>年</w:t>
      </w:r>
      <w:r>
        <w:rPr>
          <w:spacing w:val="-51"/>
        </w:rPr>
        <w:t> </w:t>
      </w:r>
      <w:r>
        <w:rPr/>
        <w:t>12</w:t>
      </w:r>
      <w:r>
        <w:rPr>
          <w:spacing w:val="-51"/>
        </w:rPr>
        <w:t> </w:t>
      </w:r>
      <w:r>
        <w:rPr/>
        <w:t>月</w:t>
      </w:r>
      <w:r>
        <w:rPr>
          <w:spacing w:val="-51"/>
        </w:rPr>
        <w:t> </w:t>
      </w:r>
      <w:r>
        <w:rPr/>
        <w:t>27</w:t>
      </w:r>
      <w:r>
        <w:rPr>
          <w:spacing w:val="-51"/>
        </w:rPr>
        <w:t> </w:t>
      </w:r>
      <w:r>
        <w:rPr/>
        <w:t>日。增发后，公司总</w:t>
      </w:r>
      <w:r>
        <w:rPr/>
        <w:t> 股本为</w:t>
      </w:r>
      <w:r>
        <w:rPr>
          <w:spacing w:val="-60"/>
        </w:rPr>
        <w:t> </w:t>
      </w:r>
      <w:r>
        <w:rPr/>
        <w:t>383,074,634</w:t>
      </w:r>
      <w:r>
        <w:rPr>
          <w:spacing w:val="-60"/>
        </w:rPr>
        <w:t> </w:t>
      </w:r>
      <w:r>
        <w:rPr/>
        <w:t>股，其中已流通股占</w:t>
      </w:r>
      <w:r>
        <w:rPr>
          <w:spacing w:val="-60"/>
        </w:rPr>
        <w:t> </w:t>
      </w:r>
      <w:r>
        <w:rPr/>
        <w:t>42.19%。</w:t>
      </w:r>
    </w:p>
    <w:p>
      <w:pPr>
        <w:spacing w:line="240" w:lineRule="auto" w:before="4"/>
        <w:rPr>
          <w:rFonts w:ascii="宋体" w:hAnsi="宋体" w:cs="宋体" w:eastAsia="宋体" w:hint="default"/>
          <w:sz w:val="21"/>
          <w:szCs w:val="21"/>
        </w:rPr>
      </w:pPr>
    </w:p>
    <w:p>
      <w:pPr>
        <w:pStyle w:val="BodyText"/>
        <w:spacing w:line="313" w:lineRule="exact"/>
        <w:ind w:right="0"/>
        <w:jc w:val="both"/>
      </w:pPr>
      <w:r>
        <w:rPr/>
        <w:t>公司于</w:t>
      </w:r>
      <w:r>
        <w:rPr>
          <w:spacing w:val="-65"/>
        </w:rPr>
        <w:t> </w:t>
      </w:r>
      <w:r>
        <w:rPr/>
        <w:t>2001</w:t>
      </w:r>
      <w:r>
        <w:rPr>
          <w:spacing w:val="-65"/>
        </w:rPr>
        <w:t> </w:t>
      </w:r>
      <w:r>
        <w:rPr/>
        <w:t>年</w:t>
      </w:r>
      <w:r>
        <w:rPr>
          <w:spacing w:val="-65"/>
        </w:rPr>
        <w:t> </w:t>
      </w:r>
      <w:r>
        <w:rPr/>
        <w:t>5</w:t>
      </w:r>
      <w:r>
        <w:rPr>
          <w:spacing w:val="-65"/>
        </w:rPr>
        <w:t> </w:t>
      </w:r>
      <w:r>
        <w:rPr/>
        <w:t>月</w:t>
      </w:r>
      <w:r>
        <w:rPr>
          <w:spacing w:val="-66"/>
        </w:rPr>
        <w:t> </w:t>
      </w:r>
      <w:r>
        <w:rPr/>
        <w:t>9</w:t>
      </w:r>
      <w:r>
        <w:rPr>
          <w:spacing w:val="-66"/>
        </w:rPr>
        <w:t> </w:t>
      </w:r>
      <w:r>
        <w:rPr/>
        <w:t>日公告了向全体股东以每</w:t>
      </w:r>
      <w:r>
        <w:rPr>
          <w:spacing w:val="-65"/>
        </w:rPr>
        <w:t> </w:t>
      </w:r>
      <w:r>
        <w:rPr/>
        <w:t>10</w:t>
      </w:r>
      <w:r>
        <w:rPr>
          <w:spacing w:val="-65"/>
        </w:rPr>
        <w:t> </w:t>
      </w:r>
      <w:r>
        <w:rPr/>
        <w:t>股转增</w:t>
      </w:r>
      <w:r>
        <w:rPr>
          <w:spacing w:val="-65"/>
        </w:rPr>
        <w:t> </w:t>
      </w:r>
      <w:r>
        <w:rPr/>
        <w:t>5</w:t>
      </w:r>
      <w:r>
        <w:rPr>
          <w:spacing w:val="-65"/>
        </w:rPr>
        <w:t> </w:t>
      </w:r>
      <w:r>
        <w:rPr/>
        <w:t>股和每</w:t>
      </w:r>
      <w:r>
        <w:rPr>
          <w:spacing w:val="-65"/>
        </w:rPr>
        <w:t> </w:t>
      </w:r>
      <w:r>
        <w:rPr/>
        <w:t>10</w:t>
      </w:r>
      <w:r>
        <w:rPr>
          <w:spacing w:val="-65"/>
        </w:rPr>
        <w:t> </w:t>
      </w:r>
      <w:r>
        <w:rPr/>
        <w:t>股派发</w:t>
      </w:r>
      <w:r>
        <w:rPr>
          <w:spacing w:val="-65"/>
        </w:rPr>
        <w:t> </w:t>
      </w:r>
      <w:r>
        <w:rPr/>
        <w:t>1</w:t>
      </w:r>
      <w:r>
        <w:rPr>
          <w:spacing w:val="-65"/>
        </w:rPr>
        <w:t> </w:t>
      </w:r>
      <w:r>
        <w:rPr/>
        <w:t>元的资本</w:t>
      </w:r>
    </w:p>
    <w:p>
      <w:pPr>
        <w:pStyle w:val="BodyText"/>
        <w:spacing w:line="310" w:lineRule="exact" w:before="31"/>
        <w:ind w:right="207"/>
        <w:jc w:val="left"/>
      </w:pPr>
      <w:r>
        <w:rPr/>
        <w:t>公积金转增股本及派发红利的分配方案。所转增股份上市交易日为</w:t>
      </w:r>
      <w:r>
        <w:rPr>
          <w:spacing w:val="-47"/>
        </w:rPr>
        <w:t> </w:t>
      </w:r>
      <w:r>
        <w:rPr/>
        <w:t>2001</w:t>
      </w:r>
      <w:r>
        <w:rPr>
          <w:spacing w:val="-47"/>
        </w:rPr>
        <w:t> </w:t>
      </w:r>
      <w:r>
        <w:rPr/>
        <w:t>年</w:t>
      </w:r>
      <w:r>
        <w:rPr>
          <w:spacing w:val="-47"/>
        </w:rPr>
        <w:t> </w:t>
      </w:r>
      <w:r>
        <w:rPr/>
        <w:t>5</w:t>
      </w:r>
      <w:r>
        <w:rPr>
          <w:spacing w:val="-46"/>
        </w:rPr>
        <w:t> </w:t>
      </w:r>
      <w:r>
        <w:rPr/>
        <w:t>月</w:t>
      </w:r>
      <w:r>
        <w:rPr>
          <w:spacing w:val="-47"/>
        </w:rPr>
        <w:t> </w:t>
      </w:r>
      <w:r>
        <w:rPr/>
        <w:t>16</w:t>
      </w:r>
      <w:r>
        <w:rPr>
          <w:spacing w:val="-47"/>
        </w:rPr>
        <w:t> </w:t>
      </w:r>
      <w:r>
        <w:rPr/>
        <w:t>日。</w:t>
      </w:r>
      <w:r>
        <w:rPr/>
        <w:t> 转增后，公司总股本为</w:t>
      </w:r>
      <w:r>
        <w:rPr>
          <w:spacing w:val="-60"/>
        </w:rPr>
        <w:t> </w:t>
      </w:r>
      <w:r>
        <w:rPr/>
        <w:t>574,611,951</w:t>
      </w:r>
      <w:r>
        <w:rPr>
          <w:spacing w:val="-60"/>
        </w:rPr>
        <w:t> </w:t>
      </w:r>
      <w:r>
        <w:rPr/>
        <w:t>股，其中已流通股占</w:t>
      </w:r>
      <w:r>
        <w:rPr>
          <w:spacing w:val="-60"/>
        </w:rPr>
        <w:t> </w:t>
      </w:r>
      <w:r>
        <w:rPr/>
        <w:t>43.09%。</w:t>
      </w:r>
    </w:p>
    <w:p>
      <w:pPr>
        <w:spacing w:line="240" w:lineRule="auto" w:before="8"/>
        <w:rPr>
          <w:rFonts w:ascii="宋体" w:hAnsi="宋体" w:cs="宋体" w:eastAsia="宋体" w:hint="default"/>
          <w:sz w:val="21"/>
          <w:szCs w:val="21"/>
        </w:rPr>
      </w:pPr>
    </w:p>
    <w:p>
      <w:pPr>
        <w:pStyle w:val="BodyText"/>
        <w:spacing w:line="237" w:lineRule="auto"/>
        <w:ind w:right="86"/>
        <w:jc w:val="left"/>
      </w:pPr>
      <w:r>
        <w:rPr/>
        <w:t>公司于</w:t>
      </w:r>
      <w:r>
        <w:rPr>
          <w:spacing w:val="-56"/>
        </w:rPr>
        <w:t> </w:t>
      </w:r>
      <w:r>
        <w:rPr>
          <w:spacing w:val="25"/>
        </w:rPr>
        <w:t>2001年6月</w:t>
      </w:r>
      <w:r>
        <w:rPr>
          <w:spacing w:val="-56"/>
        </w:rPr>
        <w:t> </w:t>
      </w:r>
      <w:r>
        <w:rPr/>
        <w:t>28</w:t>
      </w:r>
      <w:r>
        <w:rPr>
          <w:spacing w:val="-56"/>
        </w:rPr>
        <w:t> </w:t>
      </w:r>
      <w:r>
        <w:rPr>
          <w:spacing w:val="-3"/>
        </w:rPr>
        <w:t>日刊登公告，根据中国证券登记结算有限公司上海分公司(原上海</w:t>
      </w:r>
      <w:r>
        <w:rPr>
          <w:spacing w:val="-109"/>
        </w:rPr>
        <w:t> </w:t>
      </w:r>
      <w:r>
        <w:rPr>
          <w:spacing w:val="-109"/>
        </w:rPr>
      </w:r>
      <w:r>
        <w:rPr/>
        <w:t>证券中央登记结算公司)出具的关于清华同方(上证登股[2001</w:t>
      </w:r>
      <w:r>
        <w:rPr>
          <w:spacing w:val="-80"/>
        </w:rPr>
        <w:t> </w:t>
      </w:r>
      <w:r>
        <w:rPr/>
        <w:t>查]0060</w:t>
      </w:r>
      <w:r>
        <w:rPr>
          <w:spacing w:val="-80"/>
        </w:rPr>
        <w:t> </w:t>
      </w:r>
      <w:r>
        <w:rPr/>
        <w:t>号)股本结构证明，</w:t>
      </w:r>
      <w:r>
        <w:rPr/>
        <w:t> 公司股本总数由于送配股尾数四舍五入进位所致，由 574,611,951 股转至</w:t>
      </w:r>
      <w:r>
        <w:rPr>
          <w:spacing w:val="-42"/>
        </w:rPr>
        <w:t> </w:t>
      </w:r>
      <w:r>
        <w:rPr/>
        <w:t>574,612,295</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678" w:right="0"/>
        <w:jc w:val="both"/>
      </w:pPr>
      <w:r>
        <w:rPr/>
        <w:t>股，其中已流通股仍占</w:t>
      </w:r>
      <w:r>
        <w:rPr>
          <w:spacing w:val="-60"/>
        </w:rPr>
        <w:t> </w:t>
      </w:r>
      <w:r>
        <w:rPr/>
        <w:t>43.09%。</w:t>
      </w:r>
    </w:p>
    <w:p>
      <w:pPr>
        <w:spacing w:line="240" w:lineRule="auto" w:before="11"/>
        <w:rPr>
          <w:rFonts w:ascii="宋体" w:hAnsi="宋体" w:cs="宋体" w:eastAsia="宋体" w:hint="default"/>
          <w:sz w:val="25"/>
          <w:szCs w:val="25"/>
        </w:rPr>
      </w:pPr>
    </w:p>
    <w:p>
      <w:pPr>
        <w:pStyle w:val="BodyText"/>
        <w:spacing w:line="312" w:lineRule="exact"/>
        <w:ind w:left="678" w:right="670"/>
        <w:jc w:val="left"/>
      </w:pPr>
      <w:r>
        <w:rPr/>
        <w:t>公司于</w:t>
      </w:r>
      <w:r>
        <w:rPr>
          <w:spacing w:val="-47"/>
        </w:rPr>
        <w:t> </w:t>
      </w:r>
      <w:r>
        <w:rPr>
          <w:spacing w:val="31"/>
        </w:rPr>
        <w:t>2002年7月</w:t>
      </w:r>
      <w:r>
        <w:rPr>
          <w:spacing w:val="-47"/>
        </w:rPr>
        <w:t> </w:t>
      </w:r>
      <w:r>
        <w:rPr/>
        <w:t>31</w:t>
      </w:r>
      <w:r>
        <w:rPr>
          <w:spacing w:val="-47"/>
        </w:rPr>
        <w:t> </w:t>
      </w:r>
      <w:r>
        <w:rPr/>
        <w:t>日刊登公告，根据有关柜台交易公司内部职工股期满三年后上市</w:t>
      </w:r>
      <w:r>
        <w:rPr/>
        <w:t> </w:t>
      </w:r>
      <w:r>
        <w:rPr>
          <w:spacing w:val="-6"/>
        </w:rPr>
        <w:t>流通的规定，公司在</w:t>
      </w:r>
      <w:r>
        <w:rPr>
          <w:spacing w:val="-72"/>
        </w:rPr>
        <w:t> </w:t>
      </w:r>
      <w:r>
        <w:rPr/>
        <w:t>1999</w:t>
      </w:r>
      <w:r>
        <w:rPr>
          <w:spacing w:val="-72"/>
        </w:rPr>
        <w:t> </w:t>
      </w:r>
      <w:r>
        <w:rPr/>
        <w:t>年吸收合并山东鲁颖电子股份有限公司所形成的柜台交易公司</w:t>
      </w:r>
    </w:p>
    <w:p>
      <w:pPr>
        <w:pStyle w:val="BodyText"/>
        <w:spacing w:line="282" w:lineRule="exact"/>
        <w:ind w:left="678" w:right="0"/>
        <w:jc w:val="both"/>
      </w:pPr>
      <w:r>
        <w:rPr>
          <w:spacing w:val="-7"/>
        </w:rPr>
        <w:t>内部职工股，共计</w:t>
      </w:r>
      <w:r>
        <w:rPr>
          <w:spacing w:val="-58"/>
        </w:rPr>
        <w:t> </w:t>
      </w:r>
      <w:r>
        <w:rPr/>
        <w:t>25,421,906</w:t>
      </w:r>
      <w:r>
        <w:rPr>
          <w:spacing w:val="-58"/>
        </w:rPr>
        <w:t> </w:t>
      </w:r>
      <w:r>
        <w:rPr/>
        <w:t>股于</w:t>
      </w:r>
      <w:r>
        <w:rPr>
          <w:spacing w:val="-58"/>
        </w:rPr>
        <w:t> </w:t>
      </w:r>
      <w:r>
        <w:rPr/>
        <w:t>2002</w:t>
      </w:r>
      <w:r>
        <w:rPr>
          <w:spacing w:val="-58"/>
        </w:rPr>
        <w:t> </w:t>
      </w:r>
      <w:r>
        <w:rPr/>
        <w:t>年</w:t>
      </w:r>
      <w:r>
        <w:rPr>
          <w:spacing w:val="-58"/>
        </w:rPr>
        <w:t> </w:t>
      </w:r>
      <w:r>
        <w:rPr/>
        <w:t>8</w:t>
      </w:r>
      <w:r>
        <w:rPr>
          <w:spacing w:val="-58"/>
        </w:rPr>
        <w:t> </w:t>
      </w:r>
      <w:r>
        <w:rPr>
          <w:spacing w:val="-4"/>
        </w:rPr>
        <w:t>月上市流通，上市后公司流通股占</w:t>
      </w:r>
      <w:r>
        <w:rPr>
          <w:spacing w:val="-58"/>
        </w:rPr>
        <w:t> </w:t>
      </w:r>
      <w:r>
        <w:rPr/>
        <w:t>47.52%。</w:t>
      </w:r>
    </w:p>
    <w:p>
      <w:pPr>
        <w:spacing w:line="240" w:lineRule="auto" w:before="1"/>
        <w:rPr>
          <w:rFonts w:ascii="宋体" w:hAnsi="宋体" w:cs="宋体" w:eastAsia="宋体" w:hint="default"/>
          <w:sz w:val="26"/>
          <w:szCs w:val="26"/>
        </w:rPr>
      </w:pPr>
    </w:p>
    <w:p>
      <w:pPr>
        <w:pStyle w:val="BodyText"/>
        <w:spacing w:line="310" w:lineRule="exact"/>
        <w:ind w:left="678" w:right="666"/>
        <w:jc w:val="left"/>
      </w:pPr>
      <w:r>
        <w:rPr/>
        <w:t>公司于</w:t>
      </w:r>
      <w:r>
        <w:rPr>
          <w:spacing w:val="-47"/>
        </w:rPr>
        <w:t> </w:t>
      </w:r>
      <w:r>
        <w:rPr>
          <w:spacing w:val="31"/>
        </w:rPr>
        <w:t>2006年2月</w:t>
      </w:r>
      <w:r>
        <w:rPr>
          <w:spacing w:val="-47"/>
        </w:rPr>
        <w:t> </w:t>
      </w:r>
      <w:r>
        <w:rPr/>
        <w:t>10</w:t>
      </w:r>
      <w:r>
        <w:rPr>
          <w:spacing w:val="-47"/>
        </w:rPr>
        <w:t> </w:t>
      </w:r>
      <w:r>
        <w:rPr/>
        <w:t>日实施股权分置改革。根据股权分置改革方案，非流通股股东向</w:t>
      </w:r>
      <w:r>
        <w:rPr/>
        <w:t> 流通股股东支付</w:t>
      </w:r>
      <w:r>
        <w:rPr>
          <w:spacing w:val="-70"/>
        </w:rPr>
        <w:t> </w:t>
      </w:r>
      <w:r>
        <w:rPr/>
        <w:t>103,751,603</w:t>
      </w:r>
      <w:r>
        <w:rPr>
          <w:spacing w:val="-70"/>
        </w:rPr>
        <w:t> </w:t>
      </w:r>
      <w:r>
        <w:rPr/>
        <w:t>股，即方案实施股权登记日在册的流通股股东每</w:t>
      </w:r>
      <w:r>
        <w:rPr>
          <w:spacing w:val="-70"/>
        </w:rPr>
        <w:t> </w:t>
      </w:r>
      <w:r>
        <w:rPr/>
        <w:t>10</w:t>
      </w:r>
      <w:r>
        <w:rPr>
          <w:spacing w:val="-70"/>
        </w:rPr>
        <w:t> </w:t>
      </w:r>
      <w:r>
        <w:rPr/>
        <w:t>股获得</w:t>
      </w:r>
    </w:p>
    <w:p>
      <w:pPr>
        <w:pStyle w:val="BodyText"/>
        <w:spacing w:line="310" w:lineRule="exact" w:before="2"/>
        <w:ind w:left="678" w:right="683"/>
        <w:jc w:val="both"/>
      </w:pPr>
      <w:r>
        <w:rPr/>
        <w:t>3.8</w:t>
      </w:r>
      <w:r>
        <w:rPr>
          <w:spacing w:val="-62"/>
        </w:rPr>
        <w:t> </w:t>
      </w:r>
      <w:r>
        <w:rPr>
          <w:spacing w:val="-4"/>
        </w:rPr>
        <w:t>股。股权分置改革完成后，公司有限售条件的流通股为</w:t>
      </w:r>
      <w:r>
        <w:rPr>
          <w:spacing w:val="-62"/>
        </w:rPr>
        <w:t> </w:t>
      </w:r>
      <w:r>
        <w:rPr/>
        <w:t>197,830,159</w:t>
      </w:r>
      <w:r>
        <w:rPr>
          <w:spacing w:val="-62"/>
        </w:rPr>
        <w:t> </w:t>
      </w:r>
      <w:r>
        <w:rPr>
          <w:spacing w:val="-6"/>
        </w:rPr>
        <w:t>股，占公司股本</w:t>
      </w:r>
      <w:r>
        <w:rPr>
          <w:spacing w:val="-1"/>
        </w:rPr>
        <w:t> </w:t>
      </w:r>
      <w:r>
        <w:rPr/>
        <w:t>的</w:t>
      </w:r>
      <w:r>
        <w:rPr>
          <w:spacing w:val="-40"/>
        </w:rPr>
        <w:t> </w:t>
      </w:r>
      <w:r>
        <w:rPr/>
        <w:t>34.43%，其中清华控股有限公司持有的公司股份在三十六个月内不通过上海证券交易</w:t>
      </w:r>
      <w:r>
        <w:rPr/>
        <w:t> 所以竞价方式出售。</w:t>
      </w:r>
    </w:p>
    <w:p>
      <w:pPr>
        <w:spacing w:line="240" w:lineRule="auto" w:before="6"/>
        <w:rPr>
          <w:rFonts w:ascii="宋体" w:hAnsi="宋体" w:cs="宋体" w:eastAsia="宋体" w:hint="default"/>
          <w:sz w:val="21"/>
          <w:szCs w:val="21"/>
        </w:rPr>
      </w:pPr>
    </w:p>
    <w:p>
      <w:pPr>
        <w:pStyle w:val="BodyText"/>
        <w:spacing w:line="312" w:lineRule="exact"/>
        <w:ind w:left="678" w:right="0"/>
        <w:jc w:val="both"/>
      </w:pPr>
      <w:r>
        <w:rPr/>
        <w:t>公司于</w:t>
      </w:r>
      <w:r>
        <w:rPr>
          <w:spacing w:val="-45"/>
        </w:rPr>
        <w:t> </w:t>
      </w:r>
      <w:r>
        <w:rPr>
          <w:spacing w:val="37"/>
        </w:rPr>
        <w:t>2007年8月3</w:t>
      </w:r>
      <w:r>
        <w:rPr>
          <w:spacing w:val="-45"/>
        </w:rPr>
        <w:t> </w:t>
      </w:r>
      <w:r>
        <w:rPr/>
        <w:t>日刊登公告，实施向</w:t>
      </w:r>
      <w:r>
        <w:rPr>
          <w:spacing w:val="-45"/>
        </w:rPr>
        <w:t> </w:t>
      </w:r>
      <w:r>
        <w:rPr/>
        <w:t>10</w:t>
      </w:r>
      <w:r>
        <w:rPr>
          <w:spacing w:val="-45"/>
        </w:rPr>
        <w:t> </w:t>
      </w:r>
      <w:r>
        <w:rPr/>
        <w:t>名特定对象以非公开发行方式发行</w:t>
      </w:r>
      <w:r>
        <w:rPr>
          <w:spacing w:val="-45"/>
        </w:rPr>
        <w:t> </w:t>
      </w:r>
      <w:r>
        <w:rPr/>
        <w:t>5,400</w:t>
      </w:r>
    </w:p>
    <w:p>
      <w:pPr>
        <w:pStyle w:val="BodyText"/>
        <w:spacing w:line="311" w:lineRule="exact"/>
        <w:ind w:left="678" w:right="0"/>
        <w:jc w:val="both"/>
      </w:pPr>
      <w:r>
        <w:rPr/>
        <w:t>万股的增发方案，所增发股份上市流通日为 </w:t>
      </w:r>
      <w:r>
        <w:rPr>
          <w:spacing w:val="46"/>
        </w:rPr>
        <w:t>2008年8月1</w:t>
      </w:r>
      <w:r>
        <w:rPr>
          <w:spacing w:val="-51"/>
        </w:rPr>
        <w:t> </w:t>
      </w:r>
      <w:r>
        <w:rPr/>
        <w:t>日。增发后，公司总股本为</w:t>
      </w:r>
    </w:p>
    <w:p>
      <w:pPr>
        <w:pStyle w:val="BodyText"/>
        <w:spacing w:line="313" w:lineRule="exact"/>
        <w:ind w:left="678" w:right="0"/>
        <w:jc w:val="both"/>
      </w:pPr>
      <w:r>
        <w:rPr/>
        <w:t>628,612,295</w:t>
      </w:r>
      <w:r>
        <w:rPr>
          <w:spacing w:val="-60"/>
        </w:rPr>
        <w:t> </w:t>
      </w:r>
      <w:r>
        <w:rPr/>
        <w:t>股。</w:t>
      </w:r>
    </w:p>
    <w:p>
      <w:pPr>
        <w:spacing w:line="240" w:lineRule="auto" w:before="1"/>
        <w:rPr>
          <w:rFonts w:ascii="宋体" w:hAnsi="宋体" w:cs="宋体" w:eastAsia="宋体" w:hint="default"/>
          <w:sz w:val="26"/>
          <w:szCs w:val="26"/>
        </w:rPr>
      </w:pPr>
    </w:p>
    <w:p>
      <w:pPr>
        <w:pStyle w:val="BodyText"/>
        <w:spacing w:line="310" w:lineRule="exact"/>
        <w:ind w:left="678" w:right="550"/>
        <w:jc w:val="left"/>
      </w:pPr>
      <w:r>
        <w:rPr/>
        <w:t>公司于</w:t>
      </w:r>
      <w:r>
        <w:rPr>
          <w:spacing w:val="-60"/>
        </w:rPr>
        <w:t> </w:t>
      </w:r>
      <w:r>
        <w:rPr>
          <w:spacing w:val="25"/>
        </w:rPr>
        <w:t>2008年5月</w:t>
      </w:r>
      <w:r>
        <w:rPr>
          <w:spacing w:val="-60"/>
        </w:rPr>
        <w:t> </w:t>
      </w:r>
      <w:r>
        <w:rPr/>
        <w:t>30</w:t>
      </w:r>
      <w:r>
        <w:rPr>
          <w:spacing w:val="-60"/>
        </w:rPr>
        <w:t> </w:t>
      </w:r>
      <w:r>
        <w:rPr>
          <w:spacing w:val="-4"/>
        </w:rPr>
        <w:t>日刊登公告，实施完成向全体股东每</w:t>
      </w:r>
      <w:r>
        <w:rPr>
          <w:spacing w:val="-61"/>
        </w:rPr>
        <w:t> </w:t>
      </w:r>
      <w:r>
        <w:rPr/>
        <w:t>10</w:t>
      </w:r>
      <w:r>
        <w:rPr>
          <w:spacing w:val="-61"/>
        </w:rPr>
        <w:t> </w:t>
      </w:r>
      <w:r>
        <w:rPr/>
        <w:t>股配</w:t>
      </w:r>
      <w:r>
        <w:rPr>
          <w:spacing w:val="-61"/>
        </w:rPr>
        <w:t> </w:t>
      </w:r>
      <w:r>
        <w:rPr/>
        <w:t>2</w:t>
      </w:r>
      <w:r>
        <w:rPr>
          <w:spacing w:val="-61"/>
        </w:rPr>
        <w:t> </w:t>
      </w:r>
      <w:r>
        <w:rPr/>
        <w:t>股的比例配售股份</w:t>
      </w:r>
      <w:r>
        <w:rPr>
          <w:spacing w:val="-1"/>
        </w:rPr>
        <w:t> </w:t>
      </w:r>
      <w:r>
        <w:rPr/>
        <w:t>的方案，配股价格为每股</w:t>
      </w:r>
      <w:r>
        <w:rPr>
          <w:spacing w:val="-71"/>
        </w:rPr>
        <w:t> </w:t>
      </w:r>
      <w:r>
        <w:rPr/>
        <w:t>16</w:t>
      </w:r>
      <w:r>
        <w:rPr>
          <w:spacing w:val="-71"/>
        </w:rPr>
        <w:t> </w:t>
      </w:r>
      <w:r>
        <w:rPr/>
        <w:t>元。配股股份上市流通日为</w:t>
      </w:r>
      <w:r>
        <w:rPr>
          <w:spacing w:val="-71"/>
        </w:rPr>
        <w:t> </w:t>
      </w:r>
      <w:r>
        <w:rPr>
          <w:spacing w:val="30"/>
        </w:rPr>
        <w:t>2008年6月3</w:t>
      </w:r>
      <w:r>
        <w:rPr>
          <w:spacing w:val="-71"/>
        </w:rPr>
        <w:t> </w:t>
      </w:r>
      <w:r>
        <w:rPr/>
        <w:t>日。配股完成后，</w:t>
      </w:r>
    </w:p>
    <w:p>
      <w:pPr>
        <w:pStyle w:val="BodyText"/>
        <w:spacing w:line="283" w:lineRule="exact"/>
        <w:ind w:left="678" w:right="0"/>
        <w:jc w:val="both"/>
      </w:pPr>
      <w:r>
        <w:rPr/>
        <w:t>公司总股本由</w:t>
      </w:r>
      <w:r>
        <w:rPr>
          <w:spacing w:val="-60"/>
        </w:rPr>
        <w:t> </w:t>
      </w:r>
      <w:r>
        <w:rPr/>
        <w:t>628,612,295</w:t>
      </w:r>
      <w:r>
        <w:rPr>
          <w:spacing w:val="-60"/>
        </w:rPr>
        <w:t> </w:t>
      </w:r>
      <w:r>
        <w:rPr/>
        <w:t>股变更为</w:t>
      </w:r>
      <w:r>
        <w:rPr>
          <w:spacing w:val="-60"/>
        </w:rPr>
        <w:t> </w:t>
      </w:r>
      <w:r>
        <w:rPr/>
        <w:t>751,515,811</w:t>
      </w:r>
      <w:r>
        <w:rPr>
          <w:spacing w:val="-60"/>
        </w:rPr>
        <w:t> </w:t>
      </w:r>
      <w:r>
        <w:rPr/>
        <w:t>股。</w:t>
      </w:r>
    </w:p>
    <w:p>
      <w:pPr>
        <w:spacing w:line="240" w:lineRule="auto" w:before="8"/>
        <w:rPr>
          <w:rFonts w:ascii="宋体" w:hAnsi="宋体" w:cs="宋体" w:eastAsia="宋体" w:hint="default"/>
          <w:sz w:val="23"/>
          <w:szCs w:val="23"/>
        </w:rPr>
      </w:pPr>
    </w:p>
    <w:p>
      <w:pPr>
        <w:pStyle w:val="BodyText"/>
        <w:spacing w:line="312" w:lineRule="exact"/>
        <w:ind w:left="678" w:right="0"/>
        <w:jc w:val="both"/>
      </w:pPr>
      <w:r>
        <w:rPr/>
        <w:t>公司于</w:t>
      </w:r>
      <w:r>
        <w:rPr>
          <w:spacing w:val="-14"/>
        </w:rPr>
        <w:t> </w:t>
      </w:r>
      <w:r>
        <w:rPr/>
        <w:t>2008</w:t>
      </w:r>
      <w:r>
        <w:rPr>
          <w:spacing w:val="-14"/>
        </w:rPr>
        <w:t> </w:t>
      </w:r>
      <w:r>
        <w:rPr/>
        <w:t>年</w:t>
      </w:r>
      <w:r>
        <w:rPr>
          <w:spacing w:val="-14"/>
        </w:rPr>
        <w:t> </w:t>
      </w:r>
      <w:r>
        <w:rPr/>
        <w:t>8</w:t>
      </w:r>
      <w:r>
        <w:rPr>
          <w:spacing w:val="-14"/>
        </w:rPr>
        <w:t> </w:t>
      </w:r>
      <w:r>
        <w:rPr/>
        <w:t>月</w:t>
      </w:r>
      <w:r>
        <w:rPr>
          <w:spacing w:val="-14"/>
        </w:rPr>
        <w:t> </w:t>
      </w:r>
      <w:r>
        <w:rPr/>
        <w:t>11</w:t>
      </w:r>
      <w:r>
        <w:rPr>
          <w:spacing w:val="-14"/>
        </w:rPr>
        <w:t> </w:t>
      </w:r>
      <w:r>
        <w:rPr/>
        <w:t>日刊登公告，实施了以公司截至</w:t>
      </w:r>
      <w:r>
        <w:rPr>
          <w:spacing w:val="-14"/>
        </w:rPr>
        <w:t> </w:t>
      </w:r>
      <w:r>
        <w:rPr/>
        <w:t>2008</w:t>
      </w:r>
      <w:r>
        <w:rPr>
          <w:spacing w:val="-14"/>
        </w:rPr>
        <w:t> </w:t>
      </w:r>
      <w:r>
        <w:rPr/>
        <w:t>年</w:t>
      </w:r>
      <w:r>
        <w:rPr>
          <w:spacing w:val="-14"/>
        </w:rPr>
        <w:t> </w:t>
      </w:r>
      <w:r>
        <w:rPr/>
        <w:t>5</w:t>
      </w:r>
      <w:r>
        <w:rPr>
          <w:spacing w:val="-14"/>
        </w:rPr>
        <w:t> </w:t>
      </w:r>
      <w:r>
        <w:rPr/>
        <w:t>月</w:t>
      </w:r>
      <w:r>
        <w:rPr>
          <w:spacing w:val="-14"/>
        </w:rPr>
        <w:t> </w:t>
      </w:r>
      <w:r>
        <w:rPr/>
        <w:t>30</w:t>
      </w:r>
      <w:r>
        <w:rPr>
          <w:spacing w:val="-14"/>
        </w:rPr>
        <w:t> </w:t>
      </w:r>
      <w:r>
        <w:rPr/>
        <w:t>日的总股本</w:t>
      </w:r>
    </w:p>
    <w:p>
      <w:pPr>
        <w:pStyle w:val="BodyText"/>
        <w:spacing w:line="311" w:lineRule="exact"/>
        <w:ind w:left="678" w:right="0"/>
        <w:jc w:val="both"/>
      </w:pPr>
      <w:r>
        <w:rPr/>
        <w:t>751,515,811</w:t>
      </w:r>
      <w:r>
        <w:rPr>
          <w:spacing w:val="-14"/>
        </w:rPr>
        <w:t> </w:t>
      </w:r>
      <w:r>
        <w:rPr/>
        <w:t>股为基数，向全体股东以每</w:t>
      </w:r>
      <w:r>
        <w:rPr>
          <w:spacing w:val="-67"/>
        </w:rPr>
        <w:t> </w:t>
      </w:r>
      <w:r>
        <w:rPr/>
        <w:t>10</w:t>
      </w:r>
      <w:r>
        <w:rPr>
          <w:spacing w:val="-67"/>
        </w:rPr>
        <w:t> </w:t>
      </w:r>
      <w:r>
        <w:rPr/>
        <w:t>股转增</w:t>
      </w:r>
      <w:r>
        <w:rPr>
          <w:spacing w:val="-67"/>
        </w:rPr>
        <w:t> </w:t>
      </w:r>
      <w:r>
        <w:rPr/>
        <w:t>3</w:t>
      </w:r>
      <w:r>
        <w:rPr>
          <w:spacing w:val="-67"/>
        </w:rPr>
        <w:t> </w:t>
      </w:r>
      <w:r>
        <w:rPr/>
        <w:t>股的资本公积金转增股本方案。转</w:t>
      </w:r>
    </w:p>
    <w:p>
      <w:pPr>
        <w:pStyle w:val="BodyText"/>
        <w:spacing w:line="313" w:lineRule="exact"/>
        <w:ind w:left="678" w:right="0"/>
        <w:jc w:val="both"/>
      </w:pPr>
      <w:r>
        <w:rPr/>
        <w:t>增完成后，公司总股本由</w:t>
      </w:r>
      <w:r>
        <w:rPr>
          <w:spacing w:val="-60"/>
        </w:rPr>
        <w:t> </w:t>
      </w:r>
      <w:r>
        <w:rPr/>
        <w:t>751,515,811</w:t>
      </w:r>
      <w:r>
        <w:rPr>
          <w:spacing w:val="-60"/>
        </w:rPr>
        <w:t> </w:t>
      </w:r>
      <w:r>
        <w:rPr/>
        <w:t>股变更为</w:t>
      </w:r>
      <w:r>
        <w:rPr>
          <w:spacing w:val="-60"/>
        </w:rPr>
        <w:t> </w:t>
      </w:r>
      <w:r>
        <w:rPr/>
        <w:t>976,970,554</w:t>
      </w:r>
      <w:r>
        <w:rPr>
          <w:spacing w:val="-60"/>
        </w:rPr>
        <w:t> </w:t>
      </w:r>
      <w:r>
        <w:rPr/>
        <w:t>股。</w:t>
      </w: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610" w:footer="764" w:top="1080" w:bottom="980" w:left="740" w:right="600"/>
        </w:sectPr>
      </w:pPr>
    </w:p>
    <w:p>
      <w:pPr>
        <w:pStyle w:val="Heading3"/>
        <w:spacing w:line="240" w:lineRule="auto" w:before="26"/>
        <w:ind w:left="678" w:right="-16"/>
        <w:jc w:val="left"/>
        <w:rPr>
          <w:b w:val="0"/>
          <w:bCs w:val="0"/>
        </w:rPr>
      </w:pPr>
      <w:r>
        <w:rPr/>
        <w:t>2、截止</w:t>
      </w:r>
      <w:r>
        <w:rPr>
          <w:spacing w:val="-61"/>
        </w:rPr>
        <w:t> </w:t>
      </w:r>
      <w:r>
        <w:rPr/>
        <w:t>2008</w:t>
      </w:r>
      <w:r>
        <w:rPr>
          <w:spacing w:val="-61"/>
        </w:rPr>
        <w:t> </w:t>
      </w:r>
      <w:r>
        <w:rPr/>
        <w:t>年</w:t>
      </w:r>
      <w:r>
        <w:rPr>
          <w:spacing w:val="-61"/>
        </w:rPr>
        <w:t> </w:t>
      </w:r>
      <w:r>
        <w:rPr/>
        <w:t>12</w:t>
      </w:r>
      <w:r>
        <w:rPr>
          <w:spacing w:val="-61"/>
        </w:rPr>
        <w:t> </w:t>
      </w:r>
      <w:r>
        <w:rPr/>
        <w:t>月</w:t>
      </w:r>
      <w:r>
        <w:rPr>
          <w:spacing w:val="-62"/>
        </w:rPr>
        <w:t> </w:t>
      </w:r>
      <w:r>
        <w:rPr/>
        <w:t>31</w:t>
      </w:r>
      <w:r>
        <w:rPr>
          <w:spacing w:val="-61"/>
        </w:rPr>
        <w:t> </w:t>
      </w:r>
      <w:r>
        <w:rPr/>
        <w:t>日股本结构情况如下：</w:t>
      </w:r>
      <w:r>
        <w:rPr>
          <w:b w:val="0"/>
          <w:bCs w:val="0"/>
        </w:rPr>
      </w:r>
    </w:p>
    <w:p>
      <w:pPr>
        <w:spacing w:line="240" w:lineRule="auto" w:before="5"/>
        <w:rPr>
          <w:rFonts w:ascii="宋体" w:hAnsi="宋体" w:cs="宋体" w:eastAsia="宋体" w:hint="default"/>
          <w:b/>
          <w:bCs/>
          <w:sz w:val="26"/>
          <w:szCs w:val="26"/>
        </w:rPr>
      </w:pPr>
      <w:r>
        <w:rPr/>
        <w:br w:type="column"/>
      </w:r>
      <w:r>
        <w:rPr>
          <w:rFonts w:ascii="宋体"/>
          <w:b/>
          <w:sz w:val="26"/>
        </w:rPr>
      </w:r>
    </w:p>
    <w:p>
      <w:pPr>
        <w:spacing w:before="0"/>
        <w:ind w:left="678"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740" w:right="600"/>
          <w:cols w:num="2" w:equalWidth="0">
            <w:col w:w="5744" w:space="2737"/>
            <w:col w:w="2089"/>
          </w:cols>
        </w:sectPr>
      </w:pPr>
    </w:p>
    <w:p>
      <w:pPr>
        <w:spacing w:line="240" w:lineRule="auto" w:before="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15"/>
        <w:gridCol w:w="1108"/>
        <w:gridCol w:w="728"/>
        <w:gridCol w:w="1015"/>
        <w:gridCol w:w="678"/>
        <w:gridCol w:w="1136"/>
        <w:gridCol w:w="1018"/>
        <w:gridCol w:w="1048"/>
        <w:gridCol w:w="1020"/>
        <w:gridCol w:w="735"/>
      </w:tblGrid>
      <w:tr>
        <w:trPr>
          <w:trHeight w:val="338" w:hRule="exact"/>
        </w:trPr>
        <w:tc>
          <w:tcPr>
            <w:tcW w:w="1815" w:type="dxa"/>
            <w:vMerge w:val="restart"/>
            <w:tcBorders>
              <w:top w:val="single" w:sz="12" w:space="0" w:color="000000"/>
              <w:left w:val="single" w:sz="12" w:space="0" w:color="000000"/>
              <w:right w:val="single" w:sz="6" w:space="0" w:color="000000"/>
            </w:tcBorders>
          </w:tcPr>
          <w:p>
            <w:pPr>
              <w:pStyle w:val="TableParagraph"/>
              <w:spacing w:line="240" w:lineRule="auto" w:before="126"/>
              <w:ind w:left="510"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18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500"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4895"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1579"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75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
              <w:ind w:left="459"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314" w:hRule="exact"/>
        </w:trPr>
        <w:tc>
          <w:tcPr>
            <w:tcW w:w="1815" w:type="dxa"/>
            <w:vMerge/>
            <w:tcBorders>
              <w:left w:val="single" w:sz="12" w:space="0" w:color="000000"/>
              <w:bottom w:val="single" w:sz="6" w:space="0" w:color="000000"/>
              <w:right w:val="single" w:sz="6" w:space="0" w:color="000000"/>
            </w:tcBorders>
          </w:tcPr>
          <w:p>
            <w:pP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66"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48"/>
              <w:jc w:val="right"/>
              <w:rPr>
                <w:rFonts w:ascii="宋体" w:hAnsi="宋体" w:cs="宋体" w:eastAsia="宋体" w:hint="default"/>
                <w:sz w:val="18"/>
                <w:szCs w:val="18"/>
              </w:rPr>
            </w:pPr>
            <w:r>
              <w:rPr>
                <w:rFonts w:ascii="宋体" w:hAnsi="宋体" w:cs="宋体" w:eastAsia="宋体" w:hint="default"/>
                <w:b/>
                <w:bCs/>
                <w:w w:val="90"/>
                <w:sz w:val="18"/>
                <w:szCs w:val="18"/>
              </w:rPr>
              <w:t>公积金转股</w:t>
            </w:r>
            <w:r>
              <w:rPr>
                <w:rFonts w:ascii="宋体" w:hAnsi="宋体" w:cs="宋体" w:eastAsia="宋体" w:hint="default"/>
                <w:sz w:val="18"/>
                <w:szCs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left="19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16"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w w:val="95"/>
                <w:sz w:val="18"/>
              </w:rPr>
              <w:t>243,986,980</w:t>
            </w:r>
            <w:r>
              <w:rPr>
                <w:rFonts w:ascii="宋体"/>
                <w:sz w:val="18"/>
              </w:rPr>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8" w:right="0"/>
              <w:jc w:val="center"/>
              <w:rPr>
                <w:rFonts w:ascii="宋体" w:hAnsi="宋体" w:cs="宋体" w:eastAsia="宋体" w:hint="default"/>
                <w:sz w:val="18"/>
                <w:szCs w:val="18"/>
              </w:rPr>
            </w:pPr>
            <w:r>
              <w:rPr>
                <w:rFonts w:ascii="宋体"/>
                <w:sz w:val="18"/>
              </w:rPr>
              <w:t>38.81%</w:t>
            </w: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56,996,094</w:t>
            </w:r>
            <w:r>
              <w:rPr>
                <w:rFonts w:ascii="宋体"/>
                <w:sz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-54,000,000</w:t>
            </w:r>
            <w:r>
              <w:rPr>
                <w:rFonts w:ascii="宋体"/>
                <w:sz w:val="18"/>
              </w:rPr>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2,996,094</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246,983,074</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宋体" w:hAnsi="宋体" w:cs="宋体" w:eastAsia="宋体" w:hint="default"/>
                <w:sz w:val="18"/>
                <w:szCs w:val="18"/>
              </w:rPr>
            </w:pPr>
            <w:r>
              <w:rPr>
                <w:rFonts w:ascii="宋体"/>
                <w:w w:val="85"/>
                <w:sz w:val="18"/>
              </w:rPr>
              <w:t>25.28%</w:t>
            </w:r>
            <w:r>
              <w:rPr>
                <w:rFonts w:ascii="宋体"/>
                <w:sz w:val="18"/>
              </w:rPr>
            </w:r>
          </w:p>
        </w:tc>
      </w:tr>
      <w:tr>
        <w:trPr>
          <w:trHeight w:val="314"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108"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w w:val="95"/>
                <w:sz w:val="18"/>
              </w:rPr>
              <w:t>189,986,980</w:t>
            </w:r>
            <w:r>
              <w:rPr>
                <w:rFonts w:ascii="宋体"/>
                <w:sz w:val="18"/>
              </w:rPr>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8" w:right="0"/>
              <w:jc w:val="center"/>
              <w:rPr>
                <w:rFonts w:ascii="宋体" w:hAnsi="宋体" w:cs="宋体" w:eastAsia="宋体" w:hint="default"/>
                <w:sz w:val="18"/>
                <w:szCs w:val="18"/>
              </w:rPr>
            </w:pPr>
            <w:r>
              <w:rPr>
                <w:rFonts w:ascii="宋体"/>
                <w:sz w:val="18"/>
              </w:rPr>
              <w:t>30.22%</w:t>
            </w: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56,996,094</w:t>
            </w:r>
            <w:r>
              <w:rPr>
                <w:rFonts w:ascii="宋体"/>
                <w:sz w:val="18"/>
              </w:rPr>
            </w:r>
          </w:p>
        </w:tc>
        <w:tc>
          <w:tcPr>
            <w:tcW w:w="1018"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56,996,094</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246,983,074</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宋体" w:hAnsi="宋体" w:cs="宋体" w:eastAsia="宋体" w:hint="default"/>
                <w:sz w:val="18"/>
                <w:szCs w:val="18"/>
              </w:rPr>
            </w:pPr>
            <w:r>
              <w:rPr>
                <w:rFonts w:ascii="宋体"/>
                <w:w w:val="85"/>
                <w:sz w:val="18"/>
              </w:rPr>
              <w:t>25.28%</w:t>
            </w:r>
            <w:r>
              <w:rPr>
                <w:rFonts w:ascii="宋体"/>
                <w:sz w:val="18"/>
              </w:rPr>
            </w:r>
          </w:p>
        </w:tc>
      </w:tr>
      <w:tr>
        <w:trPr>
          <w:trHeight w:val="314"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83" w:right="0"/>
              <w:jc w:val="center"/>
              <w:rPr>
                <w:rFonts w:ascii="宋体" w:hAnsi="宋体" w:cs="宋体" w:eastAsia="宋体" w:hint="default"/>
                <w:sz w:val="18"/>
                <w:szCs w:val="18"/>
              </w:rPr>
            </w:pPr>
            <w:r>
              <w:rPr>
                <w:rFonts w:ascii="宋体"/>
                <w:w w:val="95"/>
                <w:sz w:val="18"/>
              </w:rPr>
              <w:t>54,000,000</w:t>
            </w:r>
            <w:r>
              <w:rPr>
                <w:rFonts w:ascii="宋体"/>
                <w:sz w:val="18"/>
              </w:rPr>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8" w:right="0"/>
              <w:jc w:val="center"/>
              <w:rPr>
                <w:rFonts w:ascii="宋体" w:hAnsi="宋体" w:cs="宋体" w:eastAsia="宋体" w:hint="default"/>
                <w:sz w:val="18"/>
                <w:szCs w:val="18"/>
              </w:rPr>
            </w:pPr>
            <w:r>
              <w:rPr>
                <w:rFonts w:ascii="宋体"/>
                <w:sz w:val="18"/>
              </w:rPr>
              <w:t>8.59%</w:t>
            </w: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-54,000,000</w:t>
            </w:r>
            <w:r>
              <w:rPr>
                <w:rFonts w:ascii="宋体"/>
                <w:sz w:val="18"/>
              </w:rPr>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-54,000,000</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9"/>
                <w:sz w:val="18"/>
              </w:rPr>
              <w:t>0</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宋体" w:hAnsi="宋体" w:cs="宋体" w:eastAsia="宋体" w:hint="default"/>
                <w:sz w:val="18"/>
                <w:szCs w:val="18"/>
              </w:rPr>
            </w:pPr>
            <w:r>
              <w:rPr>
                <w:rFonts w:ascii="宋体"/>
                <w:w w:val="85"/>
                <w:sz w:val="18"/>
              </w:rPr>
              <w:t>0.00%</w:t>
            </w:r>
            <w:r>
              <w:rPr>
                <w:rFonts w:ascii="宋体"/>
                <w:sz w:val="18"/>
              </w:rPr>
            </w:r>
          </w:p>
        </w:tc>
      </w:tr>
      <w:tr>
        <w:trPr>
          <w:trHeight w:val="496"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100"/>
              <w:jc w:val="left"/>
              <w:rPr>
                <w:rFonts w:ascii="宋体" w:hAnsi="宋体" w:cs="宋体" w:eastAsia="宋体" w:hint="default"/>
                <w:sz w:val="18"/>
                <w:szCs w:val="18"/>
              </w:rPr>
            </w:pPr>
            <w:r>
              <w:rPr>
                <w:rFonts w:ascii="宋体" w:hAnsi="宋体" w:cs="宋体" w:eastAsia="宋体" w:hint="default"/>
                <w:spacing w:val="-3"/>
                <w:w w:val="90"/>
                <w:sz w:val="18"/>
                <w:szCs w:val="18"/>
              </w:rPr>
              <w:t>其中：境内非国有法人</w:t>
            </w:r>
            <w:r>
              <w:rPr>
                <w:rFonts w:ascii="宋体" w:hAnsi="宋体" w:cs="宋体" w:eastAsia="宋体" w:hint="default"/>
                <w:spacing w:val="-78"/>
                <w:w w:val="90"/>
                <w:sz w:val="18"/>
                <w:szCs w:val="18"/>
              </w:rPr>
              <w:t> </w:t>
            </w:r>
            <w:r>
              <w:rPr>
                <w:rFonts w:ascii="宋体" w:hAnsi="宋体" w:cs="宋体" w:eastAsia="宋体" w:hint="default"/>
                <w:spacing w:val="-78"/>
                <w:w w:val="90"/>
                <w:sz w:val="18"/>
                <w:szCs w:val="18"/>
              </w:rPr>
            </w:r>
            <w:r>
              <w:rPr>
                <w:rFonts w:ascii="宋体" w:hAnsi="宋体" w:cs="宋体" w:eastAsia="宋体" w:hint="default"/>
                <w:sz w:val="18"/>
                <w:szCs w:val="18"/>
              </w:rPr>
              <w:t>持股</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3" w:right="0"/>
              <w:jc w:val="center"/>
              <w:rPr>
                <w:rFonts w:ascii="宋体" w:hAnsi="宋体" w:cs="宋体" w:eastAsia="宋体" w:hint="default"/>
                <w:sz w:val="18"/>
                <w:szCs w:val="18"/>
              </w:rPr>
            </w:pPr>
            <w:r>
              <w:rPr>
                <w:rFonts w:ascii="宋体"/>
                <w:w w:val="95"/>
                <w:sz w:val="18"/>
              </w:rPr>
              <w:t>54,000,000</w:t>
            </w:r>
            <w:r>
              <w:rPr>
                <w:rFonts w:ascii="宋体"/>
                <w:sz w:val="18"/>
              </w:rPr>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8" w:right="0"/>
              <w:jc w:val="center"/>
              <w:rPr>
                <w:rFonts w:ascii="宋体" w:hAnsi="宋体" w:cs="宋体" w:eastAsia="宋体" w:hint="default"/>
                <w:sz w:val="18"/>
                <w:szCs w:val="18"/>
              </w:rPr>
            </w:pPr>
            <w:r>
              <w:rPr>
                <w:rFonts w:ascii="宋体"/>
                <w:sz w:val="18"/>
              </w:rPr>
              <w:t>8.59%</w:t>
            </w: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9"/>
              <w:jc w:val="right"/>
              <w:rPr>
                <w:rFonts w:ascii="宋体" w:hAnsi="宋体" w:cs="宋体" w:eastAsia="宋体" w:hint="default"/>
                <w:sz w:val="18"/>
                <w:szCs w:val="18"/>
              </w:rPr>
            </w:pPr>
            <w:r>
              <w:rPr>
                <w:rFonts w:ascii="宋体"/>
                <w:w w:val="85"/>
                <w:sz w:val="18"/>
              </w:rPr>
              <w:t>-54,000,000</w:t>
            </w:r>
            <w:r>
              <w:rPr>
                <w:rFonts w:ascii="宋体"/>
                <w:sz w:val="18"/>
              </w:rPr>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9"/>
              <w:jc w:val="right"/>
              <w:rPr>
                <w:rFonts w:ascii="宋体" w:hAnsi="宋体" w:cs="宋体" w:eastAsia="宋体" w:hint="default"/>
                <w:sz w:val="18"/>
                <w:szCs w:val="18"/>
              </w:rPr>
            </w:pPr>
            <w:r>
              <w:rPr>
                <w:rFonts w:ascii="宋体"/>
                <w:w w:val="85"/>
                <w:sz w:val="18"/>
              </w:rPr>
              <w:t>-54,000,000</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9"/>
              <w:jc w:val="right"/>
              <w:rPr>
                <w:rFonts w:ascii="宋体" w:hAnsi="宋体" w:cs="宋体" w:eastAsia="宋体" w:hint="default"/>
                <w:sz w:val="18"/>
                <w:szCs w:val="18"/>
              </w:rPr>
            </w:pPr>
            <w:r>
              <w:rPr>
                <w:rFonts w:ascii="宋体"/>
                <w:w w:val="89"/>
                <w:sz w:val="18"/>
              </w:rPr>
              <w:t>0</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92"/>
              <w:jc w:val="right"/>
              <w:rPr>
                <w:rFonts w:ascii="宋体" w:hAnsi="宋体" w:cs="宋体" w:eastAsia="宋体" w:hint="default"/>
                <w:sz w:val="18"/>
                <w:szCs w:val="18"/>
              </w:rPr>
            </w:pPr>
            <w:r>
              <w:rPr>
                <w:rFonts w:ascii="宋体"/>
                <w:w w:val="85"/>
                <w:sz w:val="18"/>
              </w:rPr>
              <w:t>0.00%</w:t>
            </w:r>
            <w:r>
              <w:rPr>
                <w:rFonts w:ascii="宋体"/>
                <w:sz w:val="18"/>
              </w:rPr>
            </w:r>
          </w:p>
        </w:tc>
      </w:tr>
      <w:tr>
        <w:trPr>
          <w:trHeight w:val="314"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8"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108"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8"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8"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w w:val="95"/>
                <w:sz w:val="18"/>
              </w:rPr>
              <w:t>384,625,315</w:t>
            </w:r>
            <w:r>
              <w:rPr>
                <w:rFonts w:ascii="宋体"/>
                <w:sz w:val="18"/>
              </w:rPr>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8" w:right="0"/>
              <w:jc w:val="center"/>
              <w:rPr>
                <w:rFonts w:ascii="宋体" w:hAnsi="宋体" w:cs="宋体" w:eastAsia="宋体" w:hint="default"/>
                <w:sz w:val="18"/>
                <w:szCs w:val="18"/>
              </w:rPr>
            </w:pPr>
            <w:r>
              <w:rPr>
                <w:rFonts w:ascii="宋体"/>
                <w:sz w:val="18"/>
              </w:rPr>
              <w:t>61.19%</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87"/>
              <w:jc w:val="center"/>
              <w:rPr>
                <w:rFonts w:ascii="宋体" w:hAnsi="宋体" w:cs="宋体" w:eastAsia="宋体" w:hint="default"/>
                <w:sz w:val="18"/>
                <w:szCs w:val="18"/>
              </w:rPr>
            </w:pPr>
            <w:r>
              <w:rPr>
                <w:rFonts w:ascii="宋体"/>
                <w:w w:val="90"/>
                <w:sz w:val="18"/>
              </w:rPr>
              <w:t>122,903,516</w:t>
            </w:r>
            <w:r>
              <w:rPr>
                <w:rFonts w:ascii="宋体"/>
                <w:sz w:val="18"/>
              </w:rPr>
            </w: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168,458,649</w:t>
            </w:r>
            <w:r>
              <w:rPr>
                <w:rFonts w:ascii="宋体"/>
                <w:sz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54,000,000</w:t>
            </w:r>
            <w:r>
              <w:rPr>
                <w:rFonts w:ascii="宋体"/>
                <w:sz w:val="18"/>
              </w:rPr>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w w:val="85"/>
                <w:sz w:val="18"/>
              </w:rPr>
              <w:t>345,362,165</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729,987,480</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宋体" w:hAnsi="宋体" w:cs="宋体" w:eastAsia="宋体" w:hint="default"/>
                <w:sz w:val="18"/>
                <w:szCs w:val="18"/>
              </w:rPr>
            </w:pPr>
            <w:r>
              <w:rPr>
                <w:rFonts w:ascii="宋体"/>
                <w:w w:val="85"/>
                <w:sz w:val="18"/>
              </w:rPr>
              <w:t>74.72%</w:t>
            </w:r>
            <w:r>
              <w:rPr>
                <w:rFonts w:ascii="宋体"/>
                <w:sz w:val="18"/>
              </w:rPr>
            </w:r>
          </w:p>
        </w:tc>
      </w:tr>
      <w:tr>
        <w:trPr>
          <w:trHeight w:val="316"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w w:val="95"/>
                <w:sz w:val="18"/>
              </w:rPr>
              <w:t>384,625,315</w:t>
            </w:r>
            <w:r>
              <w:rPr>
                <w:rFonts w:ascii="宋体"/>
                <w:sz w:val="18"/>
              </w:rPr>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8" w:right="0"/>
              <w:jc w:val="center"/>
              <w:rPr>
                <w:rFonts w:ascii="宋体" w:hAnsi="宋体" w:cs="宋体" w:eastAsia="宋体" w:hint="default"/>
                <w:sz w:val="18"/>
                <w:szCs w:val="18"/>
              </w:rPr>
            </w:pPr>
            <w:r>
              <w:rPr>
                <w:rFonts w:ascii="宋体"/>
                <w:sz w:val="18"/>
              </w:rPr>
              <w:t>61.19%</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87"/>
              <w:jc w:val="center"/>
              <w:rPr>
                <w:rFonts w:ascii="宋体" w:hAnsi="宋体" w:cs="宋体" w:eastAsia="宋体" w:hint="default"/>
                <w:sz w:val="18"/>
                <w:szCs w:val="18"/>
              </w:rPr>
            </w:pPr>
            <w:r>
              <w:rPr>
                <w:rFonts w:ascii="宋体"/>
                <w:w w:val="90"/>
                <w:sz w:val="18"/>
              </w:rPr>
              <w:t>122,903,516</w:t>
            </w:r>
            <w:r>
              <w:rPr>
                <w:rFonts w:ascii="宋体"/>
                <w:sz w:val="18"/>
              </w:rPr>
            </w: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168,458,649</w:t>
            </w:r>
            <w:r>
              <w:rPr>
                <w:rFonts w:ascii="宋体"/>
                <w:sz w:val="18"/>
              </w:rPr>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54,000,000</w:t>
            </w:r>
            <w:r>
              <w:rPr>
                <w:rFonts w:ascii="宋体"/>
                <w:sz w:val="18"/>
              </w:rPr>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w w:val="85"/>
                <w:sz w:val="18"/>
              </w:rPr>
              <w:t>345,362,165</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729,987,480</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宋体" w:hAnsi="宋体" w:cs="宋体" w:eastAsia="宋体" w:hint="default"/>
                <w:sz w:val="18"/>
                <w:szCs w:val="18"/>
              </w:rPr>
            </w:pPr>
            <w:r>
              <w:rPr>
                <w:rFonts w:ascii="宋体"/>
                <w:w w:val="85"/>
                <w:sz w:val="18"/>
              </w:rPr>
              <w:t>74.72%</w:t>
            </w:r>
            <w:r>
              <w:rPr>
                <w:rFonts w:ascii="宋体"/>
                <w:sz w:val="18"/>
              </w:rPr>
            </w:r>
          </w:p>
        </w:tc>
      </w:tr>
      <w:tr>
        <w:trPr>
          <w:trHeight w:val="314"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2、境内上市的外资股</w:t>
            </w:r>
            <w:r>
              <w:rPr>
                <w:rFonts w:ascii="宋体" w:hAnsi="宋体" w:cs="宋体" w:eastAsia="宋体" w:hint="default"/>
                <w:sz w:val="18"/>
                <w:szCs w:val="18"/>
              </w:rPr>
            </w:r>
          </w:p>
        </w:tc>
        <w:tc>
          <w:tcPr>
            <w:tcW w:w="1108"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3、境外上市的外资股</w:t>
            </w:r>
            <w:r>
              <w:rPr>
                <w:rFonts w:ascii="宋体" w:hAnsi="宋体" w:cs="宋体" w:eastAsia="宋体" w:hint="default"/>
                <w:sz w:val="18"/>
                <w:szCs w:val="18"/>
              </w:rPr>
            </w:r>
          </w:p>
        </w:tc>
        <w:tc>
          <w:tcPr>
            <w:tcW w:w="1108"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108"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1015"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c>
          <w:tcPr>
            <w:tcW w:w="1048"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23" w:hRule="exact"/>
        </w:trPr>
        <w:tc>
          <w:tcPr>
            <w:tcW w:w="18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1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3" w:right="0"/>
              <w:jc w:val="center"/>
              <w:rPr>
                <w:rFonts w:ascii="宋体" w:hAnsi="宋体" w:cs="宋体" w:eastAsia="宋体" w:hint="default"/>
                <w:sz w:val="18"/>
                <w:szCs w:val="18"/>
              </w:rPr>
            </w:pPr>
            <w:r>
              <w:rPr>
                <w:rFonts w:ascii="宋体"/>
                <w:w w:val="95"/>
                <w:sz w:val="18"/>
              </w:rPr>
              <w:t>628,612,295</w:t>
            </w:r>
            <w:r>
              <w:rPr>
                <w:rFonts w:ascii="宋体"/>
                <w:sz w:val="18"/>
              </w:rPr>
            </w:r>
          </w:p>
        </w:tc>
        <w:tc>
          <w:tcPr>
            <w:tcW w:w="7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51"/>
              <w:jc w:val="center"/>
              <w:rPr>
                <w:rFonts w:ascii="宋体" w:hAnsi="宋体" w:cs="宋体" w:eastAsia="宋体" w:hint="default"/>
                <w:sz w:val="18"/>
                <w:szCs w:val="18"/>
              </w:rPr>
            </w:pPr>
            <w:r>
              <w:rPr>
                <w:rFonts w:ascii="宋体"/>
                <w:w w:val="95"/>
                <w:sz w:val="18"/>
              </w:rPr>
              <w:t>100.00%</w:t>
            </w:r>
            <w:r>
              <w:rPr>
                <w:rFonts w:ascii="宋体"/>
                <w:sz w:val="18"/>
              </w:rPr>
            </w:r>
          </w:p>
        </w:tc>
        <w:tc>
          <w:tcPr>
            <w:tcW w:w="10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87"/>
              <w:jc w:val="center"/>
              <w:rPr>
                <w:rFonts w:ascii="宋体" w:hAnsi="宋体" w:cs="宋体" w:eastAsia="宋体" w:hint="default"/>
                <w:sz w:val="18"/>
                <w:szCs w:val="18"/>
              </w:rPr>
            </w:pPr>
            <w:r>
              <w:rPr>
                <w:rFonts w:ascii="宋体"/>
                <w:w w:val="90"/>
                <w:sz w:val="18"/>
              </w:rPr>
              <w:t>122,903,516</w:t>
            </w:r>
            <w:r>
              <w:rPr>
                <w:rFonts w:ascii="宋体"/>
                <w:sz w:val="18"/>
              </w:rPr>
            </w:r>
          </w:p>
        </w:tc>
        <w:tc>
          <w:tcPr>
            <w:tcW w:w="678"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225,454,743</w:t>
            </w:r>
            <w:r>
              <w:rPr>
                <w:rFonts w:ascii="宋体"/>
                <w:sz w:val="18"/>
              </w:rPr>
            </w:r>
          </w:p>
        </w:tc>
        <w:tc>
          <w:tcPr>
            <w:tcW w:w="10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9"/>
                <w:sz w:val="18"/>
              </w:rPr>
              <w:t>0</w:t>
            </w:r>
            <w:r>
              <w:rPr>
                <w:rFonts w:ascii="宋体"/>
                <w:sz w:val="18"/>
              </w:rPr>
            </w:r>
          </w:p>
        </w:tc>
        <w:tc>
          <w:tcPr>
            <w:tcW w:w="10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w w:val="85"/>
                <w:sz w:val="18"/>
              </w:rPr>
              <w:t>348,358,259</w:t>
            </w:r>
            <w:r>
              <w:rPr>
                <w:rFonts w:ascii="宋体"/>
                <w:sz w:val="18"/>
              </w:rPr>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976,970,554</w:t>
            </w:r>
            <w:r>
              <w:rPr>
                <w:rFonts w:ascii="宋体"/>
                <w:sz w:val="18"/>
              </w:rPr>
            </w:r>
          </w:p>
        </w:tc>
        <w:tc>
          <w:tcPr>
            <w:tcW w:w="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1"/>
              <w:jc w:val="right"/>
              <w:rPr>
                <w:rFonts w:ascii="宋体" w:hAnsi="宋体" w:cs="宋体" w:eastAsia="宋体" w:hint="default"/>
                <w:sz w:val="18"/>
                <w:szCs w:val="18"/>
              </w:rPr>
            </w:pPr>
            <w:r>
              <w:rPr>
                <w:rFonts w:ascii="宋体"/>
                <w:w w:val="85"/>
                <w:sz w:val="18"/>
              </w:rPr>
              <w:t>100.00%</w:t>
            </w:r>
            <w:r>
              <w:rPr>
                <w:rFonts w:ascii="宋体"/>
                <w:sz w:val="18"/>
              </w:rPr>
            </w:r>
          </w:p>
        </w:tc>
      </w:tr>
    </w:tbl>
    <w:p>
      <w:pPr>
        <w:spacing w:after="0" w:line="240" w:lineRule="auto"/>
        <w:jc w:val="right"/>
        <w:rPr>
          <w:rFonts w:ascii="宋体" w:hAnsi="宋体" w:cs="宋体" w:eastAsia="宋体" w:hint="default"/>
          <w:sz w:val="18"/>
          <w:szCs w:val="18"/>
        </w:rPr>
        <w:sectPr>
          <w:type w:val="continuous"/>
          <w:pgSz w:w="11910" w:h="16840"/>
          <w:pgMar w:top="1600" w:bottom="280" w:left="74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10" w:footer="764" w:top="1080" w:bottom="980" w:left="740" w:right="600"/>
        </w:sectPr>
      </w:pPr>
    </w:p>
    <w:p>
      <w:pPr>
        <w:pStyle w:val="Heading3"/>
        <w:spacing w:line="240" w:lineRule="auto" w:before="26"/>
        <w:ind w:left="678" w:right="-16"/>
        <w:jc w:val="left"/>
        <w:rPr>
          <w:b w:val="0"/>
          <w:bCs w:val="0"/>
        </w:rPr>
      </w:pPr>
      <w:r>
        <w:rPr/>
        <w:t>3、截至</w:t>
      </w:r>
      <w:r>
        <w:rPr>
          <w:spacing w:val="-61"/>
        </w:rPr>
        <w:t> </w:t>
      </w:r>
      <w:r>
        <w:rPr/>
        <w:t>2008</w:t>
      </w:r>
      <w:r>
        <w:rPr>
          <w:spacing w:val="-61"/>
        </w:rPr>
        <w:t> </w:t>
      </w:r>
      <w:r>
        <w:rPr/>
        <w:t>年</w:t>
      </w:r>
      <w:r>
        <w:rPr>
          <w:spacing w:val="-61"/>
        </w:rPr>
        <w:t> </w:t>
      </w:r>
      <w:r>
        <w:rPr/>
        <w:t>12</w:t>
      </w:r>
      <w:r>
        <w:rPr>
          <w:spacing w:val="-61"/>
        </w:rPr>
        <w:t> </w:t>
      </w:r>
      <w:r>
        <w:rPr/>
        <w:t>月</w:t>
      </w:r>
      <w:r>
        <w:rPr>
          <w:spacing w:val="-62"/>
        </w:rPr>
        <w:t> </w:t>
      </w:r>
      <w:r>
        <w:rPr/>
        <w:t>31</w:t>
      </w:r>
      <w:r>
        <w:rPr>
          <w:spacing w:val="-61"/>
        </w:rPr>
        <w:t> </w:t>
      </w:r>
      <w:r>
        <w:rPr/>
        <w:t>日，公司限售股份变动情况如下：</w:t>
      </w:r>
      <w:r>
        <w:rPr>
          <w:b w:val="0"/>
          <w:bCs w:val="0"/>
        </w:rPr>
      </w:r>
    </w:p>
    <w:p>
      <w:pPr>
        <w:spacing w:line="240" w:lineRule="auto" w:before="0"/>
        <w:rPr>
          <w:rFonts w:ascii="宋体" w:hAnsi="宋体" w:cs="宋体" w:eastAsia="宋体" w:hint="default"/>
          <w:b/>
          <w:bCs/>
          <w:sz w:val="26"/>
          <w:szCs w:val="26"/>
        </w:rPr>
      </w:pPr>
      <w:r>
        <w:rPr/>
        <w:br w:type="column"/>
      </w:r>
      <w:r>
        <w:rPr>
          <w:rFonts w:ascii="宋体"/>
          <w:b/>
          <w:sz w:val="26"/>
        </w:rPr>
      </w:r>
    </w:p>
    <w:p>
      <w:pPr>
        <w:spacing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740" w:right="600"/>
          <w:cols w:num="2" w:equalWidth="0">
            <w:col w:w="6949" w:space="1413"/>
            <w:col w:w="220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792"/>
        <w:gridCol w:w="1213"/>
        <w:gridCol w:w="1124"/>
        <w:gridCol w:w="1124"/>
        <w:gridCol w:w="1213"/>
        <w:gridCol w:w="1264"/>
        <w:gridCol w:w="1558"/>
      </w:tblGrid>
      <w:tr>
        <w:trPr>
          <w:trHeight w:val="502" w:hRule="exact"/>
        </w:trPr>
        <w:tc>
          <w:tcPr>
            <w:tcW w:w="279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7"/>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21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08" w:right="144" w:hanging="362"/>
              <w:jc w:val="left"/>
              <w:rPr>
                <w:rFonts w:ascii="宋体" w:hAnsi="宋体" w:cs="宋体" w:eastAsia="宋体" w:hint="default"/>
                <w:sz w:val="18"/>
                <w:szCs w:val="18"/>
              </w:rPr>
            </w:pPr>
            <w:r>
              <w:rPr>
                <w:rFonts w:ascii="宋体" w:hAnsi="宋体" w:cs="宋体" w:eastAsia="宋体" w:hint="default"/>
                <w:b/>
                <w:bCs/>
                <w:sz w:val="18"/>
                <w:szCs w:val="18"/>
              </w:rPr>
              <w:t>年初限售股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12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83" w:right="99" w:hanging="180"/>
              <w:jc w:val="left"/>
              <w:rPr>
                <w:rFonts w:ascii="宋体" w:hAnsi="宋体" w:cs="宋体" w:eastAsia="宋体" w:hint="default"/>
                <w:sz w:val="18"/>
                <w:szCs w:val="18"/>
              </w:rPr>
            </w:pPr>
            <w:r>
              <w:rPr>
                <w:rFonts w:ascii="宋体" w:hAnsi="宋体" w:cs="宋体" w:eastAsia="宋体" w:hint="default"/>
                <w:b/>
                <w:bCs/>
                <w:sz w:val="18"/>
                <w:szCs w:val="18"/>
              </w:rPr>
              <w:t>本年解除限</w:t>
            </w:r>
            <w:r>
              <w:rPr>
                <w:rFonts w:ascii="宋体" w:hAnsi="宋体" w:cs="宋体" w:eastAsia="宋体" w:hint="default"/>
                <w:b/>
                <w:bCs/>
                <w:spacing w:val="1"/>
                <w:w w:val="99"/>
                <w:sz w:val="18"/>
                <w:szCs w:val="18"/>
              </w:rPr>
              <w:t> </w:t>
            </w:r>
            <w:r>
              <w:rPr>
                <w:rFonts w:ascii="宋体" w:hAnsi="宋体" w:cs="宋体" w:eastAsia="宋体" w:hint="default"/>
                <w:b/>
                <w:bCs/>
                <w:sz w:val="18"/>
                <w:szCs w:val="18"/>
              </w:rPr>
              <w:t>售股数</w:t>
            </w:r>
            <w:r>
              <w:rPr>
                <w:rFonts w:ascii="宋体" w:hAnsi="宋体" w:cs="宋体" w:eastAsia="宋体" w:hint="default"/>
                <w:sz w:val="18"/>
                <w:szCs w:val="18"/>
              </w:rPr>
            </w:r>
          </w:p>
        </w:tc>
        <w:tc>
          <w:tcPr>
            <w:tcW w:w="112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83" w:right="99" w:hanging="180"/>
              <w:jc w:val="left"/>
              <w:rPr>
                <w:rFonts w:ascii="宋体" w:hAnsi="宋体" w:cs="宋体" w:eastAsia="宋体" w:hint="default"/>
                <w:sz w:val="18"/>
                <w:szCs w:val="18"/>
              </w:rPr>
            </w:pPr>
            <w:r>
              <w:rPr>
                <w:rFonts w:ascii="宋体" w:hAnsi="宋体" w:cs="宋体" w:eastAsia="宋体" w:hint="default"/>
                <w:b/>
                <w:bCs/>
                <w:sz w:val="18"/>
                <w:szCs w:val="18"/>
              </w:rPr>
              <w:t>本年增加限</w:t>
            </w:r>
            <w:r>
              <w:rPr>
                <w:rFonts w:ascii="宋体" w:hAnsi="宋体" w:cs="宋体" w:eastAsia="宋体" w:hint="default"/>
                <w:b/>
                <w:bCs/>
                <w:spacing w:val="1"/>
                <w:w w:val="99"/>
                <w:sz w:val="18"/>
                <w:szCs w:val="18"/>
              </w:rPr>
              <w:t> </w:t>
            </w:r>
            <w:r>
              <w:rPr>
                <w:rFonts w:ascii="宋体" w:hAnsi="宋体" w:cs="宋体" w:eastAsia="宋体" w:hint="default"/>
                <w:b/>
                <w:bCs/>
                <w:sz w:val="18"/>
                <w:szCs w:val="18"/>
              </w:rPr>
              <w:t>售股数</w:t>
            </w:r>
            <w:r>
              <w:rPr>
                <w:rFonts w:ascii="宋体" w:hAnsi="宋体" w:cs="宋体" w:eastAsia="宋体" w:hint="default"/>
                <w:sz w:val="18"/>
                <w:szCs w:val="18"/>
              </w:rPr>
            </w:r>
          </w:p>
        </w:tc>
        <w:tc>
          <w:tcPr>
            <w:tcW w:w="121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09" w:right="144" w:hanging="362"/>
              <w:jc w:val="left"/>
              <w:rPr>
                <w:rFonts w:ascii="宋体" w:hAnsi="宋体" w:cs="宋体" w:eastAsia="宋体" w:hint="default"/>
                <w:sz w:val="18"/>
                <w:szCs w:val="18"/>
              </w:rPr>
            </w:pPr>
            <w:r>
              <w:rPr>
                <w:rFonts w:ascii="宋体" w:hAnsi="宋体" w:cs="宋体" w:eastAsia="宋体" w:hint="default"/>
                <w:b/>
                <w:bCs/>
                <w:sz w:val="18"/>
                <w:szCs w:val="18"/>
              </w:rPr>
              <w:t>年末限售股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限售原因</w:t>
            </w:r>
            <w:r>
              <w:rPr>
                <w:rFonts w:ascii="宋体" w:hAnsi="宋体" w:cs="宋体" w:eastAsia="宋体" w:hint="default"/>
                <w:sz w:val="18"/>
                <w:szCs w:val="18"/>
              </w:rPr>
            </w:r>
          </w:p>
        </w:tc>
        <w:tc>
          <w:tcPr>
            <w:tcW w:w="155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left="8" w:right="0"/>
              <w:jc w:val="center"/>
              <w:rPr>
                <w:rFonts w:ascii="宋体" w:hAnsi="宋体" w:cs="宋体" w:eastAsia="宋体" w:hint="default"/>
                <w:sz w:val="18"/>
                <w:szCs w:val="18"/>
              </w:rPr>
            </w:pPr>
            <w:r>
              <w:rPr>
                <w:rFonts w:ascii="宋体" w:hAnsi="宋体" w:cs="宋体" w:eastAsia="宋体" w:hint="default"/>
                <w:b/>
                <w:bCs/>
                <w:sz w:val="18"/>
                <w:szCs w:val="18"/>
              </w:rPr>
              <w:t>解除限售日期</w:t>
            </w:r>
            <w:r>
              <w:rPr>
                <w:rFonts w:ascii="宋体" w:hAnsi="宋体" w:cs="宋体" w:eastAsia="宋体" w:hint="default"/>
                <w:sz w:val="18"/>
                <w:szCs w:val="18"/>
              </w:rPr>
            </w:r>
          </w:p>
        </w:tc>
      </w:tr>
      <w:tr>
        <w:trPr>
          <w:trHeight w:val="256"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189,986,980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56,996,094</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246,983,074</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32" w:right="0"/>
              <w:jc w:val="center"/>
              <w:rPr>
                <w:rFonts w:ascii="宋体" w:hAnsi="宋体" w:cs="宋体" w:eastAsia="宋体" w:hint="default"/>
                <w:sz w:val="18"/>
                <w:szCs w:val="18"/>
              </w:rPr>
            </w:pPr>
            <w:r>
              <w:rPr>
                <w:rFonts w:ascii="宋体" w:hAnsi="宋体" w:cs="宋体" w:eastAsia="宋体" w:hint="default"/>
                <w:sz w:val="18"/>
                <w:szCs w:val="18"/>
              </w:rPr>
              <w:t>股改限售股份</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19" w:lineRule="exact"/>
              <w:ind w:left="8" w:right="0"/>
              <w:jc w:val="center"/>
              <w:rPr>
                <w:rFonts w:ascii="宋体" w:hAnsi="宋体" w:cs="宋体" w:eastAsia="宋体" w:hint="default"/>
                <w:sz w:val="18"/>
                <w:szCs w:val="18"/>
              </w:rPr>
            </w:pPr>
            <w:r>
              <w:rPr>
                <w:rFonts w:ascii="宋体" w:hAnsi="宋体" w:cs="宋体" w:eastAsia="宋体" w:hint="default"/>
                <w:spacing w:val="14"/>
                <w:sz w:val="18"/>
                <w:szCs w:val="18"/>
              </w:rPr>
              <w:t>2009年2月</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258"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0"/>
                <w:szCs w:val="20"/>
              </w:rPr>
            </w:pPr>
            <w:r>
              <w:rPr>
                <w:rFonts w:ascii="宋体" w:hAnsi="宋体" w:cs="宋体" w:eastAsia="宋体" w:hint="default"/>
                <w:sz w:val="20"/>
                <w:szCs w:val="20"/>
              </w:rPr>
              <w:t>国泰基金管理有限公司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7"/>
              <w:jc w:val="right"/>
              <w:rPr>
                <w:rFonts w:ascii="宋体" w:hAnsi="宋体" w:cs="宋体" w:eastAsia="宋体" w:hint="default"/>
                <w:sz w:val="18"/>
                <w:szCs w:val="18"/>
              </w:rPr>
            </w:pPr>
            <w:r>
              <w:rPr>
                <w:rFonts w:ascii="宋体"/>
                <w:sz w:val="18"/>
              </w:rPr>
              <w:t>5,200,000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5,200,000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sz w:val="18"/>
              </w:rPr>
              <w:t>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7"/>
              <w:jc w:val="right"/>
              <w:rPr>
                <w:rFonts w:ascii="宋体" w:hAnsi="宋体" w:cs="宋体" w:eastAsia="宋体" w:hint="default"/>
                <w:sz w:val="18"/>
                <w:szCs w:val="18"/>
              </w:rPr>
            </w:pPr>
            <w:r>
              <w:rPr>
                <w:rFonts w:ascii="宋体"/>
                <w:sz w:val="18"/>
              </w:rPr>
              <w:t>0</w:t>
            </w:r>
          </w:p>
        </w:tc>
        <w:tc>
          <w:tcPr>
            <w:tcW w:w="12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4" w:lineRule="auto"/>
              <w:ind w:left="100" w:right="66"/>
              <w:jc w:val="left"/>
              <w:rPr>
                <w:rFonts w:ascii="宋体" w:hAnsi="宋体" w:cs="宋体" w:eastAsia="宋体" w:hint="default"/>
                <w:sz w:val="18"/>
                <w:szCs w:val="18"/>
              </w:rPr>
            </w:pPr>
            <w:r>
              <w:rPr>
                <w:rFonts w:ascii="宋体" w:hAnsi="宋体" w:cs="宋体" w:eastAsia="宋体" w:hint="default"/>
                <w:sz w:val="18"/>
                <w:szCs w:val="18"/>
              </w:rPr>
              <w:t>非公开发行限 售股份</w:t>
            </w:r>
          </w:p>
        </w:tc>
        <w:tc>
          <w:tcPr>
            <w:tcW w:w="155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14"/>
                <w:sz w:val="18"/>
                <w:szCs w:val="18"/>
              </w:rPr>
              <w:t>2008年8</w:t>
            </w:r>
            <w:r>
              <w:rPr>
                <w:rFonts w:ascii="宋体" w:hAnsi="宋体" w:cs="宋体" w:eastAsia="宋体" w:hint="default"/>
                <w:spacing w:val="-45"/>
                <w:sz w:val="18"/>
                <w:szCs w:val="18"/>
              </w:rPr>
              <w:t> </w:t>
            </w:r>
            <w:r>
              <w:rPr>
                <w:rFonts w:ascii="宋体" w:hAnsi="宋体" w:cs="宋体" w:eastAsia="宋体" w:hint="default"/>
                <w:spacing w:val="22"/>
                <w:sz w:val="18"/>
                <w:szCs w:val="18"/>
              </w:rPr>
              <w:t>月1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54"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20"/>
                <w:szCs w:val="20"/>
              </w:rPr>
            </w:pPr>
            <w:r>
              <w:rPr>
                <w:rFonts w:ascii="宋体" w:hAnsi="宋体" w:cs="宋体" w:eastAsia="宋体" w:hint="default"/>
                <w:sz w:val="20"/>
                <w:szCs w:val="20"/>
              </w:rPr>
              <w:t>成都国光电气股份有限公司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3,200,000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3,200,000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0</w:t>
            </w:r>
          </w:p>
        </w:tc>
        <w:tc>
          <w:tcPr>
            <w:tcW w:w="1264" w:type="dxa"/>
            <w:vMerge/>
            <w:tcBorders>
              <w:left w:val="single" w:sz="6" w:space="0" w:color="000000"/>
              <w:right w:val="single" w:sz="6" w:space="0" w:color="000000"/>
            </w:tcBorders>
          </w:tcPr>
          <w:p>
            <w:pPr/>
          </w:p>
        </w:tc>
        <w:tc>
          <w:tcPr>
            <w:tcW w:w="1558" w:type="dxa"/>
            <w:vMerge/>
            <w:tcBorders>
              <w:left w:val="single" w:sz="6" w:space="0" w:color="000000"/>
              <w:right w:val="single" w:sz="12" w:space="0" w:color="000000"/>
            </w:tcBorders>
          </w:tcPr>
          <w:p>
            <w:pPr/>
          </w:p>
        </w:tc>
      </w:tr>
      <w:tr>
        <w:trPr>
          <w:trHeight w:val="256"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20"/>
                <w:szCs w:val="20"/>
              </w:rPr>
            </w:pPr>
            <w:r>
              <w:rPr>
                <w:rFonts w:ascii="宋体" w:hAnsi="宋体" w:cs="宋体" w:eastAsia="宋体" w:hint="default"/>
                <w:sz w:val="20"/>
                <w:szCs w:val="20"/>
              </w:rPr>
              <w:t>成都仁道投资有限公司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8,000,000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8,000,000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0</w:t>
            </w:r>
          </w:p>
        </w:tc>
        <w:tc>
          <w:tcPr>
            <w:tcW w:w="1264" w:type="dxa"/>
            <w:vMerge/>
            <w:tcBorders>
              <w:left w:val="single" w:sz="6" w:space="0" w:color="000000"/>
              <w:right w:val="single" w:sz="6" w:space="0" w:color="000000"/>
            </w:tcBorders>
          </w:tcPr>
          <w:p>
            <w:pPr/>
          </w:p>
        </w:tc>
        <w:tc>
          <w:tcPr>
            <w:tcW w:w="1558" w:type="dxa"/>
            <w:vMerge/>
            <w:tcBorders>
              <w:left w:val="single" w:sz="6" w:space="0" w:color="000000"/>
              <w:right w:val="single" w:sz="12" w:space="0" w:color="000000"/>
            </w:tcBorders>
          </w:tcPr>
          <w:p>
            <w:pPr/>
          </w:p>
        </w:tc>
      </w:tr>
      <w:tr>
        <w:trPr>
          <w:trHeight w:val="254"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20"/>
                <w:szCs w:val="20"/>
              </w:rPr>
            </w:pPr>
            <w:r>
              <w:rPr>
                <w:rFonts w:ascii="宋体" w:hAnsi="宋体" w:cs="宋体" w:eastAsia="宋体" w:hint="default"/>
                <w:sz w:val="20"/>
                <w:szCs w:val="20"/>
              </w:rPr>
              <w:t>新理益集团有限公司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4,000,000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4,000,000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0</w:t>
            </w:r>
          </w:p>
        </w:tc>
        <w:tc>
          <w:tcPr>
            <w:tcW w:w="1264" w:type="dxa"/>
            <w:vMerge/>
            <w:tcBorders>
              <w:left w:val="single" w:sz="6" w:space="0" w:color="000000"/>
              <w:right w:val="single" w:sz="6" w:space="0" w:color="000000"/>
            </w:tcBorders>
          </w:tcPr>
          <w:p>
            <w:pPr/>
          </w:p>
        </w:tc>
        <w:tc>
          <w:tcPr>
            <w:tcW w:w="1558" w:type="dxa"/>
            <w:vMerge/>
            <w:tcBorders>
              <w:left w:val="single" w:sz="6" w:space="0" w:color="000000"/>
              <w:right w:val="single" w:sz="12" w:space="0" w:color="000000"/>
            </w:tcBorders>
          </w:tcPr>
          <w:p>
            <w:pPr/>
          </w:p>
        </w:tc>
      </w:tr>
      <w:tr>
        <w:trPr>
          <w:trHeight w:val="496"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82"/>
              <w:jc w:val="left"/>
              <w:rPr>
                <w:rFonts w:ascii="宋体" w:hAnsi="宋体" w:cs="宋体" w:eastAsia="宋体" w:hint="default"/>
                <w:sz w:val="20"/>
                <w:szCs w:val="20"/>
              </w:rPr>
            </w:pPr>
            <w:r>
              <w:rPr>
                <w:rFonts w:ascii="宋体" w:hAnsi="宋体" w:cs="宋体" w:eastAsia="宋体" w:hint="default"/>
                <w:spacing w:val="14"/>
                <w:sz w:val="20"/>
                <w:szCs w:val="20"/>
              </w:rPr>
              <w:t>江苏开元国际集团轻工业品</w:t>
            </w:r>
            <w:r>
              <w:rPr>
                <w:rFonts w:ascii="宋体" w:hAnsi="宋体" w:cs="宋体" w:eastAsia="宋体" w:hint="default"/>
                <w:spacing w:val="-84"/>
                <w:sz w:val="20"/>
                <w:szCs w:val="20"/>
              </w:rPr>
              <w:t> </w:t>
            </w:r>
            <w:r>
              <w:rPr>
                <w:rFonts w:ascii="宋体" w:hAnsi="宋体" w:cs="宋体" w:eastAsia="宋体" w:hint="default"/>
                <w:sz w:val="20"/>
                <w:szCs w:val="20"/>
              </w:rPr>
              <w:t>进出口股份有限公司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7"/>
              <w:jc w:val="right"/>
              <w:rPr>
                <w:rFonts w:ascii="宋体" w:hAnsi="宋体" w:cs="宋体" w:eastAsia="宋体" w:hint="default"/>
                <w:sz w:val="18"/>
                <w:szCs w:val="18"/>
              </w:rPr>
            </w:pPr>
            <w:r>
              <w:rPr>
                <w:rFonts w:ascii="宋体"/>
                <w:sz w:val="18"/>
              </w:rPr>
              <w:t>8,000,000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8"/>
                <w:szCs w:val="18"/>
              </w:rPr>
            </w:pPr>
            <w:r>
              <w:rPr>
                <w:rFonts w:ascii="宋体"/>
                <w:sz w:val="18"/>
              </w:rPr>
              <w:t>8,000,000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8"/>
                <w:szCs w:val="18"/>
              </w:rPr>
            </w:pPr>
            <w:r>
              <w:rPr>
                <w:rFonts w:ascii="宋体"/>
                <w:sz w:val="18"/>
              </w:rPr>
              <w:t>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7"/>
              <w:jc w:val="right"/>
              <w:rPr>
                <w:rFonts w:ascii="宋体" w:hAnsi="宋体" w:cs="宋体" w:eastAsia="宋体" w:hint="default"/>
                <w:sz w:val="18"/>
                <w:szCs w:val="18"/>
              </w:rPr>
            </w:pPr>
            <w:r>
              <w:rPr>
                <w:rFonts w:ascii="宋体"/>
                <w:sz w:val="18"/>
              </w:rPr>
              <w:t>0</w:t>
            </w:r>
          </w:p>
        </w:tc>
        <w:tc>
          <w:tcPr>
            <w:tcW w:w="1264" w:type="dxa"/>
            <w:vMerge/>
            <w:tcBorders>
              <w:left w:val="single" w:sz="6" w:space="0" w:color="000000"/>
              <w:right w:val="single" w:sz="6" w:space="0" w:color="000000"/>
            </w:tcBorders>
          </w:tcPr>
          <w:p>
            <w:pPr/>
          </w:p>
        </w:tc>
        <w:tc>
          <w:tcPr>
            <w:tcW w:w="1558" w:type="dxa"/>
            <w:vMerge/>
            <w:tcBorders>
              <w:left w:val="single" w:sz="6" w:space="0" w:color="000000"/>
              <w:right w:val="single" w:sz="12" w:space="0" w:color="000000"/>
            </w:tcBorders>
          </w:tcPr>
          <w:p>
            <w:pPr/>
          </w:p>
        </w:tc>
      </w:tr>
      <w:tr>
        <w:trPr>
          <w:trHeight w:val="254"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20"/>
                <w:szCs w:val="20"/>
              </w:rPr>
            </w:pPr>
            <w:r>
              <w:rPr>
                <w:rFonts w:ascii="宋体" w:hAnsi="宋体" w:cs="宋体" w:eastAsia="宋体" w:hint="default"/>
                <w:sz w:val="20"/>
                <w:szCs w:val="20"/>
              </w:rPr>
              <w:t>招商基金管理有限公司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4,800,000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4,800,000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0</w:t>
            </w:r>
          </w:p>
        </w:tc>
        <w:tc>
          <w:tcPr>
            <w:tcW w:w="1264" w:type="dxa"/>
            <w:vMerge/>
            <w:tcBorders>
              <w:left w:val="single" w:sz="6" w:space="0" w:color="000000"/>
              <w:right w:val="single" w:sz="6" w:space="0" w:color="000000"/>
            </w:tcBorders>
          </w:tcPr>
          <w:p>
            <w:pPr/>
          </w:p>
        </w:tc>
        <w:tc>
          <w:tcPr>
            <w:tcW w:w="1558" w:type="dxa"/>
            <w:vMerge/>
            <w:tcBorders>
              <w:left w:val="single" w:sz="6" w:space="0" w:color="000000"/>
              <w:right w:val="single" w:sz="12" w:space="0" w:color="000000"/>
            </w:tcBorders>
          </w:tcPr>
          <w:p>
            <w:pPr/>
          </w:p>
        </w:tc>
      </w:tr>
      <w:tr>
        <w:trPr>
          <w:trHeight w:val="256"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20"/>
                <w:szCs w:val="20"/>
              </w:rPr>
            </w:pPr>
            <w:r>
              <w:rPr>
                <w:rFonts w:ascii="宋体" w:hAnsi="宋体" w:cs="宋体" w:eastAsia="宋体" w:hint="default"/>
                <w:sz w:val="20"/>
                <w:szCs w:val="20"/>
              </w:rPr>
              <w:t>华源投资有限公司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5,600,000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5,600,000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0</w:t>
            </w:r>
          </w:p>
        </w:tc>
        <w:tc>
          <w:tcPr>
            <w:tcW w:w="1264" w:type="dxa"/>
            <w:vMerge/>
            <w:tcBorders>
              <w:left w:val="single" w:sz="6" w:space="0" w:color="000000"/>
              <w:right w:val="single" w:sz="6" w:space="0" w:color="000000"/>
            </w:tcBorders>
          </w:tcPr>
          <w:p>
            <w:pPr/>
          </w:p>
        </w:tc>
        <w:tc>
          <w:tcPr>
            <w:tcW w:w="1558" w:type="dxa"/>
            <w:vMerge/>
            <w:tcBorders>
              <w:left w:val="single" w:sz="6" w:space="0" w:color="000000"/>
              <w:right w:val="single" w:sz="12" w:space="0" w:color="000000"/>
            </w:tcBorders>
          </w:tcPr>
          <w:p>
            <w:pPr/>
          </w:p>
        </w:tc>
      </w:tr>
      <w:tr>
        <w:trPr>
          <w:trHeight w:val="319"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0"/>
                <w:szCs w:val="20"/>
              </w:rPr>
            </w:pPr>
            <w:r>
              <w:rPr>
                <w:rFonts w:ascii="宋体" w:hAnsi="宋体" w:cs="宋体" w:eastAsia="宋体" w:hint="default"/>
                <w:sz w:val="20"/>
                <w:szCs w:val="20"/>
              </w:rPr>
              <w:t>上投摩根基金管理有限公司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5,600,000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5,600,000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0</w:t>
            </w:r>
          </w:p>
        </w:tc>
        <w:tc>
          <w:tcPr>
            <w:tcW w:w="1264" w:type="dxa"/>
            <w:vMerge/>
            <w:tcBorders>
              <w:left w:val="single" w:sz="6" w:space="0" w:color="000000"/>
              <w:right w:val="single" w:sz="6" w:space="0" w:color="000000"/>
            </w:tcBorders>
          </w:tcPr>
          <w:p>
            <w:pPr/>
          </w:p>
        </w:tc>
        <w:tc>
          <w:tcPr>
            <w:tcW w:w="1558" w:type="dxa"/>
            <w:vMerge/>
            <w:tcBorders>
              <w:left w:val="single" w:sz="6" w:space="0" w:color="000000"/>
              <w:right w:val="single" w:sz="12" w:space="0" w:color="000000"/>
            </w:tcBorders>
          </w:tcPr>
          <w:p>
            <w:pPr/>
          </w:p>
        </w:tc>
      </w:tr>
      <w:tr>
        <w:trPr>
          <w:trHeight w:val="496"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82"/>
              <w:jc w:val="left"/>
              <w:rPr>
                <w:rFonts w:ascii="宋体" w:hAnsi="宋体" w:cs="宋体" w:eastAsia="宋体" w:hint="default"/>
                <w:sz w:val="20"/>
                <w:szCs w:val="20"/>
              </w:rPr>
            </w:pPr>
            <w:r>
              <w:rPr>
                <w:rFonts w:ascii="宋体" w:hAnsi="宋体" w:cs="宋体" w:eastAsia="宋体" w:hint="default"/>
                <w:spacing w:val="14"/>
                <w:sz w:val="20"/>
                <w:szCs w:val="20"/>
              </w:rPr>
              <w:t>苏州市相城区江南化纤集团</w:t>
            </w:r>
            <w:r>
              <w:rPr>
                <w:rFonts w:ascii="宋体" w:hAnsi="宋体" w:cs="宋体" w:eastAsia="宋体" w:hint="default"/>
                <w:spacing w:val="-84"/>
                <w:sz w:val="20"/>
                <w:szCs w:val="20"/>
              </w:rPr>
              <w:t> </w:t>
            </w:r>
            <w:r>
              <w:rPr>
                <w:rFonts w:ascii="宋体" w:hAnsi="宋体" w:cs="宋体" w:eastAsia="宋体" w:hint="default"/>
                <w:sz w:val="20"/>
                <w:szCs w:val="20"/>
              </w:rPr>
              <w:t>有限公司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7"/>
              <w:jc w:val="right"/>
              <w:rPr>
                <w:rFonts w:ascii="宋体" w:hAnsi="宋体" w:cs="宋体" w:eastAsia="宋体" w:hint="default"/>
                <w:sz w:val="18"/>
                <w:szCs w:val="18"/>
              </w:rPr>
            </w:pPr>
            <w:r>
              <w:rPr>
                <w:rFonts w:ascii="宋体"/>
                <w:sz w:val="18"/>
              </w:rPr>
              <w:t>5,600,000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8"/>
                <w:szCs w:val="18"/>
              </w:rPr>
            </w:pPr>
            <w:r>
              <w:rPr>
                <w:rFonts w:ascii="宋体"/>
                <w:sz w:val="18"/>
              </w:rPr>
              <w:t>5,600,000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8"/>
                <w:szCs w:val="18"/>
              </w:rPr>
            </w:pPr>
            <w:r>
              <w:rPr>
                <w:rFonts w:ascii="宋体"/>
                <w:sz w:val="18"/>
              </w:rPr>
              <w:t>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7"/>
              <w:jc w:val="right"/>
              <w:rPr>
                <w:rFonts w:ascii="宋体" w:hAnsi="宋体" w:cs="宋体" w:eastAsia="宋体" w:hint="default"/>
                <w:sz w:val="18"/>
                <w:szCs w:val="18"/>
              </w:rPr>
            </w:pPr>
            <w:r>
              <w:rPr>
                <w:rFonts w:ascii="宋体"/>
                <w:sz w:val="18"/>
              </w:rPr>
              <w:t>0</w:t>
            </w:r>
          </w:p>
        </w:tc>
        <w:tc>
          <w:tcPr>
            <w:tcW w:w="1264" w:type="dxa"/>
            <w:vMerge/>
            <w:tcBorders>
              <w:left w:val="single" w:sz="6" w:space="0" w:color="000000"/>
              <w:right w:val="single" w:sz="6" w:space="0" w:color="000000"/>
            </w:tcBorders>
          </w:tcPr>
          <w:p>
            <w:pPr/>
          </w:p>
        </w:tc>
        <w:tc>
          <w:tcPr>
            <w:tcW w:w="1558" w:type="dxa"/>
            <w:vMerge/>
            <w:tcBorders>
              <w:left w:val="single" w:sz="6" w:space="0" w:color="000000"/>
              <w:right w:val="single" w:sz="12" w:space="0" w:color="000000"/>
            </w:tcBorders>
          </w:tcPr>
          <w:p>
            <w:pPr/>
          </w:p>
        </w:tc>
      </w:tr>
      <w:tr>
        <w:trPr>
          <w:trHeight w:val="276" w:hRule="exact"/>
        </w:trPr>
        <w:tc>
          <w:tcPr>
            <w:tcW w:w="2792"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东吴证券有限责任公司</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4,000,000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8"/>
              <w:jc w:val="right"/>
              <w:rPr>
                <w:rFonts w:ascii="宋体" w:hAnsi="宋体" w:cs="宋体" w:eastAsia="宋体" w:hint="default"/>
                <w:sz w:val="18"/>
                <w:szCs w:val="18"/>
              </w:rPr>
            </w:pPr>
            <w:r>
              <w:rPr>
                <w:rFonts w:ascii="宋体"/>
                <w:sz w:val="18"/>
              </w:rPr>
              <w:t>4,000,000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8"/>
              <w:jc w:val="right"/>
              <w:rPr>
                <w:rFonts w:ascii="宋体" w:hAnsi="宋体" w:cs="宋体" w:eastAsia="宋体" w:hint="default"/>
                <w:sz w:val="18"/>
                <w:szCs w:val="18"/>
              </w:rPr>
            </w:pPr>
            <w:r>
              <w:rPr>
                <w:rFonts w:ascii="宋体"/>
                <w:sz w:val="18"/>
              </w:rPr>
              <w:t>0</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7"/>
              <w:jc w:val="right"/>
              <w:rPr>
                <w:rFonts w:ascii="宋体" w:hAnsi="宋体" w:cs="宋体" w:eastAsia="宋体" w:hint="default"/>
                <w:sz w:val="18"/>
                <w:szCs w:val="18"/>
              </w:rPr>
            </w:pPr>
            <w:r>
              <w:rPr>
                <w:rFonts w:ascii="宋体"/>
                <w:sz w:val="18"/>
              </w:rPr>
              <w:t>0</w:t>
            </w:r>
          </w:p>
        </w:tc>
        <w:tc>
          <w:tcPr>
            <w:tcW w:w="1264"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12" w:space="0" w:color="000000"/>
            </w:tcBorders>
          </w:tcPr>
          <w:p>
            <w:pPr/>
          </w:p>
        </w:tc>
      </w:tr>
      <w:tr>
        <w:trPr>
          <w:trHeight w:val="262" w:hRule="exact"/>
        </w:trPr>
        <w:tc>
          <w:tcPr>
            <w:tcW w:w="2792"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right="5"/>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13"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b/>
                <w:w w:val="95"/>
                <w:sz w:val="18"/>
              </w:rPr>
              <w:t>243,986,980</w:t>
            </w:r>
            <w:r>
              <w:rPr>
                <w:rFonts w:ascii="宋体"/>
                <w:sz w:val="18"/>
              </w:rPr>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b/>
                <w:w w:val="95"/>
                <w:sz w:val="18"/>
              </w:rPr>
              <w:t>54,000,000</w:t>
            </w:r>
            <w:r>
              <w:rPr>
                <w:rFonts w:ascii="宋体"/>
                <w:sz w:val="18"/>
              </w:rPr>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b/>
                <w:w w:val="95"/>
                <w:sz w:val="18"/>
              </w:rPr>
              <w:t>56,996,094</w:t>
            </w:r>
            <w:r>
              <w:rPr>
                <w:rFonts w:ascii="宋体"/>
                <w:sz w:val="18"/>
              </w:rPr>
            </w:r>
          </w:p>
        </w:tc>
        <w:tc>
          <w:tcPr>
            <w:tcW w:w="1213"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b/>
                <w:w w:val="95"/>
                <w:sz w:val="18"/>
              </w:rPr>
              <w:t>246,983,074</w:t>
            </w:r>
            <w:r>
              <w:rPr>
                <w:rFonts w:ascii="宋体"/>
                <w:sz w:val="18"/>
              </w:rPr>
            </w:r>
          </w:p>
        </w:tc>
        <w:tc>
          <w:tcPr>
            <w:tcW w:w="1264" w:type="dxa"/>
            <w:tcBorders>
              <w:top w:val="single" w:sz="6" w:space="0" w:color="000000"/>
              <w:left w:val="single" w:sz="6" w:space="0" w:color="000000"/>
              <w:bottom w:val="single" w:sz="12" w:space="0" w:color="000000"/>
              <w:right w:val="single" w:sz="6" w:space="0" w:color="000000"/>
            </w:tcBorders>
          </w:tcPr>
          <w:p>
            <w:pPr/>
          </w:p>
        </w:tc>
        <w:tc>
          <w:tcPr>
            <w:tcW w:w="155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19"/>
          <w:szCs w:val="19"/>
        </w:rPr>
      </w:pPr>
    </w:p>
    <w:p>
      <w:pPr>
        <w:pStyle w:val="Heading2"/>
        <w:spacing w:line="240" w:lineRule="auto" w:before="13"/>
        <w:ind w:left="678" w:right="670"/>
        <w:jc w:val="left"/>
        <w:rPr>
          <w:b w:val="0"/>
          <w:bCs w:val="0"/>
        </w:rPr>
      </w:pPr>
      <w:r>
        <w:rPr/>
        <w:t>(二)报告期内股东情况介绍</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left="678" w:right="670"/>
        <w:jc w:val="left"/>
        <w:rPr>
          <w:b w:val="0"/>
          <w:bCs w:val="0"/>
        </w:rPr>
      </w:pPr>
      <w:r>
        <w:rPr/>
        <w:t>1、股东人数</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left="678" w:right="670"/>
        <w:jc w:val="left"/>
      </w:pPr>
      <w:r>
        <w:rPr/>
        <w:t>截止</w:t>
      </w:r>
      <w:r>
        <w:rPr>
          <w:spacing w:val="-59"/>
        </w:rPr>
        <w:t> </w:t>
      </w:r>
      <w:r>
        <w:rPr/>
        <w:t>2008</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3"/>
        </w:rPr>
        <w:t>日，公司在中国证券登记结算有限公司上海分公司登记的股东共有</w:t>
      </w:r>
      <w:r>
        <w:rPr/>
      </w:r>
    </w:p>
    <w:p>
      <w:pPr>
        <w:pStyle w:val="BodyText"/>
        <w:spacing w:line="313" w:lineRule="exact"/>
        <w:ind w:left="678" w:right="670"/>
        <w:jc w:val="left"/>
      </w:pPr>
      <w:r>
        <w:rPr/>
        <w:t>87,561</w:t>
      </w:r>
      <w:r>
        <w:rPr>
          <w:spacing w:val="-60"/>
        </w:rPr>
        <w:t> </w:t>
      </w:r>
      <w:r>
        <w:rPr/>
        <w:t>户，持股</w:t>
      </w:r>
      <w:r>
        <w:rPr>
          <w:spacing w:val="-60"/>
        </w:rPr>
        <w:t> </w:t>
      </w:r>
      <w:r>
        <w:rPr/>
        <w:t>976,970,554</w:t>
      </w:r>
      <w:r>
        <w:rPr>
          <w:spacing w:val="-60"/>
        </w:rPr>
        <w:t> </w:t>
      </w:r>
      <w:r>
        <w:rPr/>
        <w:t>股。</w:t>
      </w:r>
    </w:p>
    <w:p>
      <w:pPr>
        <w:spacing w:line="240" w:lineRule="auto" w:before="8"/>
        <w:rPr>
          <w:rFonts w:ascii="宋体" w:hAnsi="宋体" w:cs="宋体" w:eastAsia="宋体" w:hint="default"/>
          <w:sz w:val="23"/>
          <w:szCs w:val="23"/>
        </w:rPr>
      </w:pPr>
    </w:p>
    <w:p>
      <w:pPr>
        <w:pStyle w:val="Heading3"/>
        <w:spacing w:line="240" w:lineRule="auto"/>
        <w:ind w:left="678" w:right="670"/>
        <w:jc w:val="left"/>
        <w:rPr>
          <w:b w:val="0"/>
          <w:bCs w:val="0"/>
        </w:rPr>
      </w:pPr>
      <w:r>
        <w:rPr/>
        <w:t>2、公司主要股东持股情况(前十名股东)</w:t>
      </w:r>
      <w:r>
        <w:rPr>
          <w:b w:val="0"/>
          <w:bCs w:val="0"/>
        </w:rPr>
      </w:r>
    </w:p>
    <w:p>
      <w:pPr>
        <w:spacing w:line="240" w:lineRule="auto" w:before="6"/>
        <w:rPr>
          <w:rFonts w:ascii="宋体" w:hAnsi="宋体" w:cs="宋体" w:eastAsia="宋体" w:hint="default"/>
          <w:b/>
          <w:bCs/>
          <w:sz w:val="26"/>
          <w:szCs w:val="26"/>
        </w:rPr>
      </w:pPr>
    </w:p>
    <w:tbl>
      <w:tblPr>
        <w:tblW w:w="0" w:type="auto"/>
        <w:jc w:val="left"/>
        <w:tblInd w:w="647" w:type="dxa"/>
        <w:tblLayout w:type="fixed"/>
        <w:tblCellMar>
          <w:top w:w="0" w:type="dxa"/>
          <w:left w:w="0" w:type="dxa"/>
          <w:bottom w:w="0" w:type="dxa"/>
          <w:right w:w="0" w:type="dxa"/>
        </w:tblCellMar>
        <w:tblLook w:val="01E0"/>
      </w:tblPr>
      <w:tblGrid>
        <w:gridCol w:w="3976"/>
        <w:gridCol w:w="1440"/>
        <w:gridCol w:w="1336"/>
        <w:gridCol w:w="2624"/>
      </w:tblGrid>
      <w:tr>
        <w:trPr>
          <w:trHeight w:val="262" w:hRule="exact"/>
        </w:trPr>
        <w:tc>
          <w:tcPr>
            <w:tcW w:w="3976" w:type="dxa"/>
            <w:tcBorders>
              <w:top w:val="single" w:sz="12" w:space="0" w:color="000000"/>
              <w:left w:val="single" w:sz="12" w:space="0" w:color="000000"/>
              <w:bottom w:val="single" w:sz="6" w:space="0" w:color="000000"/>
              <w:right w:val="single" w:sz="6" w:space="0" w:color="000000"/>
            </w:tcBorders>
          </w:tcPr>
          <w:p>
            <w:pPr>
              <w:pStyle w:val="TableParagraph"/>
              <w:spacing w:line="222" w:lineRule="exact"/>
              <w:ind w:right="4"/>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22" w:lineRule="exact"/>
              <w:ind w:left="184" w:right="0"/>
              <w:jc w:val="left"/>
              <w:rPr>
                <w:rFonts w:ascii="宋体" w:hAnsi="宋体" w:cs="宋体" w:eastAsia="宋体" w:hint="default"/>
                <w:sz w:val="21"/>
                <w:szCs w:val="21"/>
              </w:rPr>
            </w:pPr>
            <w:r>
              <w:rPr>
                <w:rFonts w:ascii="宋体" w:hAnsi="宋体" w:cs="宋体" w:eastAsia="宋体" w:hint="default"/>
                <w:b/>
                <w:bCs/>
                <w:sz w:val="21"/>
                <w:szCs w:val="21"/>
              </w:rPr>
              <w:t>持股数(股)</w:t>
            </w:r>
            <w:r>
              <w:rPr>
                <w:rFonts w:ascii="宋体" w:hAnsi="宋体" w:cs="宋体" w:eastAsia="宋体" w:hint="default"/>
                <w:sz w:val="21"/>
                <w:szCs w:val="21"/>
              </w:rPr>
            </w:r>
          </w:p>
        </w:tc>
        <w:tc>
          <w:tcPr>
            <w:tcW w:w="1336" w:type="dxa"/>
            <w:tcBorders>
              <w:top w:val="single" w:sz="12" w:space="0" w:color="000000"/>
              <w:left w:val="single" w:sz="6" w:space="0" w:color="000000"/>
              <w:bottom w:val="single" w:sz="6" w:space="0" w:color="000000"/>
              <w:right w:val="single" w:sz="6" w:space="0" w:color="000000"/>
            </w:tcBorders>
          </w:tcPr>
          <w:p>
            <w:pPr>
              <w:pStyle w:val="TableParagraph"/>
              <w:spacing w:line="222" w:lineRule="exact"/>
              <w:ind w:right="132"/>
              <w:jc w:val="right"/>
              <w:rPr>
                <w:rFonts w:ascii="宋体" w:hAnsi="宋体" w:cs="宋体" w:eastAsia="宋体" w:hint="default"/>
                <w:sz w:val="21"/>
                <w:szCs w:val="21"/>
              </w:rPr>
            </w:pPr>
            <w:r>
              <w:rPr>
                <w:rFonts w:ascii="宋体" w:hAnsi="宋体" w:cs="宋体" w:eastAsia="宋体" w:hint="default"/>
                <w:b/>
                <w:bCs/>
                <w:w w:val="95"/>
                <w:sz w:val="21"/>
                <w:szCs w:val="21"/>
              </w:rPr>
              <w:t>占总股本数</w:t>
            </w:r>
            <w:r>
              <w:rPr>
                <w:rFonts w:ascii="宋体" w:hAnsi="宋体" w:cs="宋体" w:eastAsia="宋体" w:hint="default"/>
                <w:sz w:val="21"/>
                <w:szCs w:val="21"/>
              </w:rPr>
            </w:r>
          </w:p>
        </w:tc>
        <w:tc>
          <w:tcPr>
            <w:tcW w:w="2624" w:type="dxa"/>
            <w:tcBorders>
              <w:top w:val="single" w:sz="12" w:space="0" w:color="000000"/>
              <w:left w:val="single" w:sz="6" w:space="0" w:color="000000"/>
              <w:bottom w:val="single" w:sz="6" w:space="0" w:color="000000"/>
              <w:right w:val="single" w:sz="12" w:space="0" w:color="000000"/>
            </w:tcBorders>
          </w:tcPr>
          <w:p>
            <w:pPr>
              <w:pStyle w:val="TableParagraph"/>
              <w:spacing w:line="222"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r>
      <w:tr>
        <w:trPr>
          <w:trHeight w:val="97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pacing w:val="-1"/>
                <w:sz w:val="21"/>
              </w:rPr>
              <w:t>296,379,689</w:t>
            </w:r>
            <w:r>
              <w:rPr>
                <w:rFonts w:ascii="宋体"/>
                <w:sz w:val="21"/>
              </w:rPr>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pacing w:val="-1"/>
                <w:sz w:val="21"/>
              </w:rPr>
              <w:t>30.34%</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89"/>
              <w:jc w:val="both"/>
              <w:rPr>
                <w:rFonts w:ascii="宋体" w:hAnsi="宋体" w:cs="宋体" w:eastAsia="宋体" w:hint="default"/>
                <w:sz w:val="21"/>
                <w:szCs w:val="21"/>
              </w:rPr>
            </w:pPr>
            <w:r>
              <w:rPr>
                <w:rFonts w:ascii="宋体" w:hAnsi="宋体" w:cs="宋体" w:eastAsia="宋体" w:hint="default"/>
                <w:spacing w:val="12"/>
                <w:sz w:val="21"/>
                <w:szCs w:val="21"/>
              </w:rPr>
              <w:t>其中，</w:t>
            </w:r>
            <w:r>
              <w:rPr>
                <w:rFonts w:ascii="宋体" w:hAnsi="宋体" w:cs="宋体" w:eastAsia="宋体" w:hint="default"/>
                <w:spacing w:val="-85"/>
                <w:sz w:val="21"/>
                <w:szCs w:val="21"/>
              </w:rPr>
              <w:t> </w:t>
            </w:r>
            <w:r>
              <w:rPr>
                <w:rFonts w:ascii="宋体" w:hAnsi="宋体" w:cs="宋体" w:eastAsia="宋体" w:hint="default"/>
                <w:spacing w:val="10"/>
                <w:sz w:val="21"/>
                <w:szCs w:val="21"/>
              </w:rPr>
              <w:t>持有</w:t>
            </w:r>
            <w:r>
              <w:rPr>
                <w:rFonts w:ascii="宋体" w:hAnsi="宋体" w:cs="宋体" w:eastAsia="宋体" w:hint="default"/>
                <w:spacing w:val="20"/>
                <w:sz w:val="21"/>
                <w:szCs w:val="21"/>
              </w:rPr>
              <w:t> </w:t>
            </w:r>
            <w:r>
              <w:rPr>
                <w:rFonts w:ascii="宋体" w:hAnsi="宋体" w:cs="宋体" w:eastAsia="宋体" w:hint="default"/>
                <w:sz w:val="21"/>
                <w:szCs w:val="21"/>
              </w:rPr>
              <w:t>246,983,074</w:t>
            </w:r>
            <w:r>
              <w:rPr>
                <w:rFonts w:ascii="宋体" w:hAnsi="宋体" w:cs="宋体" w:eastAsia="宋体" w:hint="default"/>
                <w:sz w:val="21"/>
                <w:szCs w:val="21"/>
              </w:rPr>
              <w:t> </w:t>
            </w:r>
            <w:r>
              <w:rPr>
                <w:rFonts w:ascii="宋体" w:hAnsi="宋体" w:cs="宋体" w:eastAsia="宋体" w:hint="default"/>
                <w:spacing w:val="8"/>
                <w:sz w:val="21"/>
                <w:szCs w:val="21"/>
              </w:rPr>
              <w:t>股有限售条件的流通股，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49,396,615</w:t>
            </w:r>
            <w:r>
              <w:rPr>
                <w:rFonts w:ascii="宋体" w:hAnsi="宋体" w:cs="宋体" w:eastAsia="宋体" w:hint="default"/>
                <w:spacing w:val="-8"/>
                <w:sz w:val="21"/>
                <w:szCs w:val="21"/>
              </w:rPr>
              <w:t> </w:t>
            </w:r>
            <w:r>
              <w:rPr>
                <w:rFonts w:ascii="宋体" w:hAnsi="宋体" w:cs="宋体" w:eastAsia="宋体" w:hint="default"/>
                <w:sz w:val="21"/>
                <w:szCs w:val="21"/>
              </w:rPr>
              <w:t>股无限售条件</w:t>
            </w:r>
            <w:r>
              <w:rPr>
                <w:rFonts w:ascii="宋体" w:hAnsi="宋体" w:cs="宋体" w:eastAsia="宋体" w:hint="default"/>
                <w:sz w:val="21"/>
                <w:szCs w:val="21"/>
              </w:rPr>
              <w:t> 的流通股。</w:t>
            </w:r>
          </w:p>
        </w:tc>
      </w:tr>
      <w:tr>
        <w:trPr>
          <w:trHeight w:val="254"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国泰金牛创新成长股票型证券投资基金</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26,937,201</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z w:val="21"/>
              </w:rPr>
              <w:t>2.76%</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25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国泰金马稳健回报证券投资基金</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18,585,221</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z w:val="21"/>
              </w:rPr>
              <w:t>1.90%</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0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博时新兴成长股票型证券投资基金</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7"/>
              <w:jc w:val="right"/>
              <w:rPr>
                <w:rFonts w:ascii="宋体" w:hAnsi="宋体" w:cs="宋体" w:eastAsia="宋体" w:hint="default"/>
                <w:sz w:val="21"/>
                <w:szCs w:val="21"/>
              </w:rPr>
            </w:pPr>
            <w:r>
              <w:rPr>
                <w:rFonts w:ascii="宋体"/>
                <w:spacing w:val="-1"/>
                <w:sz w:val="21"/>
              </w:rPr>
              <w:t>18,307,155</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z w:val="21"/>
              </w:rPr>
              <w:t>1.87%</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14"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国泰金鼎价值精选混合型证券投资基金</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pacing w:val="-1"/>
                <w:sz w:val="21"/>
              </w:rPr>
              <w:t>17,881,232</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z w:val="21"/>
              </w:rPr>
              <w:t>1.83%</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1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中银持续增长股票型证券投资基金</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pacing w:val="-1"/>
                <w:sz w:val="21"/>
              </w:rPr>
              <w:t>14,004,006</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z w:val="21"/>
              </w:rPr>
              <w:t>1.43%</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494"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21"/>
                <w:szCs w:val="21"/>
              </w:rPr>
            </w:pPr>
            <w:r>
              <w:rPr>
                <w:rFonts w:ascii="宋体" w:hAnsi="宋体" w:cs="宋体" w:eastAsia="宋体" w:hint="default"/>
                <w:spacing w:val="11"/>
                <w:sz w:val="21"/>
                <w:szCs w:val="21"/>
              </w:rPr>
              <w:t>中国平安人寿保险股份有限公司－传统</w:t>
            </w:r>
            <w:r>
              <w:rPr>
                <w:rFonts w:ascii="宋体" w:hAnsi="宋体" w:cs="宋体" w:eastAsia="宋体" w:hint="default"/>
                <w:sz w:val="21"/>
                <w:szCs w:val="21"/>
              </w:rPr>
            </w:r>
          </w:p>
          <w:p>
            <w:pPr>
              <w:pStyle w:val="TableParagraph"/>
              <w:spacing w:line="257" w:lineRule="exact"/>
              <w:ind w:left="94" w:right="0"/>
              <w:jc w:val="left"/>
              <w:rPr>
                <w:rFonts w:ascii="宋体" w:hAnsi="宋体" w:cs="宋体" w:eastAsia="宋体" w:hint="default"/>
                <w:sz w:val="21"/>
                <w:szCs w:val="21"/>
              </w:rPr>
            </w:pPr>
            <w:r>
              <w:rPr>
                <w:rFonts w:ascii="宋体" w:hAnsi="宋体" w:cs="宋体" w:eastAsia="宋体" w:hint="default"/>
                <w:sz w:val="21"/>
                <w:szCs w:val="21"/>
              </w:rPr>
              <w:t>－普通保险产品</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21"/>
                <w:szCs w:val="21"/>
              </w:rPr>
            </w:pPr>
            <w:r>
              <w:rPr>
                <w:rFonts w:ascii="宋体"/>
                <w:sz w:val="21"/>
              </w:rPr>
              <w:t>10,961,516</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00"/>
              <w:jc w:val="right"/>
              <w:rPr>
                <w:rFonts w:ascii="宋体" w:hAnsi="宋体" w:cs="宋体" w:eastAsia="宋体" w:hint="default"/>
                <w:sz w:val="21"/>
                <w:szCs w:val="21"/>
              </w:rPr>
            </w:pPr>
            <w:r>
              <w:rPr>
                <w:rFonts w:ascii="宋体"/>
                <w:sz w:val="21"/>
              </w:rPr>
              <w:t>1.12%</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1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成都仁道投资有限公司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pacing w:val="-1"/>
                <w:sz w:val="21"/>
              </w:rPr>
              <w:t>10,647,000</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z w:val="21"/>
              </w:rPr>
              <w:t>1.09%</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14"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4" w:right="0"/>
              <w:jc w:val="left"/>
              <w:rPr>
                <w:rFonts w:ascii="宋体" w:hAnsi="宋体" w:cs="宋体" w:eastAsia="宋体" w:hint="default"/>
                <w:sz w:val="21"/>
                <w:szCs w:val="21"/>
              </w:rPr>
            </w:pPr>
            <w:r>
              <w:rPr>
                <w:rFonts w:ascii="宋体" w:hAnsi="宋体" w:cs="宋体" w:eastAsia="宋体" w:hint="default"/>
                <w:sz w:val="21"/>
                <w:szCs w:val="21"/>
              </w:rPr>
              <w:t>金鑫证券投资基金</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7,811,804</w:t>
            </w:r>
            <w:r>
              <w:rPr>
                <w:rFonts w:ascii="宋体"/>
                <w:sz w:val="21"/>
              </w:rPr>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0.80%</w:t>
            </w:r>
            <w:r>
              <w:rPr>
                <w:rFonts w:ascii="宋体"/>
                <w:sz w:val="21"/>
              </w:rPr>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4" w:right="0"/>
              <w:jc w:val="left"/>
              <w:rPr>
                <w:rFonts w:ascii="宋体" w:hAnsi="宋体" w:cs="宋体" w:eastAsia="宋体" w:hint="default"/>
                <w:sz w:val="21"/>
                <w:szCs w:val="21"/>
              </w:rPr>
            </w:pPr>
            <w:r>
              <w:rPr>
                <w:rFonts w:ascii="宋体" w:hAnsi="宋体" w:cs="宋体" w:eastAsia="宋体" w:hint="default"/>
                <w:sz w:val="21"/>
                <w:szCs w:val="21"/>
              </w:rPr>
              <w:t>国泰金鹏蓝筹价值混合型证券投资基金</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6,368,987</w:t>
            </w:r>
            <w:r>
              <w:rPr>
                <w:rFonts w:ascii="宋体"/>
                <w:sz w:val="21"/>
              </w:rPr>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0.65%</w:t>
            </w:r>
            <w:r>
              <w:rPr>
                <w:rFonts w:ascii="宋体"/>
                <w:sz w:val="21"/>
              </w:rPr>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23" w:hRule="exact"/>
        </w:trPr>
        <w:tc>
          <w:tcPr>
            <w:tcW w:w="3976" w:type="dxa"/>
            <w:tcBorders>
              <w:top w:val="single" w:sz="6" w:space="0" w:color="000000"/>
              <w:left w:val="single" w:sz="12" w:space="0" w:color="000000"/>
              <w:bottom w:val="single" w:sz="12"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427,883,811</w:t>
            </w:r>
          </w:p>
        </w:tc>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pacing w:val="-1"/>
                <w:sz w:val="21"/>
              </w:rPr>
              <w:t>43.79%</w:t>
            </w:r>
          </w:p>
        </w:tc>
        <w:tc>
          <w:tcPr>
            <w:tcW w:w="2624" w:type="dxa"/>
            <w:tcBorders>
              <w:top w:val="single" w:sz="6" w:space="0" w:color="000000"/>
              <w:left w:val="single" w:sz="6" w:space="0" w:color="000000"/>
              <w:bottom w:val="single" w:sz="12" w:space="0" w:color="000000"/>
              <w:right w:val="single" w:sz="12" w:space="0" w:color="000000"/>
            </w:tcBorders>
          </w:tcPr>
          <w:p>
            <w:pPr/>
          </w:p>
        </w:tc>
      </w:tr>
    </w:tbl>
    <w:p>
      <w:pPr>
        <w:spacing w:line="238" w:lineRule="exact" w:before="0"/>
        <w:ind w:left="678" w:right="550" w:firstLine="0"/>
        <w:jc w:val="left"/>
        <w:rPr>
          <w:rFonts w:ascii="宋体" w:hAnsi="宋体" w:cs="宋体" w:eastAsia="宋体" w:hint="default"/>
          <w:sz w:val="21"/>
          <w:szCs w:val="21"/>
        </w:rPr>
      </w:pPr>
      <w:r>
        <w:rPr>
          <w:rFonts w:ascii="宋体" w:hAnsi="宋体" w:cs="宋体" w:eastAsia="宋体" w:hint="default"/>
          <w:sz w:val="21"/>
          <w:szCs w:val="21"/>
        </w:rPr>
        <w:t>注：前十名股东中，除国泰金牛创新成长股票型证券投资基金、国泰金马稳健回报证券投资基金、国</w:t>
      </w:r>
    </w:p>
    <w:p>
      <w:pPr>
        <w:spacing w:line="272" w:lineRule="exact" w:before="26"/>
        <w:ind w:left="678" w:right="670" w:firstLine="0"/>
        <w:jc w:val="left"/>
        <w:rPr>
          <w:rFonts w:ascii="宋体" w:hAnsi="宋体" w:cs="宋体" w:eastAsia="宋体" w:hint="default"/>
          <w:sz w:val="21"/>
          <w:szCs w:val="21"/>
        </w:rPr>
      </w:pPr>
      <w:r>
        <w:rPr>
          <w:rFonts w:ascii="宋体" w:hAnsi="宋体" w:cs="宋体" w:eastAsia="宋体" w:hint="default"/>
          <w:spacing w:val="-1"/>
          <w:sz w:val="21"/>
          <w:szCs w:val="21"/>
        </w:rPr>
        <w:t>泰金鼎价值精选混合型证券投资基金、金鑫证券投资基金和国泰金鹏蓝筹价值混合型证券投资基金同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属国泰基金管理有限公司外，公司未获知上述股东之间是否存在关联关系。</w:t>
      </w:r>
    </w:p>
    <w:p>
      <w:pPr>
        <w:spacing w:after="0" w:line="272" w:lineRule="exact"/>
        <w:jc w:val="left"/>
        <w:rPr>
          <w:rFonts w:ascii="宋体" w:hAnsi="宋体" w:cs="宋体" w:eastAsia="宋体" w:hint="default"/>
          <w:sz w:val="21"/>
          <w:szCs w:val="21"/>
        </w:rPr>
        <w:sectPr>
          <w:type w:val="continuous"/>
          <w:pgSz w:w="11910" w:h="16840"/>
          <w:pgMar w:top="1600" w:bottom="280" w:left="74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before="26"/>
        <w:ind w:left="138" w:right="213"/>
        <w:jc w:val="left"/>
        <w:rPr>
          <w:b w:val="0"/>
          <w:bCs w:val="0"/>
        </w:rPr>
      </w:pPr>
      <w:r>
        <w:rPr/>
        <w:t>3、控股股东及实际控制人情况</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87"/>
        <w:jc w:val="left"/>
      </w:pPr>
      <w:r>
        <w:rPr/>
        <w:pict>
          <v:group style="position:absolute;margin-left:289.140015pt;margin-top:103.395889pt;width:6.75pt;height:31.2pt;mso-position-horizontal-relative:page;mso-position-vertical-relative:paragraph;z-index:-899944" coordorigin="5783,2068" coordsize="135,624">
            <v:shape style="position:absolute;left:5783;top:2068;width:135;height:624" coordorigin="5783,2068" coordsize="135,624" path="m5827,2558l5783,2558,5850,2692,5906,2579,5827,2579,5827,2558xe" filled="true" fillcolor="#000000" stroked="false">
              <v:path arrowok="t"/>
              <v:fill type="solid"/>
            </v:shape>
            <v:shape style="position:absolute;left:5783;top:2068;width:135;height:624" coordorigin="5783,2068" coordsize="135,624" path="m5874,2068l5828,2068,5827,2579,5873,2579,5874,2068xe" filled="true" fillcolor="#000000" stroked="false">
              <v:path arrowok="t"/>
              <v:fill type="solid"/>
            </v:shape>
            <v:shape style="position:absolute;left:5783;top:2068;width:135;height:624" coordorigin="5783,2068" coordsize="135,624" path="m5917,2558l5873,2558,5873,2579,5906,2579,5917,2558xe" filled="true" fillcolor="#000000" stroked="false">
              <v:path arrowok="t"/>
              <v:fill type="solid"/>
            </v:shape>
            <w10:wrap type="none"/>
          </v:group>
        </w:pict>
      </w:r>
      <w:r>
        <w:rPr/>
        <w:pict>
          <v:group style="position:absolute;margin-left:287.160004pt;margin-top:157.995895pt;width:6.75pt;height:23.4pt;mso-position-horizontal-relative:page;mso-position-vertical-relative:paragraph;z-index:-899920" coordorigin="5743,3160" coordsize="135,468">
            <v:shape style="position:absolute;left:5743;top:3160;width:135;height:468" coordorigin="5743,3160" coordsize="135,468" path="m5788,3494l5743,3494,5810,3628,5867,3515,5788,3515,5788,3494xe" filled="true" fillcolor="#000000" stroked="false">
              <v:path arrowok="t"/>
              <v:fill type="solid"/>
            </v:shape>
            <v:shape style="position:absolute;left:5743;top:3160;width:135;height:468" coordorigin="5743,3160" coordsize="135,468" path="m5833,3160l5789,3160,5788,3515,5833,3515,5833,3160xe" filled="true" fillcolor="#000000" stroked="false">
              <v:path arrowok="t"/>
              <v:fill type="solid"/>
            </v:shape>
            <v:shape style="position:absolute;left:5743;top:3160;width:135;height:468" coordorigin="5743,3160" coordsize="135,468" path="m5878,3494l5833,3494,5833,3515,5867,3515,5878,3494xe" filled="true" fillcolor="#000000" stroked="false">
              <v:path arrowok="t"/>
              <v:fill type="solid"/>
            </v:shape>
            <w10:wrap type="none"/>
          </v:group>
        </w:pict>
      </w:r>
      <w:r>
        <w:rPr/>
        <w:t>公司总股本为</w:t>
      </w:r>
      <w:r>
        <w:rPr>
          <w:spacing w:val="-56"/>
        </w:rPr>
        <w:t> </w:t>
      </w:r>
      <w:r>
        <w:rPr/>
        <w:t>976,970,554</w:t>
      </w:r>
      <w:r>
        <w:rPr>
          <w:spacing w:val="-56"/>
        </w:rPr>
        <w:t> </w:t>
      </w:r>
      <w:r>
        <w:rPr>
          <w:spacing w:val="-3"/>
        </w:rPr>
        <w:t>股。在本报告期末，清华控股有限公司持有</w:t>
      </w:r>
      <w:r>
        <w:rPr>
          <w:spacing w:val="-56"/>
        </w:rPr>
        <w:t> </w:t>
      </w:r>
      <w:r>
        <w:rPr/>
        <w:t>296,379,689</w:t>
      </w:r>
      <w:r>
        <w:rPr>
          <w:spacing w:val="-56"/>
        </w:rPr>
        <w:t> </w:t>
      </w:r>
      <w:r>
        <w:rPr/>
        <w:t>股，</w:t>
      </w:r>
      <w:r>
        <w:rPr/>
        <w:t> 占公司总股本的</w:t>
      </w:r>
      <w:r>
        <w:rPr>
          <w:spacing w:val="-53"/>
        </w:rPr>
        <w:t> </w:t>
      </w:r>
      <w:r>
        <w:rPr/>
        <w:t>30.34%，为本公司最大股东，其持有的股份中</w:t>
      </w:r>
      <w:r>
        <w:rPr>
          <w:spacing w:val="-53"/>
        </w:rPr>
        <w:t> </w:t>
      </w:r>
      <w:r>
        <w:rPr/>
        <w:t>246,983,074</w:t>
      </w:r>
      <w:r>
        <w:rPr>
          <w:spacing w:val="-53"/>
        </w:rPr>
        <w:t> </w:t>
      </w:r>
      <w:r>
        <w:rPr/>
        <w:t>股为有限售</w:t>
      </w:r>
      <w:r>
        <w:rPr/>
        <w:t> 条件的流通股，49,396,615</w:t>
      </w:r>
      <w:r>
        <w:rPr>
          <w:spacing w:val="-40"/>
        </w:rPr>
        <w:t> </w:t>
      </w:r>
      <w:r>
        <w:rPr/>
        <w:t>股为无限售条件的流通股。其行政主管部门为教育部，其持</w:t>
      </w:r>
      <w:r>
        <w:rPr/>
        <w:t> 有的国有股权管理最终隶属于财政部，公司的实际控制人为财政部。</w:t>
      </w:r>
    </w:p>
    <w:p>
      <w:pPr>
        <w:spacing w:line="240" w:lineRule="auto" w:before="2"/>
        <w:rPr>
          <w:rFonts w:ascii="宋体" w:hAnsi="宋体" w:cs="宋体" w:eastAsia="宋体" w:hint="default"/>
          <w:sz w:val="27"/>
          <w:szCs w:val="27"/>
        </w:rPr>
      </w:pPr>
    </w:p>
    <w:p>
      <w:pPr>
        <w:spacing w:line="470" w:lineRule="exact"/>
        <w:ind w:left="3361"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5pt;mso-position-horizontal-relative:char;mso-position-vertical-relative:line" type="#_x0000_t202" filled="false" stroked="true" strokeweight=".75pt" strokecolor="#000000">
            <w10:anchorlock/>
            <v:textbox inset="0,0,0,0">
              <w:txbxContent>
                <w:p>
                  <w:pPr>
                    <w:pStyle w:val="BodyText"/>
                    <w:spacing w:line="240" w:lineRule="auto" w:before="33"/>
                    <w:ind w:left="2" w:right="0"/>
                    <w:jc w:val="center"/>
                    <w:rPr>
                      <w:rFonts w:ascii="楷体" w:hAnsi="楷体" w:cs="楷体" w:eastAsia="楷体" w:hint="default"/>
                    </w:rPr>
                  </w:pPr>
                  <w:r>
                    <w:rPr>
                      <w:rFonts w:ascii="楷体" w:hAnsi="楷体" w:cs="楷体" w:eastAsia="楷体" w:hint="default"/>
                    </w:rPr>
                    <w:t>财政部</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line="470" w:lineRule="exact"/>
        <w:ind w:left="3259"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5pt;mso-position-horizontal-relative:char;mso-position-vertical-relative:line" type="#_x0000_t202" filled="false" stroked="true" strokeweight=".75pt" strokecolor="#000000">
            <w10:anchorlock/>
            <v:textbox inset="0,0,0,0">
              <w:txbxContent>
                <w:p>
                  <w:pPr>
                    <w:pStyle w:val="BodyText"/>
                    <w:spacing w:line="240" w:lineRule="auto" w:before="33"/>
                    <w:ind w:left="2" w:right="0"/>
                    <w:jc w:val="center"/>
                    <w:rPr>
                      <w:rFonts w:ascii="楷体" w:hAnsi="楷体" w:cs="楷体" w:eastAsia="楷体" w:hint="default"/>
                    </w:rPr>
                  </w:pPr>
                  <w:r>
                    <w:rPr>
                      <w:rFonts w:ascii="楷体" w:hAnsi="楷体" w:cs="楷体" w:eastAsia="楷体" w:hint="default"/>
                    </w:rPr>
                    <w:t>教育部</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470" w:lineRule="exact"/>
        <w:ind w:left="327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5pt;mso-position-horizontal-relative:char;mso-position-vertical-relative:line" type="#_x0000_t202" filled="false" stroked="true" strokeweight=".75pt" strokecolor="#000000">
            <w10:anchorlock/>
            <v:textbox inset="0,0,0,0">
              <w:txbxContent>
                <w:p>
                  <w:pPr>
                    <w:pStyle w:val="BodyText"/>
                    <w:spacing w:line="240" w:lineRule="auto" w:before="33"/>
                    <w:ind w:left="772" w:right="0"/>
                    <w:jc w:val="left"/>
                    <w:rPr>
                      <w:rFonts w:ascii="楷体" w:hAnsi="楷体" w:cs="楷体" w:eastAsia="楷体" w:hint="default"/>
                    </w:rPr>
                  </w:pPr>
                  <w:r>
                    <w:rPr>
                      <w:rFonts w:ascii="楷体" w:hAnsi="楷体" w:cs="楷体" w:eastAsia="楷体" w:hint="default"/>
                    </w:rPr>
                    <w:t>清华大学</w:t>
                  </w:r>
                </w:p>
              </w:txbxContent>
            </v:textbox>
          </v:shape>
        </w:pict>
      </w:r>
      <w:r>
        <w:rPr>
          <w:rFonts w:ascii="宋体" w:hAnsi="宋体" w:cs="宋体" w:eastAsia="宋体" w:hint="default"/>
          <w:position w:val="-8"/>
          <w:sz w:val="20"/>
          <w:szCs w:val="20"/>
        </w:rPr>
      </w:r>
    </w:p>
    <w:p>
      <w:pPr>
        <w:spacing w:line="1716" w:lineRule="exact"/>
        <w:ind w:left="3361"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129.7pt;height:85.8pt;mso-position-horizontal-relative:char;mso-position-vertical-relative:line" coordorigin="0,0" coordsize="2594,1716">
            <v:group style="position:absolute;left:1141;top:0;width:135;height:624" coordorigin="1141,0" coordsize="135,624">
              <v:shape style="position:absolute;left:1141;top:0;width:135;height:624" coordorigin="1141,0" coordsize="135,624" path="m1186,490l1141,490,1208,624,1264,512,1186,512,1186,490xe" filled="true" fillcolor="#000000" stroked="false">
                <v:path arrowok="t"/>
                <v:fill type="solid"/>
              </v:shape>
              <v:shape style="position:absolute;left:1141;top:0;width:135;height:624" coordorigin="1141,0" coordsize="135,624" path="m1232,0l1187,0,1186,512,1231,512,1232,0xe" filled="true" fillcolor="#000000" stroked="false">
                <v:path arrowok="t"/>
                <v:fill type="solid"/>
              </v:shape>
              <v:shape style="position:absolute;left:1141;top:0;width:135;height:624" coordorigin="1141,0" coordsize="135,624" path="m1276,490l1231,490,1231,512,1264,512,1276,490xe" filled="true" fillcolor="#000000" stroked="false">
                <v:path arrowok="t"/>
                <v:fill type="solid"/>
              </v:shape>
            </v:group>
            <v:group style="position:absolute;left:0;top:625;width:2579;height:468" coordorigin="0,625" coordsize="2579,468">
              <v:shape style="position:absolute;left:0;top:625;width:2579;height:468" coordorigin="0,625" coordsize="2579,468" path="m0,1093l2579,1093,2579,625,0,625,0,1093xe" filled="true" fillcolor="#ffffff" stroked="false">
                <v:path arrowok="t"/>
                <v:fill type="solid"/>
              </v:shape>
            </v:group>
            <v:group style="position:absolute;left:1141;top:1092;width:135;height:624" coordorigin="1141,1092" coordsize="135,624">
              <v:shape style="position:absolute;left:1141;top:1092;width:135;height:624" coordorigin="1141,1092" coordsize="135,624" path="m1186,1582l1141,1582,1208,1716,1264,1604,1186,1604,1186,1582xe" filled="true" fillcolor="#000000" stroked="false">
                <v:path arrowok="t"/>
                <v:fill type="solid"/>
              </v:shape>
              <v:shape style="position:absolute;left:1141;top:1092;width:135;height:624" coordorigin="1141,1092" coordsize="135,624" path="m1232,1092l1187,1092,1186,1604,1231,1604,1232,1092xe" filled="true" fillcolor="#000000" stroked="false">
                <v:path arrowok="t"/>
                <v:fill type="solid"/>
              </v:shape>
              <v:shape style="position:absolute;left:1141;top:1092;width:135;height:624" coordorigin="1141,1092" coordsize="135,624" path="m1276,1582l1231,1582,1231,1604,1264,1604,1276,1582xe" filled="true" fillcolor="#000000" stroked="false">
                <v:path arrowok="t"/>
                <v:fill type="solid"/>
              </v:shape>
              <v:shape style="position:absolute;left:1525;top:198;width:491;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1525;top:1282;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30.34%</w:t>
                      </w:r>
                    </w:p>
                  </w:txbxContent>
                </v:textbox>
                <w10:wrap type="none"/>
              </v:shape>
              <v:shape style="position:absolute;left:15;top:639;width:2579;height:468" type="#_x0000_t202" filled="true" fillcolor="#808080" stroked="true" strokeweight="1pt" strokecolor="#000000">
                <v:textbox inset="0,0,0,0">
                  <w:txbxContent>
                    <w:p>
                      <w:pPr>
                        <w:spacing w:before="18"/>
                        <w:ind w:left="304" w:right="0" w:firstLine="0"/>
                        <w:jc w:val="left"/>
                        <w:rPr>
                          <w:rFonts w:ascii="楷体" w:hAnsi="楷体" w:cs="楷体" w:eastAsia="楷体" w:hint="default"/>
                          <w:sz w:val="24"/>
                          <w:szCs w:val="24"/>
                        </w:rPr>
                      </w:pPr>
                      <w:r>
                        <w:rPr>
                          <w:rFonts w:ascii="楷体" w:hAnsi="楷体" w:cs="楷体" w:eastAsia="楷体" w:hint="default"/>
                          <w:sz w:val="24"/>
                          <w:szCs w:val="24"/>
                        </w:rPr>
                        <w:t>清华控股有限公司</w:t>
                      </w:r>
                    </w:p>
                  </w:txbxContent>
                </v:textbox>
                <v:fill type="solid"/>
                <w10:wrap type="none"/>
              </v:shape>
            </v:group>
          </v:group>
        </w:pict>
      </w:r>
      <w:r>
        <w:rPr>
          <w:rFonts w:ascii="宋体" w:hAnsi="宋体" w:cs="宋体" w:eastAsia="宋体" w:hint="default"/>
          <w:position w:val="-33"/>
          <w:sz w:val="20"/>
          <w:szCs w:val="20"/>
        </w:rPr>
      </w:r>
    </w:p>
    <w:p>
      <w:pPr>
        <w:spacing w:line="240" w:lineRule="auto" w:before="3"/>
        <w:rPr>
          <w:rFonts w:ascii="宋体" w:hAnsi="宋体" w:cs="宋体" w:eastAsia="宋体" w:hint="default"/>
          <w:sz w:val="2"/>
          <w:szCs w:val="2"/>
        </w:rPr>
      </w:pPr>
    </w:p>
    <w:p>
      <w:pPr>
        <w:spacing w:line="482" w:lineRule="exact"/>
        <w:ind w:left="282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89pt;height:24.15pt;mso-position-horizontal-relative:char;mso-position-vertical-relative:line" type="#_x0000_t202" filled="true" fillcolor="#ffffff" stroked="true" strokeweight="1pt" strokecolor="#000000">
            <w10:anchorlock/>
            <v:textbox inset="0,0,0,0">
              <w:txbxContent>
                <w:p>
                  <w:pPr>
                    <w:pStyle w:val="BodyText"/>
                    <w:spacing w:line="240" w:lineRule="auto" w:before="18"/>
                    <w:ind w:left="903" w:right="0"/>
                    <w:jc w:val="left"/>
                    <w:rPr>
                      <w:rFonts w:ascii="楷体" w:hAnsi="楷体" w:cs="楷体" w:eastAsia="楷体" w:hint="default"/>
                    </w:rPr>
                  </w:pPr>
                  <w:r>
                    <w:rPr>
                      <w:rFonts w:ascii="楷体" w:hAnsi="楷体" w:cs="楷体" w:eastAsia="楷体" w:hint="default"/>
                    </w:rPr>
                    <w:t>同方股份有限公司</w:t>
                  </w:r>
                </w:p>
              </w:txbxContent>
            </v:textbox>
            <v:fill type="solid"/>
          </v:shape>
        </w:pict>
      </w:r>
      <w:r>
        <w:rPr>
          <w:rFonts w:ascii="宋体" w:hAnsi="宋体" w:cs="宋体" w:eastAsia="宋体" w:hint="default"/>
          <w:position w:val="-9"/>
          <w:sz w:val="20"/>
          <w:szCs w:val="20"/>
        </w:rPr>
      </w:r>
    </w:p>
    <w:p>
      <w:pPr>
        <w:spacing w:line="240" w:lineRule="auto" w:before="9"/>
        <w:rPr>
          <w:rFonts w:ascii="宋体" w:hAnsi="宋体" w:cs="宋体" w:eastAsia="宋体" w:hint="default"/>
          <w:sz w:val="17"/>
          <w:szCs w:val="17"/>
        </w:rPr>
      </w:pPr>
    </w:p>
    <w:p>
      <w:pPr>
        <w:pStyle w:val="BodyText"/>
        <w:spacing w:line="237" w:lineRule="auto"/>
        <w:ind w:right="103"/>
        <w:jc w:val="both"/>
      </w:pPr>
      <w:r>
        <w:rPr/>
        <w:t>清华控股有限公司(以下简称“清华控股”)成立于</w:t>
      </w:r>
      <w:r>
        <w:rPr>
          <w:spacing w:val="-70"/>
        </w:rPr>
        <w:t> </w:t>
      </w:r>
      <w:r>
        <w:rPr/>
        <w:t>1992</w:t>
      </w:r>
      <w:r>
        <w:rPr>
          <w:spacing w:val="-70"/>
        </w:rPr>
        <w:t> </w:t>
      </w:r>
      <w:r>
        <w:rPr/>
        <w:t>年，原名称为“北京清华大学企</w:t>
      </w:r>
      <w:r>
        <w:rPr/>
        <w:t> </w:t>
      </w:r>
      <w:r>
        <w:rPr>
          <w:spacing w:val="-2"/>
        </w:rPr>
        <w:t>业集团”，系清华大学所属的全民所有制企业，2003年9</w:t>
      </w:r>
      <w:r>
        <w:rPr>
          <w:spacing w:val="-59"/>
        </w:rPr>
        <w:t> </w:t>
      </w:r>
      <w:r>
        <w:rPr>
          <w:spacing w:val="-4"/>
        </w:rPr>
        <w:t>月，根据国务院办公厅《关于北</w:t>
      </w:r>
      <w:r>
        <w:rPr>
          <w:spacing w:val="-116"/>
        </w:rPr>
        <w:t> </w:t>
      </w:r>
      <w:r>
        <w:rPr>
          <w:spacing w:val="-116"/>
        </w:rPr>
      </w:r>
      <w:r>
        <w:rPr/>
        <w:t>京大学清华大学规范校办企业管理体制试点问题的通知》(国办函〔2001〕58</w:t>
      </w:r>
      <w:r>
        <w:rPr>
          <w:spacing w:val="-40"/>
        </w:rPr>
        <w:t> </w:t>
      </w:r>
      <w:r>
        <w:rPr/>
        <w:t>号)文件要</w:t>
      </w:r>
      <w:r>
        <w:rPr/>
        <w:t> </w:t>
      </w:r>
      <w:r>
        <w:rPr>
          <w:spacing w:val="-4"/>
        </w:rPr>
        <w:t>求，经国务院批准，改制为国有独资有限责任公司，名称变更为“清华控股有限公司”，</w:t>
      </w:r>
      <w:r>
        <w:rPr>
          <w:spacing w:val="-84"/>
        </w:rPr>
        <w:t> </w:t>
      </w:r>
      <w:r>
        <w:rPr>
          <w:spacing w:val="-84"/>
        </w:rPr>
      </w:r>
      <w:r>
        <w:rPr/>
        <w:t>注册资本</w:t>
      </w:r>
      <w:r>
        <w:rPr>
          <w:spacing w:val="-60"/>
        </w:rPr>
        <w:t> </w:t>
      </w:r>
      <w:r>
        <w:rPr/>
        <w:t>20</w:t>
      </w:r>
      <w:r>
        <w:rPr>
          <w:spacing w:val="-60"/>
        </w:rPr>
        <w:t> </w:t>
      </w:r>
      <w:r>
        <w:rPr/>
        <w:t>亿元，法定代表人为宋军先生。</w:t>
      </w:r>
    </w:p>
    <w:p>
      <w:pPr>
        <w:spacing w:line="240" w:lineRule="auto" w:before="11"/>
        <w:rPr>
          <w:rFonts w:ascii="宋体" w:hAnsi="宋体" w:cs="宋体" w:eastAsia="宋体" w:hint="default"/>
          <w:sz w:val="23"/>
          <w:szCs w:val="23"/>
        </w:rPr>
      </w:pPr>
    </w:p>
    <w:p>
      <w:pPr>
        <w:pStyle w:val="BodyText"/>
        <w:spacing w:line="237" w:lineRule="auto"/>
        <w:ind w:right="86"/>
        <w:jc w:val="left"/>
      </w:pPr>
      <w:r>
        <w:rPr>
          <w:spacing w:val="-2"/>
        </w:rPr>
        <w:t>清华控股依托清华大学雄厚的科技优势和人才资源，在制定清华大学科技产业发展战略、</w:t>
      </w:r>
      <w:r>
        <w:rPr>
          <w:spacing w:val="-1"/>
        </w:rPr>
        <w:t> </w:t>
      </w:r>
      <w:r>
        <w:rPr/>
        <w:t>整合资产、调整结构、协调利益等方面发挥主导作用，是清华大学科技企业投融资、科</w:t>
      </w:r>
      <w:r>
        <w:rPr>
          <w:spacing w:val="-47"/>
        </w:rPr>
        <w:t> </w:t>
      </w:r>
      <w:r>
        <w:rPr>
          <w:spacing w:val="-47"/>
        </w:rPr>
      </w:r>
      <w:r>
        <w:rPr/>
        <w:t>技开发、成果转化、高新技术企业孵化、对外贸易及经济技术合作交流等重大经营活动</w:t>
      </w:r>
      <w:r>
        <w:rPr>
          <w:spacing w:val="-47"/>
        </w:rPr>
        <w:t> </w:t>
      </w:r>
      <w:r>
        <w:rPr>
          <w:spacing w:val="-47"/>
        </w:rPr>
      </w:r>
      <w:r>
        <w:rPr/>
        <w:t>的决策和管理中心。经营范围包括资产管理；资产受托管理；实业投资及管理；企业收</w:t>
      </w:r>
      <w:r>
        <w:rPr>
          <w:spacing w:val="-47"/>
        </w:rPr>
        <w:t> </w:t>
      </w:r>
      <w:r>
        <w:rPr>
          <w:spacing w:val="-47"/>
        </w:rPr>
      </w:r>
      <w:r>
        <w:rPr/>
        <w:t>购、兼并、资产重组的策划；科技、经济及相关业务的咨询及人员培训。</w:t>
      </w:r>
    </w:p>
    <w:p>
      <w:pPr>
        <w:spacing w:line="240" w:lineRule="auto" w:before="11"/>
        <w:rPr>
          <w:rFonts w:ascii="宋体" w:hAnsi="宋体" w:cs="宋体" w:eastAsia="宋体" w:hint="default"/>
          <w:sz w:val="23"/>
          <w:szCs w:val="23"/>
        </w:rPr>
      </w:pPr>
    </w:p>
    <w:p>
      <w:pPr>
        <w:pStyle w:val="BodyText"/>
        <w:spacing w:line="237" w:lineRule="auto"/>
        <w:ind w:right="86"/>
        <w:jc w:val="left"/>
      </w:pPr>
      <w:r>
        <w:rPr>
          <w:spacing w:val="-2"/>
        </w:rPr>
        <w:t>清华控股目前还拥有紫光集团、紫光股份、诚志股份、启迪股份、浦华控股、阳光能源、</w:t>
      </w:r>
      <w:r>
        <w:rPr>
          <w:spacing w:val="-84"/>
        </w:rPr>
        <w:t> </w:t>
      </w:r>
      <w:r>
        <w:rPr>
          <w:spacing w:val="-84"/>
        </w:rPr>
      </w:r>
      <w:r>
        <w:rPr/>
        <w:t>科技创投、工美装饰、华环电子、比威网络等三十余家控股和主要参股公司，产业领域</w:t>
      </w:r>
      <w:r>
        <w:rPr>
          <w:spacing w:val="-47"/>
        </w:rPr>
        <w:t> </w:t>
      </w:r>
      <w:r>
        <w:rPr>
          <w:spacing w:val="-47"/>
        </w:rPr>
      </w:r>
      <w:r>
        <w:rPr>
          <w:spacing w:val="-2"/>
        </w:rPr>
        <w:t>涉及电子信息、环保与人工环境工程、民用核技术、通讯、新材料与新能源、生物工程、</w:t>
      </w:r>
      <w:r>
        <w:rPr>
          <w:spacing w:val="-84"/>
        </w:rPr>
        <w:t> </w:t>
      </w:r>
      <w:r>
        <w:rPr>
          <w:spacing w:val="-84"/>
        </w:rPr>
      </w:r>
      <w:r>
        <w:rPr/>
        <w:t>精细化工与制药、先进制造及光电一体化等。</w:t>
      </w:r>
    </w:p>
    <w:p>
      <w:pPr>
        <w:spacing w:line="240" w:lineRule="auto" w:before="8"/>
        <w:rPr>
          <w:rFonts w:ascii="宋体" w:hAnsi="宋体" w:cs="宋体" w:eastAsia="宋体" w:hint="default"/>
          <w:sz w:val="23"/>
          <w:szCs w:val="23"/>
        </w:rPr>
      </w:pPr>
    </w:p>
    <w:p>
      <w:pPr>
        <w:spacing w:line="475" w:lineRule="auto" w:before="0"/>
        <w:ind w:left="138" w:right="526" w:firstLine="0"/>
        <w:jc w:val="left"/>
        <w:rPr>
          <w:rFonts w:ascii="宋体" w:hAnsi="宋体" w:cs="宋体" w:eastAsia="宋体" w:hint="default"/>
          <w:sz w:val="24"/>
          <w:szCs w:val="24"/>
        </w:rPr>
      </w:pPr>
      <w:r>
        <w:rPr>
          <w:rFonts w:ascii="宋体" w:hAnsi="宋体" w:cs="宋体" w:eastAsia="宋体" w:hint="default"/>
          <w:sz w:val="24"/>
          <w:szCs w:val="24"/>
        </w:rPr>
        <w:t>本报告期内，清华控股有限公司持有本公司的股份未发生质押、冻结、托管的情况。 </w:t>
      </w:r>
      <w:r>
        <w:rPr>
          <w:rFonts w:ascii="宋体" w:hAnsi="宋体" w:cs="宋体" w:eastAsia="宋体" w:hint="default"/>
          <w:b/>
          <w:bCs/>
          <w:sz w:val="24"/>
          <w:szCs w:val="24"/>
        </w:rPr>
        <w:t>4、公司前十名无限售条件股东持股情况</w:t>
      </w:r>
      <w:r>
        <w:rPr>
          <w:rFonts w:ascii="宋体" w:hAnsi="宋体" w:cs="宋体" w:eastAsia="宋体" w:hint="default"/>
          <w:sz w:val="24"/>
          <w:szCs w:val="24"/>
        </w:rPr>
      </w:r>
    </w:p>
    <w:p>
      <w:pPr>
        <w:spacing w:after="0" w:line="475" w:lineRule="auto"/>
        <w:jc w:val="left"/>
        <w:rPr>
          <w:rFonts w:ascii="宋体" w:hAnsi="宋体" w:cs="宋体" w:eastAsia="宋体" w:hint="default"/>
          <w:sz w:val="24"/>
          <w:szCs w:val="24"/>
        </w:rPr>
        <w:sectPr>
          <w:pgSz w:w="11910" w:h="16840"/>
          <w:pgMar w:header="610" w:footer="764" w:top="1080" w:bottom="980" w:left="1280" w:right="10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tbl>
      <w:tblPr>
        <w:tblW w:w="0" w:type="auto"/>
        <w:jc w:val="left"/>
        <w:tblInd w:w="267" w:type="dxa"/>
        <w:tblLayout w:type="fixed"/>
        <w:tblCellMar>
          <w:top w:w="0" w:type="dxa"/>
          <w:left w:w="0" w:type="dxa"/>
          <w:bottom w:w="0" w:type="dxa"/>
          <w:right w:w="0" w:type="dxa"/>
        </w:tblCellMar>
        <w:tblLook w:val="01E0"/>
      </w:tblPr>
      <w:tblGrid>
        <w:gridCol w:w="3976"/>
        <w:gridCol w:w="1660"/>
        <w:gridCol w:w="1361"/>
        <w:gridCol w:w="2019"/>
      </w:tblGrid>
      <w:tr>
        <w:trPr>
          <w:trHeight w:val="562" w:hRule="exact"/>
        </w:trPr>
        <w:tc>
          <w:tcPr>
            <w:tcW w:w="3976" w:type="dxa"/>
            <w:tcBorders>
              <w:top w:val="single" w:sz="12" w:space="0" w:color="000000"/>
              <w:left w:val="single" w:sz="12" w:space="0" w:color="000000"/>
              <w:bottom w:val="single" w:sz="6" w:space="0" w:color="000000"/>
              <w:right w:val="single" w:sz="6" w:space="0" w:color="000000"/>
            </w:tcBorders>
          </w:tcPr>
          <w:p>
            <w:pPr>
              <w:pStyle w:val="TableParagraph"/>
              <w:spacing w:line="222" w:lineRule="exact"/>
              <w:ind w:right="3"/>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6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6"/>
              <w:ind w:left="295" w:right="0"/>
              <w:jc w:val="left"/>
              <w:rPr>
                <w:rFonts w:ascii="宋体" w:hAnsi="宋体" w:cs="宋体" w:eastAsia="宋体" w:hint="default"/>
                <w:sz w:val="21"/>
                <w:szCs w:val="21"/>
              </w:rPr>
            </w:pPr>
            <w:r>
              <w:rPr>
                <w:rFonts w:ascii="宋体" w:hAnsi="宋体" w:cs="宋体" w:eastAsia="宋体" w:hint="default"/>
                <w:b/>
                <w:bCs/>
                <w:sz w:val="21"/>
                <w:szCs w:val="21"/>
              </w:rPr>
              <w:t>持股数(股)</w:t>
            </w:r>
            <w:r>
              <w:rPr>
                <w:rFonts w:ascii="宋体" w:hAnsi="宋体" w:cs="宋体" w:eastAsia="宋体" w:hint="default"/>
                <w:sz w:val="21"/>
                <w:szCs w:val="21"/>
              </w:rPr>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6"/>
              <w:ind w:right="145"/>
              <w:jc w:val="right"/>
              <w:rPr>
                <w:rFonts w:ascii="宋体" w:hAnsi="宋体" w:cs="宋体" w:eastAsia="宋体" w:hint="default"/>
                <w:sz w:val="21"/>
                <w:szCs w:val="21"/>
              </w:rPr>
            </w:pPr>
            <w:r>
              <w:rPr>
                <w:rFonts w:ascii="宋体" w:hAnsi="宋体" w:cs="宋体" w:eastAsia="宋体" w:hint="default"/>
                <w:b/>
                <w:bCs/>
                <w:w w:val="95"/>
                <w:sz w:val="21"/>
                <w:szCs w:val="21"/>
              </w:rPr>
              <w:t>占总股本数</w:t>
            </w:r>
            <w:r>
              <w:rPr>
                <w:rFonts w:ascii="宋体" w:hAnsi="宋体" w:cs="宋体" w:eastAsia="宋体" w:hint="default"/>
                <w:sz w:val="21"/>
                <w:szCs w:val="21"/>
              </w:rPr>
            </w:r>
          </w:p>
        </w:tc>
        <w:tc>
          <w:tcPr>
            <w:tcW w:w="201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6"/>
              <w:ind w:left="6"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r>
      <w:tr>
        <w:trPr>
          <w:trHeight w:val="258"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7"/>
              <w:jc w:val="right"/>
              <w:rPr>
                <w:rFonts w:ascii="宋体" w:hAnsi="宋体" w:cs="宋体" w:eastAsia="宋体" w:hint="default"/>
                <w:sz w:val="21"/>
                <w:szCs w:val="21"/>
              </w:rPr>
            </w:pPr>
            <w:r>
              <w:rPr>
                <w:rFonts w:ascii="宋体"/>
                <w:spacing w:val="-1"/>
                <w:sz w:val="21"/>
              </w:rPr>
              <w:t>49,396,615</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00"/>
              <w:jc w:val="right"/>
              <w:rPr>
                <w:rFonts w:ascii="宋体" w:hAnsi="宋体" w:cs="宋体" w:eastAsia="宋体" w:hint="default"/>
                <w:sz w:val="21"/>
                <w:szCs w:val="21"/>
              </w:rPr>
            </w:pPr>
            <w:r>
              <w:rPr>
                <w:rFonts w:ascii="宋体"/>
                <w:spacing w:val="-1"/>
                <w:sz w:val="21"/>
              </w:rPr>
              <w:t>5.06%</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24" w:lineRule="exact"/>
              <w:ind w:right="90"/>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5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国泰金牛创新成长股票型证券投资基金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26,937,201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2.76%</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right="89"/>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54"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国泰金马稳健回报证券投资基金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18,585,221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z w:val="21"/>
              </w:rPr>
              <w:t>1.90%</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right="89"/>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31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博时新兴成长股票型证券投资基金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pacing w:val="-1"/>
                <w:sz w:val="21"/>
              </w:rPr>
              <w:t>18,307,155</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1.87%</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0"/>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314"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国泰金鼎价值精选混合型证券投资基金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pacing w:val="-1"/>
                <w:sz w:val="21"/>
              </w:rPr>
              <w:t>17,881,232</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1.83%</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0"/>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31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中银持续增长股票型证券投资基金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7"/>
              <w:jc w:val="right"/>
              <w:rPr>
                <w:rFonts w:ascii="宋体" w:hAnsi="宋体" w:cs="宋体" w:eastAsia="宋体" w:hint="default"/>
                <w:sz w:val="21"/>
                <w:szCs w:val="21"/>
              </w:rPr>
            </w:pPr>
            <w:r>
              <w:rPr>
                <w:rFonts w:ascii="宋体"/>
                <w:spacing w:val="-1"/>
                <w:sz w:val="21"/>
              </w:rPr>
              <w:t>14,004,006</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1.43%</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3" w:lineRule="exact"/>
              <w:ind w:right="90"/>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494"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4" w:right="0"/>
              <w:jc w:val="left"/>
              <w:rPr>
                <w:rFonts w:ascii="宋体" w:hAnsi="宋体" w:cs="宋体" w:eastAsia="宋体" w:hint="default"/>
                <w:sz w:val="21"/>
                <w:szCs w:val="21"/>
              </w:rPr>
            </w:pPr>
            <w:r>
              <w:rPr>
                <w:rFonts w:ascii="宋体" w:hAnsi="宋体" w:cs="宋体" w:eastAsia="宋体" w:hint="default"/>
                <w:spacing w:val="11"/>
                <w:sz w:val="21"/>
                <w:szCs w:val="21"/>
              </w:rPr>
              <w:t>中国平安人寿保险股份有限公司－传统</w:t>
            </w:r>
            <w:r>
              <w:rPr>
                <w:rFonts w:ascii="宋体" w:hAnsi="宋体" w:cs="宋体" w:eastAsia="宋体" w:hint="default"/>
                <w:sz w:val="21"/>
                <w:szCs w:val="21"/>
              </w:rPr>
            </w:r>
          </w:p>
          <w:p>
            <w:pPr>
              <w:pStyle w:val="TableParagraph"/>
              <w:spacing w:line="257" w:lineRule="exact"/>
              <w:ind w:left="94" w:right="0"/>
              <w:jc w:val="left"/>
              <w:rPr>
                <w:rFonts w:ascii="宋体" w:hAnsi="宋体" w:cs="宋体" w:eastAsia="宋体" w:hint="default"/>
                <w:sz w:val="21"/>
                <w:szCs w:val="21"/>
              </w:rPr>
            </w:pPr>
            <w:r>
              <w:rPr>
                <w:rFonts w:ascii="宋体" w:hAnsi="宋体" w:cs="宋体" w:eastAsia="宋体" w:hint="default"/>
                <w:sz w:val="21"/>
                <w:szCs w:val="21"/>
              </w:rPr>
              <w:t>－普通保险产品</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21"/>
                <w:szCs w:val="21"/>
              </w:rPr>
            </w:pPr>
            <w:r>
              <w:rPr>
                <w:rFonts w:ascii="宋体"/>
                <w:spacing w:val="-1"/>
                <w:sz w:val="21"/>
              </w:rPr>
              <w:t>10,961,516</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00"/>
              <w:jc w:val="right"/>
              <w:rPr>
                <w:rFonts w:ascii="宋体" w:hAnsi="宋体" w:cs="宋体" w:eastAsia="宋体" w:hint="default"/>
                <w:sz w:val="21"/>
                <w:szCs w:val="21"/>
              </w:rPr>
            </w:pPr>
            <w:r>
              <w:rPr>
                <w:rFonts w:ascii="宋体"/>
                <w:spacing w:val="-1"/>
                <w:sz w:val="21"/>
              </w:rPr>
              <w:t>1.12%</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right="90"/>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5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成都仁道投资有限公司</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10,647,000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z w:val="21"/>
              </w:rPr>
              <w:t>1.09%</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right="90"/>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54"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金鑫证券投资基金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pacing w:val="-1"/>
                <w:sz w:val="21"/>
              </w:rPr>
              <w:t>7,811,804</w:t>
            </w:r>
            <w:r>
              <w:rPr>
                <w:rFonts w:ascii="宋体"/>
                <w:sz w:val="21"/>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1"/>
              <w:jc w:val="right"/>
              <w:rPr>
                <w:rFonts w:ascii="宋体" w:hAnsi="宋体" w:cs="宋体" w:eastAsia="宋体" w:hint="default"/>
                <w:sz w:val="21"/>
                <w:szCs w:val="21"/>
              </w:rPr>
            </w:pPr>
            <w:r>
              <w:rPr>
                <w:rFonts w:ascii="宋体"/>
                <w:spacing w:val="-1"/>
                <w:sz w:val="21"/>
              </w:rPr>
              <w:t>0.80%</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right="90"/>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r>
        <w:trPr>
          <w:trHeight w:val="263" w:hRule="exact"/>
        </w:trPr>
        <w:tc>
          <w:tcPr>
            <w:tcW w:w="3976" w:type="dxa"/>
            <w:tcBorders>
              <w:top w:val="single" w:sz="6" w:space="0" w:color="000000"/>
              <w:left w:val="single" w:sz="12" w:space="0" w:color="000000"/>
              <w:bottom w:val="single" w:sz="12" w:space="0" w:color="000000"/>
              <w:right w:val="single" w:sz="6" w:space="0" w:color="000000"/>
            </w:tcBorders>
          </w:tcPr>
          <w:p>
            <w:pPr>
              <w:pStyle w:val="TableParagraph"/>
              <w:spacing w:line="223" w:lineRule="exact"/>
              <w:ind w:left="94" w:right="0"/>
              <w:jc w:val="left"/>
              <w:rPr>
                <w:rFonts w:ascii="宋体" w:hAnsi="宋体" w:cs="宋体" w:eastAsia="宋体" w:hint="default"/>
                <w:sz w:val="21"/>
                <w:szCs w:val="21"/>
              </w:rPr>
            </w:pPr>
            <w:r>
              <w:rPr>
                <w:rFonts w:ascii="宋体" w:hAnsi="宋体" w:cs="宋体" w:eastAsia="宋体" w:hint="default"/>
                <w:sz w:val="21"/>
                <w:szCs w:val="21"/>
              </w:rPr>
              <w:t>国泰金鹏蓝筹价值混合型证券投资基金</w:t>
            </w:r>
          </w:p>
        </w:tc>
        <w:tc>
          <w:tcPr>
            <w:tcW w:w="1660" w:type="dxa"/>
            <w:tcBorders>
              <w:top w:val="single" w:sz="6" w:space="0" w:color="000000"/>
              <w:left w:val="single" w:sz="6" w:space="0" w:color="000000"/>
              <w:bottom w:val="single" w:sz="12" w:space="0" w:color="000000"/>
              <w:right w:val="single" w:sz="6" w:space="0" w:color="000000"/>
            </w:tcBorders>
          </w:tcPr>
          <w:p>
            <w:pPr>
              <w:pStyle w:val="TableParagraph"/>
              <w:spacing w:line="223" w:lineRule="exact"/>
              <w:ind w:right="100"/>
              <w:jc w:val="right"/>
              <w:rPr>
                <w:rFonts w:ascii="宋体" w:hAnsi="宋体" w:cs="宋体" w:eastAsia="宋体" w:hint="default"/>
                <w:sz w:val="21"/>
                <w:szCs w:val="21"/>
              </w:rPr>
            </w:pPr>
            <w:r>
              <w:rPr>
                <w:rFonts w:ascii="宋体"/>
                <w:spacing w:val="-1"/>
                <w:sz w:val="21"/>
              </w:rPr>
              <w:t>6,368,987</w:t>
            </w:r>
            <w:r>
              <w:rPr>
                <w:rFonts w:ascii="宋体"/>
                <w:sz w:val="21"/>
              </w:rPr>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23" w:lineRule="exact"/>
              <w:ind w:right="101"/>
              <w:jc w:val="right"/>
              <w:rPr>
                <w:rFonts w:ascii="宋体" w:hAnsi="宋体" w:cs="宋体" w:eastAsia="宋体" w:hint="default"/>
                <w:sz w:val="21"/>
                <w:szCs w:val="21"/>
              </w:rPr>
            </w:pPr>
            <w:r>
              <w:rPr>
                <w:rFonts w:ascii="宋体"/>
                <w:spacing w:val="-1"/>
                <w:sz w:val="21"/>
              </w:rPr>
              <w:t>0.65%</w:t>
            </w:r>
            <w:r>
              <w:rPr>
                <w:rFonts w:ascii="宋体"/>
                <w:sz w:val="21"/>
              </w:rPr>
            </w:r>
          </w:p>
        </w:tc>
        <w:tc>
          <w:tcPr>
            <w:tcW w:w="2019" w:type="dxa"/>
            <w:tcBorders>
              <w:top w:val="single" w:sz="6" w:space="0" w:color="000000"/>
              <w:left w:val="single" w:sz="6" w:space="0" w:color="000000"/>
              <w:bottom w:val="single" w:sz="12" w:space="0" w:color="000000"/>
              <w:right w:val="single" w:sz="12" w:space="0" w:color="000000"/>
            </w:tcBorders>
          </w:tcPr>
          <w:p>
            <w:pPr>
              <w:pStyle w:val="TableParagraph"/>
              <w:spacing w:line="223" w:lineRule="exact"/>
              <w:ind w:right="91"/>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r>
    </w:tbl>
    <w:p>
      <w:pPr>
        <w:spacing w:line="238" w:lineRule="exact" w:before="0"/>
        <w:ind w:left="298" w:right="0" w:firstLine="0"/>
        <w:jc w:val="left"/>
        <w:rPr>
          <w:rFonts w:ascii="宋体" w:hAnsi="宋体" w:cs="宋体" w:eastAsia="宋体" w:hint="default"/>
          <w:sz w:val="21"/>
          <w:szCs w:val="21"/>
        </w:rPr>
      </w:pPr>
      <w:r>
        <w:rPr>
          <w:rFonts w:ascii="宋体" w:hAnsi="宋体" w:cs="宋体" w:eastAsia="宋体" w:hint="default"/>
          <w:sz w:val="21"/>
          <w:szCs w:val="21"/>
        </w:rPr>
        <w:t>注：前十名无限售条件股东中，除国泰金牛创新成长股票型证券投资基金、国泰金马稳健回报证券投</w:t>
      </w:r>
    </w:p>
    <w:p>
      <w:pPr>
        <w:spacing w:line="272" w:lineRule="exact" w:before="26"/>
        <w:ind w:left="298" w:right="290" w:firstLine="0"/>
        <w:jc w:val="left"/>
        <w:rPr>
          <w:rFonts w:ascii="宋体" w:hAnsi="宋体" w:cs="宋体" w:eastAsia="宋体" w:hint="default"/>
          <w:sz w:val="21"/>
          <w:szCs w:val="21"/>
        </w:rPr>
      </w:pPr>
      <w:r>
        <w:rPr>
          <w:rFonts w:ascii="宋体" w:hAnsi="宋体" w:cs="宋体" w:eastAsia="宋体" w:hint="default"/>
          <w:spacing w:val="-1"/>
          <w:sz w:val="21"/>
          <w:szCs w:val="21"/>
        </w:rPr>
        <w:t>资基金、国泰金鼎价值精选混合型证券投资基金、金鑫证券投资基金和国泰金鹏蓝筹价值混合型证券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投资基金同属国泰基金管理有限公司外，公司未获知上述股东之间是否存在关联关系。</w:t>
      </w: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14"/>
          <w:pgSz w:w="11910" w:h="16840"/>
          <w:pgMar w:header="610" w:footer="764" w:top="1080" w:bottom="980" w:left="1120" w:right="980"/>
        </w:sectPr>
      </w:pPr>
    </w:p>
    <w:p>
      <w:pPr>
        <w:pStyle w:val="Heading3"/>
        <w:spacing w:line="240" w:lineRule="auto" w:before="26"/>
        <w:ind w:left="298" w:right="-18"/>
        <w:jc w:val="left"/>
        <w:rPr>
          <w:b w:val="0"/>
          <w:bCs w:val="0"/>
        </w:rPr>
      </w:pPr>
      <w:r>
        <w:rPr/>
        <w:t>5、公司前十名有限售条件股东持股数量及限售条件</w:t>
      </w:r>
      <w:r>
        <w:rPr>
          <w:b w:val="0"/>
          <w:bCs w:val="0"/>
        </w:rPr>
      </w:r>
    </w:p>
    <w:p>
      <w:pPr>
        <w:spacing w:line="240" w:lineRule="auto" w:before="9"/>
        <w:rPr>
          <w:rFonts w:ascii="宋体" w:hAnsi="宋体" w:cs="宋体" w:eastAsia="宋体" w:hint="default"/>
          <w:b/>
          <w:bCs/>
          <w:sz w:val="27"/>
          <w:szCs w:val="27"/>
        </w:rPr>
      </w:pPr>
      <w:r>
        <w:rPr/>
        <w:br w:type="column"/>
      </w:r>
      <w:r>
        <w:rPr>
          <w:rFonts w:ascii="宋体"/>
          <w:b/>
          <w:sz w:val="27"/>
        </w:rPr>
      </w:r>
    </w:p>
    <w:p>
      <w:pPr>
        <w:spacing w:before="0"/>
        <w:ind w:left="29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1120" w:right="980"/>
          <w:cols w:num="2" w:equalWidth="0">
            <w:col w:w="5722" w:space="2640"/>
            <w:col w:w="1448"/>
          </w:cols>
        </w:sectPr>
      </w:pP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541"/>
        <w:gridCol w:w="2374"/>
        <w:gridCol w:w="1364"/>
        <w:gridCol w:w="1680"/>
        <w:gridCol w:w="1066"/>
        <w:gridCol w:w="2504"/>
      </w:tblGrid>
      <w:tr>
        <w:trPr>
          <w:trHeight w:val="861" w:hRule="exact"/>
        </w:trPr>
        <w:tc>
          <w:tcPr>
            <w:tcW w:w="541" w:type="dxa"/>
            <w:tcBorders>
              <w:top w:val="single" w:sz="12" w:space="0" w:color="000000"/>
              <w:left w:val="single" w:sz="12" w:space="0" w:color="000000"/>
              <w:bottom w:val="single" w:sz="6" w:space="0" w:color="000000"/>
              <w:right w:val="single" w:sz="6" w:space="0" w:color="000000"/>
            </w:tcBorders>
          </w:tcPr>
          <w:p>
            <w:pPr>
              <w:pStyle w:val="TableParagraph"/>
              <w:spacing w:line="264" w:lineRule="auto" w:before="157"/>
              <w:ind w:left="164" w:right="173"/>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3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b/>
                <w:bCs/>
                <w:sz w:val="18"/>
                <w:szCs w:val="18"/>
              </w:rPr>
              <w:t>有限售条件股东名称</w:t>
            </w:r>
            <w:r>
              <w:rPr>
                <w:rFonts w:ascii="宋体" w:hAnsi="宋体" w:cs="宋体" w:eastAsia="宋体" w:hint="default"/>
                <w:sz w:val="18"/>
                <w:szCs w:val="18"/>
              </w:rPr>
            </w:r>
          </w:p>
        </w:tc>
        <w:tc>
          <w:tcPr>
            <w:tcW w:w="1364" w:type="dxa"/>
            <w:tcBorders>
              <w:top w:val="single" w:sz="12" w:space="0" w:color="000000"/>
              <w:left w:val="single" w:sz="6" w:space="0" w:color="000000"/>
              <w:bottom w:val="single" w:sz="6" w:space="0" w:color="000000"/>
              <w:right w:val="single" w:sz="6" w:space="0" w:color="000000"/>
            </w:tcBorders>
          </w:tcPr>
          <w:p>
            <w:pPr>
              <w:pStyle w:val="TableParagraph"/>
              <w:spacing w:line="264" w:lineRule="auto" w:before="157"/>
              <w:ind w:left="133" w:right="131"/>
              <w:jc w:val="left"/>
              <w:rPr>
                <w:rFonts w:ascii="宋体" w:hAnsi="宋体" w:cs="宋体" w:eastAsia="宋体" w:hint="default"/>
                <w:sz w:val="18"/>
                <w:szCs w:val="18"/>
              </w:rPr>
            </w:pPr>
            <w:r>
              <w:rPr>
                <w:rFonts w:ascii="宋体" w:hAnsi="宋体" w:cs="宋体" w:eastAsia="宋体" w:hint="default"/>
                <w:b/>
                <w:bCs/>
                <w:sz w:val="18"/>
                <w:szCs w:val="18"/>
              </w:rPr>
              <w:t>持有的有限售</w:t>
            </w:r>
            <w:r>
              <w:rPr>
                <w:rFonts w:ascii="宋体" w:hAnsi="宋体" w:cs="宋体" w:eastAsia="宋体" w:hint="default"/>
                <w:b/>
                <w:bCs/>
                <w:w w:val="99"/>
                <w:sz w:val="18"/>
                <w:szCs w:val="18"/>
              </w:rPr>
              <w:t> </w:t>
            </w:r>
            <w:r>
              <w:rPr>
                <w:rFonts w:ascii="宋体" w:hAnsi="宋体" w:cs="宋体" w:eastAsia="宋体" w:hint="default"/>
                <w:b/>
                <w:bCs/>
                <w:sz w:val="18"/>
                <w:szCs w:val="18"/>
              </w:rPr>
              <w:t>条件股份数量</w:t>
            </w:r>
            <w:r>
              <w:rPr>
                <w:rFonts w:ascii="宋体" w:hAnsi="宋体" w:cs="宋体" w:eastAsia="宋体" w:hint="default"/>
                <w:sz w:val="18"/>
                <w:szCs w:val="18"/>
              </w:rPr>
            </w:r>
          </w:p>
        </w:tc>
        <w:tc>
          <w:tcPr>
            <w:tcW w:w="1680" w:type="dxa"/>
            <w:tcBorders>
              <w:top w:val="single" w:sz="12" w:space="0" w:color="000000"/>
              <w:left w:val="single" w:sz="6" w:space="0" w:color="000000"/>
              <w:bottom w:val="single" w:sz="6" w:space="0" w:color="000000"/>
              <w:right w:val="single" w:sz="6" w:space="0" w:color="000000"/>
            </w:tcBorders>
          </w:tcPr>
          <w:p>
            <w:pPr>
              <w:pStyle w:val="TableParagraph"/>
              <w:spacing w:line="264" w:lineRule="auto" w:before="157"/>
              <w:ind w:left="470" w:right="470" w:firstLine="90"/>
              <w:jc w:val="left"/>
              <w:rPr>
                <w:rFonts w:ascii="宋体" w:hAnsi="宋体" w:cs="宋体" w:eastAsia="宋体" w:hint="default"/>
                <w:sz w:val="18"/>
                <w:szCs w:val="18"/>
              </w:rPr>
            </w:pPr>
            <w:r>
              <w:rPr>
                <w:rFonts w:ascii="宋体" w:hAnsi="宋体" w:cs="宋体" w:eastAsia="宋体" w:hint="default"/>
                <w:b/>
                <w:bCs/>
                <w:sz w:val="18"/>
                <w:szCs w:val="18"/>
              </w:rPr>
              <w:t>可上市</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交易时间</w:t>
            </w:r>
            <w:r>
              <w:rPr>
                <w:rFonts w:ascii="宋体" w:hAnsi="宋体" w:cs="宋体" w:eastAsia="宋体" w:hint="default"/>
                <w:sz w:val="18"/>
                <w:szCs w:val="18"/>
              </w:rPr>
            </w:r>
          </w:p>
        </w:tc>
        <w:tc>
          <w:tcPr>
            <w:tcW w:w="1066" w:type="dxa"/>
            <w:tcBorders>
              <w:top w:val="single" w:sz="12" w:space="0" w:color="000000"/>
              <w:left w:val="single" w:sz="6" w:space="0" w:color="000000"/>
              <w:bottom w:val="single" w:sz="6" w:space="0" w:color="000000"/>
              <w:right w:val="single" w:sz="6" w:space="0" w:color="000000"/>
            </w:tcBorders>
          </w:tcPr>
          <w:p>
            <w:pPr>
              <w:pStyle w:val="TableParagraph"/>
              <w:spacing w:line="264" w:lineRule="auto" w:before="26"/>
              <w:ind w:left="163" w:right="163"/>
              <w:jc w:val="both"/>
              <w:rPr>
                <w:rFonts w:ascii="宋体" w:hAnsi="宋体" w:cs="宋体" w:eastAsia="宋体" w:hint="default"/>
                <w:sz w:val="18"/>
                <w:szCs w:val="18"/>
              </w:rPr>
            </w:pPr>
            <w:r>
              <w:rPr>
                <w:rFonts w:ascii="宋体" w:hAnsi="宋体" w:cs="宋体" w:eastAsia="宋体" w:hint="default"/>
                <w:b/>
                <w:bCs/>
                <w:sz w:val="18"/>
                <w:szCs w:val="18"/>
              </w:rPr>
              <w:t>新增可上</w:t>
            </w:r>
            <w:r>
              <w:rPr>
                <w:rFonts w:ascii="宋体" w:hAnsi="宋体" w:cs="宋体" w:eastAsia="宋体" w:hint="default"/>
                <w:b/>
                <w:bCs/>
                <w:w w:val="99"/>
                <w:sz w:val="18"/>
                <w:szCs w:val="18"/>
              </w:rPr>
              <w:t> </w:t>
            </w:r>
            <w:r>
              <w:rPr>
                <w:rFonts w:ascii="宋体" w:hAnsi="宋体" w:cs="宋体" w:eastAsia="宋体" w:hint="default"/>
                <w:b/>
                <w:bCs/>
                <w:sz w:val="18"/>
                <w:szCs w:val="18"/>
              </w:rPr>
              <w:t>市交易股</w:t>
            </w:r>
            <w:r>
              <w:rPr>
                <w:rFonts w:ascii="宋体" w:hAnsi="宋体" w:cs="宋体" w:eastAsia="宋体" w:hint="default"/>
                <w:b/>
                <w:bCs/>
                <w:w w:val="99"/>
                <w:sz w:val="18"/>
                <w:szCs w:val="18"/>
              </w:rPr>
              <w:t> </w:t>
            </w:r>
            <w:r>
              <w:rPr>
                <w:rFonts w:ascii="宋体" w:hAnsi="宋体" w:cs="宋体" w:eastAsia="宋体" w:hint="default"/>
                <w:b/>
                <w:bCs/>
                <w:sz w:val="18"/>
                <w:szCs w:val="18"/>
              </w:rPr>
              <w:t>份数量</w:t>
            </w:r>
            <w:r>
              <w:rPr>
                <w:rFonts w:ascii="宋体" w:hAnsi="宋体" w:cs="宋体" w:eastAsia="宋体" w:hint="default"/>
                <w:sz w:val="18"/>
                <w:szCs w:val="18"/>
              </w:rPr>
            </w:r>
          </w:p>
        </w:tc>
        <w:tc>
          <w:tcPr>
            <w:tcW w:w="250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b/>
                <w:bCs/>
                <w:sz w:val="18"/>
                <w:szCs w:val="18"/>
              </w:rPr>
              <w:t>限售条件</w:t>
            </w:r>
            <w:r>
              <w:rPr>
                <w:rFonts w:ascii="宋体" w:hAnsi="宋体" w:cs="宋体" w:eastAsia="宋体" w:hint="default"/>
                <w:sz w:val="18"/>
                <w:szCs w:val="18"/>
              </w:rPr>
            </w:r>
          </w:p>
        </w:tc>
      </w:tr>
      <w:tr>
        <w:trPr>
          <w:trHeight w:val="324" w:hRule="exact"/>
        </w:trPr>
        <w:tc>
          <w:tcPr>
            <w:tcW w:w="541" w:type="dxa"/>
            <w:tcBorders>
              <w:top w:val="single" w:sz="6" w:space="0" w:color="000000"/>
              <w:left w:val="single" w:sz="12" w:space="0" w:color="000000"/>
              <w:bottom w:val="nil" w:sz="6" w:space="0" w:color="auto"/>
              <w:right w:val="single" w:sz="6" w:space="0" w:color="000000"/>
            </w:tcBorders>
          </w:tcPr>
          <w:p>
            <w:pPr/>
          </w:p>
        </w:tc>
        <w:tc>
          <w:tcPr>
            <w:tcW w:w="2374" w:type="dxa"/>
            <w:tcBorders>
              <w:top w:val="single" w:sz="6" w:space="0" w:color="000000"/>
              <w:left w:val="single" w:sz="6" w:space="0" w:color="000000"/>
              <w:bottom w:val="nil" w:sz="6" w:space="0" w:color="auto"/>
              <w:right w:val="single" w:sz="6" w:space="0" w:color="000000"/>
            </w:tcBorders>
          </w:tcPr>
          <w:p>
            <w:pPr/>
          </w:p>
        </w:tc>
        <w:tc>
          <w:tcPr>
            <w:tcW w:w="1364" w:type="dxa"/>
            <w:tcBorders>
              <w:top w:val="single" w:sz="6" w:space="0" w:color="000000"/>
              <w:left w:val="single" w:sz="6" w:space="0" w:color="000000"/>
              <w:bottom w:val="nil" w:sz="6" w:space="0" w:color="auto"/>
              <w:right w:val="single" w:sz="6" w:space="0" w:color="000000"/>
            </w:tcBorders>
          </w:tcPr>
          <w:p>
            <w:pPr/>
          </w:p>
        </w:tc>
        <w:tc>
          <w:tcPr>
            <w:tcW w:w="1680" w:type="dxa"/>
            <w:tcBorders>
              <w:top w:val="single" w:sz="6" w:space="0" w:color="000000"/>
              <w:left w:val="single" w:sz="6" w:space="0" w:color="000000"/>
              <w:bottom w:val="nil" w:sz="6" w:space="0" w:color="auto"/>
              <w:right w:val="single" w:sz="6" w:space="0" w:color="000000"/>
            </w:tcBorders>
          </w:tcPr>
          <w:p>
            <w:pPr/>
          </w:p>
        </w:tc>
        <w:tc>
          <w:tcPr>
            <w:tcW w:w="1066" w:type="dxa"/>
            <w:tcBorders>
              <w:top w:val="single" w:sz="6" w:space="0" w:color="000000"/>
              <w:left w:val="single" w:sz="6" w:space="0" w:color="000000"/>
              <w:bottom w:val="nil" w:sz="6" w:space="0" w:color="auto"/>
              <w:right w:val="single" w:sz="6" w:space="0" w:color="000000"/>
            </w:tcBorders>
          </w:tcPr>
          <w:p>
            <w:pPr/>
          </w:p>
        </w:tc>
        <w:tc>
          <w:tcPr>
            <w:tcW w:w="2504" w:type="dxa"/>
            <w:tcBorders>
              <w:top w:val="single" w:sz="6" w:space="0" w:color="000000"/>
              <w:left w:val="single" w:sz="6" w:space="0" w:color="000000"/>
              <w:bottom w:val="nil" w:sz="6" w:space="0" w:color="auto"/>
              <w:right w:val="single" w:sz="12"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pacing w:val="11"/>
                <w:sz w:val="18"/>
                <w:szCs w:val="18"/>
              </w:rPr>
              <w:t>持有的非流通股股份自获得</w:t>
            </w:r>
            <w:r>
              <w:rPr>
                <w:rFonts w:ascii="宋体" w:hAnsi="宋体" w:cs="宋体" w:eastAsia="宋体" w:hint="default"/>
                <w:sz w:val="18"/>
                <w:szCs w:val="18"/>
              </w:rPr>
            </w:r>
          </w:p>
        </w:tc>
      </w:tr>
      <w:tr>
        <w:trPr>
          <w:trHeight w:val="520" w:hRule="exact"/>
        </w:trPr>
        <w:tc>
          <w:tcPr>
            <w:tcW w:w="541" w:type="dxa"/>
            <w:tcBorders>
              <w:top w:val="nil" w:sz="6" w:space="0" w:color="auto"/>
              <w:left w:val="single" w:sz="12" w:space="0" w:color="000000"/>
              <w:bottom w:val="nil" w:sz="6" w:space="0" w:color="auto"/>
              <w:right w:val="single" w:sz="6" w:space="0" w:color="000000"/>
            </w:tcBorders>
          </w:tcPr>
          <w:p>
            <w:pPr>
              <w:pStyle w:val="TableParagraph"/>
              <w:spacing w:line="240" w:lineRule="auto" w:before="115"/>
              <w:ind w:right="6"/>
              <w:jc w:val="center"/>
              <w:rPr>
                <w:rFonts w:ascii="宋体" w:hAnsi="宋体" w:cs="宋体" w:eastAsia="宋体" w:hint="default"/>
                <w:sz w:val="18"/>
                <w:szCs w:val="18"/>
              </w:rPr>
            </w:pPr>
            <w:r>
              <w:rPr>
                <w:rFonts w:ascii="宋体"/>
                <w:sz w:val="18"/>
              </w:rPr>
              <w:t>1</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364"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259" w:right="0"/>
              <w:jc w:val="left"/>
              <w:rPr>
                <w:rFonts w:ascii="宋体" w:hAnsi="宋体" w:cs="宋体" w:eastAsia="宋体" w:hint="default"/>
                <w:sz w:val="18"/>
                <w:szCs w:val="18"/>
              </w:rPr>
            </w:pPr>
            <w:r>
              <w:rPr>
                <w:rFonts w:ascii="宋体"/>
                <w:sz w:val="18"/>
              </w:rPr>
              <w:t>246,983,074</w:t>
            </w:r>
          </w:p>
        </w:tc>
        <w:tc>
          <w:tcPr>
            <w:tcW w:w="1680"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left="13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66"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0</w:t>
            </w:r>
          </w:p>
        </w:tc>
        <w:tc>
          <w:tcPr>
            <w:tcW w:w="2504" w:type="dxa"/>
            <w:tcBorders>
              <w:top w:val="nil" w:sz="6" w:space="0" w:color="auto"/>
              <w:left w:val="single" w:sz="6" w:space="0" w:color="000000"/>
              <w:bottom w:val="nil" w:sz="6" w:space="0" w:color="auto"/>
              <w:right w:val="single" w:sz="12"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上市流通权之日起，在三十六</w:t>
            </w:r>
          </w:p>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1"/>
                <w:sz w:val="18"/>
                <w:szCs w:val="18"/>
              </w:rPr>
              <w:t>个月内不通过上海证券交易</w:t>
            </w:r>
            <w:r>
              <w:rPr>
                <w:rFonts w:ascii="宋体" w:hAnsi="宋体" w:cs="宋体" w:eastAsia="宋体" w:hint="default"/>
                <w:sz w:val="18"/>
                <w:szCs w:val="18"/>
              </w:rPr>
            </w:r>
          </w:p>
        </w:tc>
      </w:tr>
      <w:tr>
        <w:trPr>
          <w:trHeight w:val="305" w:hRule="exact"/>
        </w:trPr>
        <w:tc>
          <w:tcPr>
            <w:tcW w:w="541" w:type="dxa"/>
            <w:tcBorders>
              <w:top w:val="nil" w:sz="6" w:space="0" w:color="auto"/>
              <w:left w:val="single" w:sz="12" w:space="0" w:color="000000"/>
              <w:bottom w:val="single" w:sz="12" w:space="0" w:color="000000"/>
              <w:right w:val="single" w:sz="6" w:space="0" w:color="000000"/>
            </w:tcBorders>
          </w:tcPr>
          <w:p>
            <w:pPr/>
          </w:p>
        </w:tc>
        <w:tc>
          <w:tcPr>
            <w:tcW w:w="2374" w:type="dxa"/>
            <w:tcBorders>
              <w:top w:val="nil" w:sz="6" w:space="0" w:color="auto"/>
              <w:left w:val="single" w:sz="6" w:space="0" w:color="000000"/>
              <w:bottom w:val="single" w:sz="12" w:space="0" w:color="000000"/>
              <w:right w:val="single" w:sz="6" w:space="0" w:color="000000"/>
            </w:tcBorders>
          </w:tcPr>
          <w:p>
            <w:pPr/>
          </w:p>
        </w:tc>
        <w:tc>
          <w:tcPr>
            <w:tcW w:w="1364" w:type="dxa"/>
            <w:tcBorders>
              <w:top w:val="nil" w:sz="6" w:space="0" w:color="auto"/>
              <w:left w:val="single" w:sz="6" w:space="0" w:color="000000"/>
              <w:bottom w:val="single" w:sz="12" w:space="0" w:color="000000"/>
              <w:right w:val="single" w:sz="6" w:space="0" w:color="000000"/>
            </w:tcBorders>
          </w:tcPr>
          <w:p>
            <w:pPr/>
          </w:p>
        </w:tc>
        <w:tc>
          <w:tcPr>
            <w:tcW w:w="1680" w:type="dxa"/>
            <w:tcBorders>
              <w:top w:val="nil" w:sz="6" w:space="0" w:color="auto"/>
              <w:left w:val="single" w:sz="6" w:space="0" w:color="000000"/>
              <w:bottom w:val="single" w:sz="12" w:space="0" w:color="000000"/>
              <w:right w:val="single" w:sz="6" w:space="0" w:color="000000"/>
            </w:tcBorders>
          </w:tcPr>
          <w:p>
            <w:pPr/>
          </w:p>
        </w:tc>
        <w:tc>
          <w:tcPr>
            <w:tcW w:w="1066" w:type="dxa"/>
            <w:tcBorders>
              <w:top w:val="nil" w:sz="6" w:space="0" w:color="auto"/>
              <w:left w:val="single" w:sz="6" w:space="0" w:color="000000"/>
              <w:bottom w:val="single" w:sz="12" w:space="0" w:color="000000"/>
              <w:right w:val="single" w:sz="6" w:space="0" w:color="000000"/>
            </w:tcBorders>
          </w:tcPr>
          <w:p>
            <w:pPr/>
          </w:p>
        </w:tc>
        <w:tc>
          <w:tcPr>
            <w:tcW w:w="2504" w:type="dxa"/>
            <w:tcBorders>
              <w:top w:val="nil" w:sz="6" w:space="0" w:color="auto"/>
              <w:left w:val="single" w:sz="6" w:space="0" w:color="000000"/>
              <w:bottom w:val="single" w:sz="12" w:space="0" w:color="000000"/>
              <w:right w:val="single" w:sz="12"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所以竞价交易方式出售。</w:t>
            </w:r>
          </w:p>
        </w:tc>
      </w:tr>
    </w:tbl>
    <w:p>
      <w:pPr>
        <w:spacing w:line="240" w:lineRule="exact" w:before="0"/>
        <w:ind w:left="298" w:right="0" w:firstLine="0"/>
        <w:jc w:val="left"/>
        <w:rPr>
          <w:rFonts w:ascii="宋体" w:hAnsi="宋体" w:cs="宋体" w:eastAsia="宋体" w:hint="default"/>
          <w:sz w:val="21"/>
          <w:szCs w:val="21"/>
        </w:rPr>
      </w:pPr>
      <w:r>
        <w:rPr>
          <w:rFonts w:ascii="宋体" w:hAnsi="宋体" w:cs="宋体" w:eastAsia="宋体" w:hint="default"/>
          <w:sz w:val="21"/>
          <w:szCs w:val="21"/>
        </w:rPr>
        <w:t>注：清华控股有限公司持有的上述有限售条件股份已于</w:t>
      </w:r>
      <w:r>
        <w:rPr>
          <w:rFonts w:ascii="宋体" w:hAnsi="宋体" w:cs="宋体" w:eastAsia="宋体" w:hint="default"/>
          <w:spacing w:val="-58"/>
          <w:sz w:val="21"/>
          <w:szCs w:val="21"/>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日上市。</w:t>
      </w:r>
    </w:p>
    <w:p>
      <w:pPr>
        <w:spacing w:after="0" w:line="240" w:lineRule="exact"/>
        <w:jc w:val="left"/>
        <w:rPr>
          <w:rFonts w:ascii="宋体" w:hAnsi="宋体" w:cs="宋体" w:eastAsia="宋体" w:hint="default"/>
          <w:sz w:val="21"/>
          <w:szCs w:val="21"/>
        </w:rPr>
        <w:sectPr>
          <w:type w:val="continuous"/>
          <w:pgSz w:w="11910" w:h="16840"/>
          <w:pgMar w:top="1600" w:bottom="280" w:left="1120" w:right="980"/>
        </w:sectPr>
      </w:pPr>
    </w:p>
    <w:p>
      <w:pPr>
        <w:spacing w:line="240" w:lineRule="auto" w:before="8"/>
        <w:rPr>
          <w:rFonts w:ascii="宋体" w:hAnsi="宋体" w:cs="宋体" w:eastAsia="宋体" w:hint="default"/>
          <w:sz w:val="10"/>
          <w:szCs w:val="10"/>
        </w:rPr>
      </w:pPr>
    </w:p>
    <w:p>
      <w:pPr>
        <w:spacing w:line="954" w:lineRule="exact"/>
        <w:ind w:left="23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333.6pt;height:47.7pt;mso-position-horizontal-relative:char;mso-position-vertical-relative:line" coordorigin="0,0" coordsize="6672,954">
            <v:shape style="position:absolute;left:0;top:0;width:6672;height:954" type="#_x0000_t75" stroked="false">
              <v:imagedata r:id="rId15" o:title=""/>
            </v:shape>
            <v:group style="position:absolute;left:180;top:936;width:6300;height:2" coordorigin="180,936" coordsize="6300,2">
              <v:shape style="position:absolute;left:180;top:936;width:6300;height:2" coordorigin="180,936" coordsize="6300,0" path="m180,936l6480,936e" filled="false" stroked="true" strokeweight=".25pt" strokecolor="#000000">
                <v:path arrowok="t"/>
              </v:shape>
            </v:group>
            <v:group style="position:absolute;left:6480;top:312;width:2;height:624" coordorigin="6480,312" coordsize="2,624">
              <v:shape style="position:absolute;left:6480;top:312;width:2;height:624" coordorigin="6480,312" coordsize="0,624" path="m6480,312l6480,936e" filled="false" stroked="true" strokeweight=".25pt" strokecolor="#000000">
                <v:path arrowok="t"/>
              </v:shape>
              <v:shape style="position:absolute;left:0;top:0;width:6672;height:954" type="#_x0000_t202" filled="false" stroked="false">
                <v:textbox inset="0,0,0,0">
                  <w:txbxContent>
                    <w:p>
                      <w:pPr>
                        <w:spacing w:line="240" w:lineRule="auto" w:before="1"/>
                        <w:rPr>
                          <w:rFonts w:ascii="宋体" w:hAnsi="宋体" w:cs="宋体" w:eastAsia="宋体" w:hint="default"/>
                          <w:sz w:val="32"/>
                          <w:szCs w:val="32"/>
                        </w:rPr>
                      </w:pPr>
                    </w:p>
                    <w:p>
                      <w:pPr>
                        <w:spacing w:before="0"/>
                        <w:ind w:left="210" w:right="0" w:firstLine="0"/>
                        <w:jc w:val="left"/>
                        <w:rPr>
                          <w:rFonts w:ascii="黑体" w:hAnsi="黑体" w:cs="黑体" w:eastAsia="黑体" w:hint="default"/>
                          <w:sz w:val="30"/>
                          <w:szCs w:val="30"/>
                        </w:rPr>
                      </w:pPr>
                      <w:r>
                        <w:rPr>
                          <w:rFonts w:ascii="黑体" w:hAnsi="黑体" w:cs="黑体" w:eastAsia="黑体" w:hint="default"/>
                          <w:b/>
                          <w:bCs/>
                          <w:sz w:val="30"/>
                          <w:szCs w:val="30"/>
                        </w:rPr>
                        <w:t>四、董事、监事、高级管理人员和员工情况</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610" w:footer="764" w:top="1080" w:bottom="980" w:left="1180" w:right="1040"/>
        </w:sectPr>
      </w:pPr>
    </w:p>
    <w:p>
      <w:pPr>
        <w:pStyle w:val="Heading2"/>
        <w:spacing w:line="240" w:lineRule="auto" w:before="13"/>
        <w:ind w:right="0"/>
        <w:jc w:val="left"/>
        <w:rPr>
          <w:b w:val="0"/>
          <w:bCs w:val="0"/>
        </w:rPr>
      </w:pPr>
      <w:r>
        <w:rPr>
          <w:w w:val="95"/>
        </w:rPr>
        <w:t>(一)公司董事、监事、高级管理人员的基本情况</w:t>
      </w:r>
      <w:r>
        <w:rPr>
          <w:b w:val="0"/>
          <w:bCs w:val="0"/>
        </w:rPr>
      </w:r>
    </w:p>
    <w:p>
      <w:pPr>
        <w:spacing w:line="240" w:lineRule="auto" w:before="8"/>
        <w:rPr>
          <w:rFonts w:ascii="宋体" w:hAnsi="宋体" w:cs="宋体" w:eastAsia="宋体" w:hint="default"/>
          <w:b/>
          <w:bCs/>
          <w:sz w:val="29"/>
          <w:szCs w:val="29"/>
        </w:rPr>
      </w:pPr>
      <w:r>
        <w:rPr/>
        <w:br w:type="column"/>
      </w:r>
      <w:r>
        <w:rPr>
          <w:rFonts w:ascii="宋体"/>
          <w:b/>
          <w:sz w:val="29"/>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1180" w:right="1040"/>
          <w:cols w:num="2" w:equalWidth="0">
            <w:col w:w="6142" w:space="2219"/>
            <w:col w:w="1329"/>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53"/>
        <w:gridCol w:w="1226"/>
        <w:gridCol w:w="487"/>
        <w:gridCol w:w="486"/>
        <w:gridCol w:w="1031"/>
        <w:gridCol w:w="1069"/>
        <w:gridCol w:w="946"/>
        <w:gridCol w:w="848"/>
        <w:gridCol w:w="895"/>
        <w:gridCol w:w="1576"/>
      </w:tblGrid>
      <w:tr>
        <w:trPr>
          <w:trHeight w:val="502" w:hRule="exact"/>
        </w:trPr>
        <w:tc>
          <w:tcPr>
            <w:tcW w:w="85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17" w:lineRule="exact"/>
              <w:ind w:left="230"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2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4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46" w:right="144"/>
              <w:jc w:val="left"/>
              <w:rPr>
                <w:rFonts w:ascii="宋体" w:hAnsi="宋体" w:cs="宋体" w:eastAsia="宋体" w:hint="default"/>
                <w:sz w:val="18"/>
                <w:szCs w:val="18"/>
              </w:rPr>
            </w:pP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48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45" w:right="144"/>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103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416" w:right="145" w:hanging="270"/>
              <w:jc w:val="left"/>
              <w:rPr>
                <w:rFonts w:ascii="宋体" w:hAnsi="宋体" w:cs="宋体" w:eastAsia="宋体" w:hint="default"/>
                <w:sz w:val="18"/>
                <w:szCs w:val="18"/>
              </w:rPr>
            </w:pPr>
            <w:r>
              <w:rPr>
                <w:rFonts w:ascii="宋体" w:hAnsi="宋体" w:cs="宋体" w:eastAsia="宋体" w:hint="default"/>
                <w:b/>
                <w:bCs/>
                <w:sz w:val="18"/>
                <w:szCs w:val="18"/>
              </w:rPr>
              <w:t>任期起始</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06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436" w:right="163" w:hanging="270"/>
              <w:jc w:val="left"/>
              <w:rPr>
                <w:rFonts w:ascii="宋体" w:hAnsi="宋体" w:cs="宋体" w:eastAsia="宋体" w:hint="default"/>
                <w:sz w:val="18"/>
                <w:szCs w:val="18"/>
              </w:rPr>
            </w:pPr>
            <w:r>
              <w:rPr>
                <w:rFonts w:ascii="宋体" w:hAnsi="宋体" w:cs="宋体" w:eastAsia="宋体" w:hint="default"/>
                <w:b/>
                <w:bCs/>
                <w:sz w:val="18"/>
                <w:szCs w:val="18"/>
              </w:rPr>
              <w:t>任期终止</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94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374" w:right="103" w:hanging="272"/>
              <w:jc w:val="left"/>
              <w:rPr>
                <w:rFonts w:ascii="宋体" w:hAnsi="宋体" w:cs="宋体" w:eastAsia="宋体" w:hint="default"/>
                <w:sz w:val="18"/>
                <w:szCs w:val="18"/>
              </w:rPr>
            </w:pPr>
            <w:r>
              <w:rPr>
                <w:rFonts w:ascii="宋体" w:hAnsi="宋体" w:cs="宋体" w:eastAsia="宋体" w:hint="default"/>
                <w:b/>
                <w:bCs/>
                <w:sz w:val="18"/>
                <w:szCs w:val="18"/>
              </w:rPr>
              <w:t>年初持股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84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35" w:right="143" w:hanging="90"/>
              <w:jc w:val="left"/>
              <w:rPr>
                <w:rFonts w:ascii="宋体" w:hAnsi="宋体" w:cs="宋体" w:eastAsia="宋体" w:hint="default"/>
                <w:sz w:val="18"/>
                <w:szCs w:val="18"/>
              </w:rPr>
            </w:pPr>
            <w:r>
              <w:rPr>
                <w:rFonts w:ascii="宋体" w:hAnsi="宋体" w:cs="宋体" w:eastAsia="宋体" w:hint="default"/>
                <w:b/>
                <w:bCs/>
                <w:sz w:val="18"/>
                <w:szCs w:val="18"/>
              </w:rPr>
              <w:t>年末持</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股数</w:t>
            </w:r>
            <w:r>
              <w:rPr>
                <w:rFonts w:ascii="宋体" w:hAnsi="宋体" w:cs="宋体" w:eastAsia="宋体" w:hint="default"/>
                <w:sz w:val="18"/>
                <w:szCs w:val="18"/>
              </w:rPr>
            </w:r>
          </w:p>
        </w:tc>
        <w:tc>
          <w:tcPr>
            <w:tcW w:w="8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349" w:right="167" w:hanging="180"/>
              <w:jc w:val="left"/>
              <w:rPr>
                <w:rFonts w:ascii="宋体" w:hAnsi="宋体" w:cs="宋体" w:eastAsia="宋体" w:hint="default"/>
                <w:sz w:val="18"/>
                <w:szCs w:val="18"/>
              </w:rPr>
            </w:pPr>
            <w:r>
              <w:rPr>
                <w:rFonts w:ascii="宋体" w:hAnsi="宋体" w:cs="宋体" w:eastAsia="宋体" w:hint="default"/>
                <w:b/>
                <w:bCs/>
                <w:sz w:val="18"/>
                <w:szCs w:val="18"/>
              </w:rPr>
              <w:t>股份增</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w:t>
            </w:r>
            <w:r>
              <w:rPr>
                <w:rFonts w:ascii="宋体" w:hAnsi="宋体" w:cs="宋体" w:eastAsia="宋体" w:hint="default"/>
                <w:sz w:val="18"/>
                <w:szCs w:val="18"/>
              </w:rPr>
            </w:r>
          </w:p>
        </w:tc>
        <w:tc>
          <w:tcPr>
            <w:tcW w:w="157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17"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254"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荣泳霖</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62</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z w:val="18"/>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576" w:type="dxa"/>
            <w:tcBorders>
              <w:top w:val="single" w:sz="6" w:space="0" w:color="000000"/>
              <w:left w:val="single" w:sz="6" w:space="0" w:color="000000"/>
              <w:bottom w:val="single" w:sz="6" w:space="0" w:color="000000"/>
              <w:right w:val="single" w:sz="12" w:space="0" w:color="000000"/>
            </w:tcBorders>
          </w:tcPr>
          <w:p>
            <w:pPr/>
          </w:p>
        </w:tc>
      </w:tr>
      <w:tr>
        <w:trPr>
          <w:trHeight w:val="736"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陆致成</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hanging="1"/>
              <w:jc w:val="left"/>
              <w:rPr>
                <w:rFonts w:ascii="宋体" w:hAnsi="宋体" w:cs="宋体" w:eastAsia="宋体" w:hint="default"/>
                <w:sz w:val="18"/>
                <w:szCs w:val="18"/>
              </w:rPr>
            </w:pPr>
            <w:r>
              <w:rPr>
                <w:rFonts w:ascii="宋体" w:hAnsi="宋体" w:cs="宋体" w:eastAsia="宋体" w:hint="default"/>
                <w:spacing w:val="-12"/>
                <w:sz w:val="18"/>
                <w:szCs w:val="18"/>
              </w:rPr>
              <w:t>副董事长、总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60</w:t>
            </w:r>
            <w:r>
              <w:rPr>
                <w:rFonts w:ascii="宋体"/>
                <w:sz w:val="18"/>
              </w:rPr>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spacing w:val="-15"/>
                <w:sz w:val="18"/>
              </w:rPr>
              <w:t>143,000</w:t>
            </w:r>
            <w:r>
              <w:rPr>
                <w:rFonts w:ascii="宋体"/>
                <w:sz w:val="18"/>
              </w:rPr>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238,509</w:t>
            </w:r>
            <w:r>
              <w:rPr>
                <w:rFonts w:ascii="宋体"/>
                <w:sz w:val="18"/>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95,509</w:t>
            </w:r>
            <w:r>
              <w:rPr>
                <w:rFonts w:ascii="宋体"/>
                <w:sz w:val="18"/>
              </w:rPr>
            </w:r>
          </w:p>
        </w:tc>
        <w:tc>
          <w:tcPr>
            <w:tcW w:w="157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91"/>
              <w:jc w:val="both"/>
              <w:rPr>
                <w:rFonts w:ascii="宋体" w:hAnsi="宋体" w:cs="宋体" w:eastAsia="宋体" w:hint="default"/>
                <w:sz w:val="18"/>
                <w:szCs w:val="18"/>
              </w:rPr>
            </w:pPr>
            <w:r>
              <w:rPr>
                <w:rFonts w:ascii="宋体" w:hAnsi="宋体" w:cs="宋体" w:eastAsia="宋体" w:hint="default"/>
                <w:spacing w:val="-11"/>
                <w:sz w:val="18"/>
                <w:szCs w:val="18"/>
              </w:rPr>
              <w:t>参与公司配股、资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3"/>
                <w:sz w:val="18"/>
                <w:szCs w:val="18"/>
              </w:rPr>
              <w:t>本公积转增以及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二级市场购入</w:t>
            </w:r>
          </w:p>
        </w:tc>
      </w:tr>
      <w:tr>
        <w:trPr>
          <w:trHeight w:val="254"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马二恩</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女</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61</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z w:val="18"/>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576"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周立业</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45</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z w:val="18"/>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576"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程凤朝</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49</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z w:val="18"/>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576"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陈金占</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56</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z w:val="18"/>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576"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夏  斌</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57</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z w:val="18"/>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576"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赵纯均</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67</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z w:val="18"/>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576"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秦  蓬</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34</w:t>
            </w:r>
            <w:r>
              <w:rPr>
                <w:rFonts w:ascii="宋体"/>
                <w:sz w:val="18"/>
              </w:rPr>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z w:val="18"/>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576"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刘  刚</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45</w:t>
            </w:r>
            <w:r>
              <w:rPr>
                <w:rFonts w:ascii="宋体"/>
                <w:sz w:val="18"/>
              </w:rPr>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z w:val="18"/>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576"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刘天民</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47</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z w:val="18"/>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576"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李吉生</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43</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pacing w:val="-12"/>
                <w:sz w:val="18"/>
              </w:rPr>
              <w:t>2,760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pacing w:val="-12"/>
                <w:sz w:val="18"/>
              </w:rPr>
              <w:t>4,306</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pacing w:val="-12"/>
                <w:sz w:val="18"/>
              </w:rPr>
              <w:t>1,546</w:t>
            </w:r>
          </w:p>
        </w:tc>
        <w:tc>
          <w:tcPr>
            <w:tcW w:w="157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91"/>
              <w:jc w:val="left"/>
              <w:rPr>
                <w:rFonts w:ascii="宋体" w:hAnsi="宋体" w:cs="宋体" w:eastAsia="宋体" w:hint="default"/>
                <w:sz w:val="18"/>
                <w:szCs w:val="18"/>
              </w:rPr>
            </w:pPr>
            <w:r>
              <w:rPr>
                <w:rFonts w:ascii="宋体" w:hAnsi="宋体" w:cs="宋体" w:eastAsia="宋体" w:hint="default"/>
                <w:spacing w:val="-11"/>
                <w:sz w:val="18"/>
                <w:szCs w:val="18"/>
              </w:rPr>
              <w:t>参与公司配股、资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本公积转增</w:t>
            </w:r>
          </w:p>
        </w:tc>
      </w:tr>
      <w:tr>
        <w:trPr>
          <w:trHeight w:val="254"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李健航</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40</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pacing w:val="-12"/>
                <w:sz w:val="18"/>
              </w:rPr>
              <w:t>3,519</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pacing w:val="-12"/>
                <w:sz w:val="18"/>
              </w:rPr>
              <w:t>4,575</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pacing w:val="-12"/>
                <w:sz w:val="18"/>
              </w:rPr>
              <w:t>1,056</w:t>
            </w:r>
          </w:p>
        </w:tc>
        <w:tc>
          <w:tcPr>
            <w:tcW w:w="1576" w:type="dxa"/>
            <w:tcBorders>
              <w:top w:val="single" w:sz="6" w:space="0" w:color="000000"/>
              <w:left w:val="single" w:sz="6" w:space="0" w:color="000000"/>
              <w:bottom w:val="single" w:sz="6" w:space="0" w:color="000000"/>
              <w:right w:val="single" w:sz="12"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资本公积转增</w:t>
            </w:r>
          </w:p>
        </w:tc>
      </w:tr>
      <w:tr>
        <w:trPr>
          <w:trHeight w:val="256"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张宇宙</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47</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5"/>
              <w:jc w:val="right"/>
              <w:rPr>
                <w:rFonts w:ascii="宋体" w:hAnsi="宋体" w:cs="宋体" w:eastAsia="宋体" w:hint="default"/>
                <w:sz w:val="18"/>
                <w:szCs w:val="18"/>
              </w:rPr>
            </w:pPr>
            <w:r>
              <w:rPr>
                <w:rFonts w:ascii="宋体"/>
                <w:sz w:val="18"/>
              </w:rPr>
              <w:t>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20,000</w:t>
            </w:r>
            <w:r>
              <w:rPr>
                <w:rFonts w:ascii="宋体"/>
                <w:sz w:val="18"/>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20,000</w:t>
            </w:r>
            <w:r>
              <w:rPr>
                <w:rFonts w:ascii="宋体"/>
                <w:sz w:val="18"/>
              </w:rPr>
            </w:r>
          </w:p>
        </w:tc>
        <w:tc>
          <w:tcPr>
            <w:tcW w:w="1576" w:type="dxa"/>
            <w:tcBorders>
              <w:top w:val="single" w:sz="6" w:space="0" w:color="000000"/>
              <w:left w:val="single" w:sz="6" w:space="0" w:color="000000"/>
              <w:bottom w:val="single" w:sz="6" w:space="0" w:color="000000"/>
              <w:right w:val="single" w:sz="12"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二级市场购入</w:t>
            </w:r>
          </w:p>
        </w:tc>
      </w:tr>
      <w:tr>
        <w:trPr>
          <w:trHeight w:val="494" w:hRule="exact"/>
        </w:trPr>
        <w:tc>
          <w:tcPr>
            <w:tcW w:w="853"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孙  岷</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hanging="1"/>
              <w:jc w:val="left"/>
              <w:rPr>
                <w:rFonts w:ascii="宋体" w:hAnsi="宋体" w:cs="宋体" w:eastAsia="宋体" w:hint="default"/>
                <w:sz w:val="18"/>
                <w:szCs w:val="18"/>
              </w:rPr>
            </w:pPr>
            <w:r>
              <w:rPr>
                <w:rFonts w:ascii="宋体" w:hAnsi="宋体" w:cs="宋体" w:eastAsia="宋体" w:hint="default"/>
                <w:spacing w:val="-12"/>
                <w:sz w:val="18"/>
                <w:szCs w:val="18"/>
              </w:rPr>
              <w:t>副总裁、董事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会秘书</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9"/>
              <w:jc w:val="center"/>
              <w:rPr>
                <w:rFonts w:ascii="宋体" w:hAnsi="宋体" w:cs="宋体" w:eastAsia="宋体" w:hint="default"/>
                <w:sz w:val="18"/>
                <w:szCs w:val="18"/>
              </w:rPr>
            </w:pPr>
            <w:r>
              <w:rPr>
                <w:rFonts w:ascii="宋体" w:hAnsi="宋体" w:cs="宋体" w:eastAsia="宋体" w:hint="default"/>
                <w:sz w:val="18"/>
                <w:szCs w:val="18"/>
              </w:rPr>
              <w:t>男</w:t>
            </w:r>
          </w:p>
        </w:tc>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41</w:t>
            </w:r>
            <w:r>
              <w:rPr>
                <w:rFonts w:ascii="宋体"/>
                <w:sz w:val="18"/>
              </w:rPr>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spacing w:val="-15"/>
                <w:sz w:val="18"/>
              </w:rPr>
              <w:t>14,300</w:t>
            </w:r>
            <w:r>
              <w:rPr>
                <w:rFonts w:ascii="宋体"/>
                <w:sz w:val="18"/>
              </w:rPr>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22,308</w:t>
            </w:r>
            <w:r>
              <w:rPr>
                <w:rFonts w:ascii="宋体"/>
                <w:sz w:val="18"/>
              </w:rPr>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3"/>
              <w:jc w:val="right"/>
              <w:rPr>
                <w:rFonts w:ascii="宋体" w:hAnsi="宋体" w:cs="宋体" w:eastAsia="宋体" w:hint="default"/>
                <w:sz w:val="18"/>
                <w:szCs w:val="18"/>
              </w:rPr>
            </w:pPr>
            <w:r>
              <w:rPr>
                <w:rFonts w:ascii="宋体"/>
                <w:spacing w:val="-12"/>
                <w:sz w:val="18"/>
              </w:rPr>
              <w:t>8,008</w:t>
            </w:r>
          </w:p>
        </w:tc>
        <w:tc>
          <w:tcPr>
            <w:tcW w:w="157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91"/>
              <w:jc w:val="left"/>
              <w:rPr>
                <w:rFonts w:ascii="宋体" w:hAnsi="宋体" w:cs="宋体" w:eastAsia="宋体" w:hint="default"/>
                <w:sz w:val="18"/>
                <w:szCs w:val="18"/>
              </w:rPr>
            </w:pPr>
            <w:r>
              <w:rPr>
                <w:rFonts w:ascii="宋体" w:hAnsi="宋体" w:cs="宋体" w:eastAsia="宋体" w:hint="default"/>
                <w:spacing w:val="-11"/>
                <w:sz w:val="18"/>
                <w:szCs w:val="18"/>
              </w:rPr>
              <w:t>参与公司配股、资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本公积转增</w:t>
            </w:r>
          </w:p>
        </w:tc>
      </w:tr>
      <w:tr>
        <w:trPr>
          <w:trHeight w:val="263" w:hRule="exact"/>
        </w:trPr>
        <w:tc>
          <w:tcPr>
            <w:tcW w:w="853"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6"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z w:val="18"/>
              </w:rPr>
              <w:t>/</w:t>
            </w:r>
          </w:p>
        </w:tc>
        <w:tc>
          <w:tcPr>
            <w:tcW w:w="487"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179"/>
              <w:jc w:val="center"/>
              <w:rPr>
                <w:rFonts w:ascii="宋体" w:hAnsi="宋体" w:cs="宋体" w:eastAsia="宋体" w:hint="default"/>
                <w:sz w:val="18"/>
                <w:szCs w:val="18"/>
              </w:rPr>
            </w:pPr>
            <w:r>
              <w:rPr>
                <w:rFonts w:ascii="宋体"/>
                <w:sz w:val="18"/>
              </w:rPr>
              <w:t>/</w:t>
            </w:r>
          </w:p>
        </w:tc>
        <w:tc>
          <w:tcPr>
            <w:tcW w:w="486"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z w:val="18"/>
              </w:rPr>
              <w:t>/</w:t>
            </w:r>
          </w:p>
        </w:tc>
        <w:tc>
          <w:tcPr>
            <w:tcW w:w="1031"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z w:val="18"/>
              </w:rPr>
              <w:t>/</w:t>
            </w:r>
          </w:p>
        </w:tc>
        <w:tc>
          <w:tcPr>
            <w:tcW w:w="1069"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z w:val="18"/>
              </w:rPr>
              <w:t>/</w:t>
            </w:r>
          </w:p>
        </w:tc>
        <w:tc>
          <w:tcPr>
            <w:tcW w:w="946"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spacing w:val="-15"/>
                <w:sz w:val="18"/>
              </w:rPr>
              <w:t>163,579</w:t>
            </w:r>
            <w:r>
              <w:rPr>
                <w:rFonts w:ascii="宋体"/>
                <w:sz w:val="18"/>
              </w:rPr>
            </w:r>
          </w:p>
        </w:tc>
        <w:tc>
          <w:tcPr>
            <w:tcW w:w="848"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289,698</w:t>
            </w:r>
            <w:r>
              <w:rPr>
                <w:rFonts w:ascii="宋体"/>
                <w:sz w:val="18"/>
              </w:rPr>
            </w:r>
          </w:p>
        </w:tc>
        <w:tc>
          <w:tcPr>
            <w:tcW w:w="895"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126,119</w:t>
            </w:r>
            <w:r>
              <w:rPr>
                <w:rFonts w:ascii="宋体"/>
                <w:sz w:val="18"/>
              </w:rPr>
            </w:r>
          </w:p>
        </w:tc>
        <w:tc>
          <w:tcPr>
            <w:tcW w:w="1576" w:type="dxa"/>
            <w:tcBorders>
              <w:top w:val="single" w:sz="6" w:space="0" w:color="000000"/>
              <w:left w:val="single" w:sz="6" w:space="0" w:color="000000"/>
              <w:bottom w:val="single" w:sz="12" w:space="0" w:color="000000"/>
              <w:right w:val="single" w:sz="12"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2"/>
        <w:spacing w:line="240" w:lineRule="auto" w:before="13"/>
        <w:ind w:right="107"/>
        <w:jc w:val="left"/>
        <w:rPr>
          <w:b w:val="0"/>
          <w:bCs w:val="0"/>
        </w:rPr>
      </w:pPr>
      <w:r>
        <w:rPr/>
        <w:t>(二)董事、监事、高级管理人员最近五年的主要工作经历</w:t>
      </w:r>
      <w:r>
        <w:rPr>
          <w:b w:val="0"/>
          <w:bCs w:val="0"/>
        </w:rPr>
      </w:r>
    </w:p>
    <w:p>
      <w:pPr>
        <w:spacing w:line="240" w:lineRule="auto" w:before="4"/>
        <w:rPr>
          <w:rFonts w:ascii="宋体" w:hAnsi="宋体" w:cs="宋体" w:eastAsia="宋体" w:hint="default"/>
          <w:b/>
          <w:bCs/>
          <w:sz w:val="24"/>
          <w:szCs w:val="24"/>
        </w:rPr>
      </w:pPr>
    </w:p>
    <w:p>
      <w:pPr>
        <w:pStyle w:val="BodyText"/>
        <w:spacing w:line="237" w:lineRule="auto"/>
        <w:ind w:left="238" w:right="107"/>
        <w:jc w:val="left"/>
      </w:pPr>
      <w:r>
        <w:rPr>
          <w:rFonts w:ascii="宋体" w:hAnsi="宋体" w:cs="宋体" w:eastAsia="宋体" w:hint="default"/>
          <w:b/>
          <w:bCs/>
        </w:rPr>
        <w:t>荣泳霖先生</w:t>
      </w:r>
      <w:r>
        <w:rPr/>
        <w:t>，62</w:t>
      </w:r>
      <w:r>
        <w:rPr>
          <w:spacing w:val="-51"/>
        </w:rPr>
        <w:t> </w:t>
      </w:r>
      <w:r>
        <w:rPr/>
        <w:t>岁，研究员，毕业于清华大学化学系。2007</w:t>
      </w:r>
      <w:r>
        <w:rPr>
          <w:spacing w:val="-51"/>
        </w:rPr>
        <w:t> </w:t>
      </w:r>
      <w:r>
        <w:rPr/>
        <w:t>年</w:t>
      </w:r>
      <w:r>
        <w:rPr>
          <w:spacing w:val="-51"/>
        </w:rPr>
        <w:t> </w:t>
      </w:r>
      <w:r>
        <w:rPr/>
        <w:t>5</w:t>
      </w:r>
      <w:r>
        <w:rPr>
          <w:spacing w:val="-53"/>
        </w:rPr>
        <w:t> </w:t>
      </w:r>
      <w:r>
        <w:rPr/>
        <w:t>月</w:t>
      </w:r>
      <w:r>
        <w:rPr>
          <w:spacing w:val="-51"/>
        </w:rPr>
        <w:t> </w:t>
      </w:r>
      <w:r>
        <w:rPr/>
        <w:t>11</w:t>
      </w:r>
      <w:r>
        <w:rPr>
          <w:spacing w:val="-51"/>
        </w:rPr>
        <w:t> </w:t>
      </w:r>
      <w:r>
        <w:rPr/>
        <w:t>日至报告期末，</w:t>
      </w:r>
      <w:r>
        <w:rPr>
          <w:spacing w:val="-1"/>
        </w:rPr>
        <w:t> </w:t>
      </w:r>
      <w:r>
        <w:rPr>
          <w:spacing w:val="4"/>
        </w:rPr>
        <w:t>任公司第四届董事会董事长之职。1998年9</w:t>
      </w:r>
      <w:r>
        <w:rPr>
          <w:spacing w:val="-58"/>
        </w:rPr>
        <w:t> </w:t>
      </w:r>
      <w:r>
        <w:rPr/>
        <w:t>月至</w:t>
      </w:r>
      <w:r>
        <w:rPr>
          <w:spacing w:val="-58"/>
        </w:rPr>
        <w:t> </w:t>
      </w:r>
      <w:r>
        <w:rPr>
          <w:spacing w:val="20"/>
        </w:rPr>
        <w:t>2006年3</w:t>
      </w:r>
      <w:r>
        <w:rPr>
          <w:spacing w:val="-58"/>
        </w:rPr>
        <w:t> </w:t>
      </w:r>
      <w:r>
        <w:rPr>
          <w:spacing w:val="-6"/>
        </w:rPr>
        <w:t>月，任清华大学校长助理、清</w:t>
      </w:r>
      <w:r>
        <w:rPr>
          <w:spacing w:val="-115"/>
        </w:rPr>
        <w:t> </w:t>
      </w:r>
      <w:r>
        <w:rPr>
          <w:spacing w:val="-115"/>
        </w:rPr>
      </w:r>
      <w:r>
        <w:rPr/>
        <w:t>华控股有限公司董事长。2006</w:t>
      </w:r>
      <w:r>
        <w:rPr>
          <w:spacing w:val="-53"/>
        </w:rPr>
        <w:t> </w:t>
      </w:r>
      <w:r>
        <w:rPr/>
        <w:t>年</w:t>
      </w:r>
      <w:r>
        <w:rPr>
          <w:spacing w:val="-53"/>
        </w:rPr>
        <w:t> </w:t>
      </w:r>
      <w:r>
        <w:rPr/>
        <w:t>3</w:t>
      </w:r>
      <w:r>
        <w:rPr>
          <w:spacing w:val="-53"/>
        </w:rPr>
        <w:t> </w:t>
      </w:r>
      <w:r>
        <w:rPr/>
        <w:t>月至报告期末，任清华大学校务委员会副主任、清华</w:t>
      </w:r>
      <w:r>
        <w:rPr/>
        <w:t> 大学经营性资产管理办公室主任。1997</w:t>
      </w:r>
      <w:r>
        <w:rPr>
          <w:spacing w:val="-67"/>
        </w:rPr>
        <w:t> </w:t>
      </w:r>
      <w:r>
        <w:rPr/>
        <w:t>年</w:t>
      </w:r>
      <w:r>
        <w:rPr>
          <w:spacing w:val="-67"/>
        </w:rPr>
        <w:t> </w:t>
      </w:r>
      <w:r>
        <w:rPr/>
        <w:t>6</w:t>
      </w:r>
      <w:r>
        <w:rPr>
          <w:spacing w:val="-67"/>
        </w:rPr>
        <w:t> </w:t>
      </w:r>
      <w:r>
        <w:rPr>
          <w:spacing w:val="-4"/>
        </w:rPr>
        <w:t>月至报告期末，历任公司副董事长、董事长。</w:t>
      </w:r>
      <w:r>
        <w:rPr/>
        <w:t> 在清华大学领取薪金，不在本公司受领年薪。在其他单位任职或兼职情况：</w:t>
      </w:r>
    </w:p>
    <w:p>
      <w:pPr>
        <w:spacing w:line="240" w:lineRule="auto" w:before="8"/>
        <w:rPr>
          <w:rFonts w:ascii="宋体" w:hAnsi="宋体" w:cs="宋体" w:eastAsia="宋体" w:hint="default"/>
          <w:sz w:val="26"/>
          <w:szCs w:val="26"/>
        </w:rPr>
      </w:pPr>
    </w:p>
    <w:tbl>
      <w:tblPr>
        <w:tblW w:w="0" w:type="auto"/>
        <w:jc w:val="left"/>
        <w:tblInd w:w="904" w:type="dxa"/>
        <w:tblLayout w:type="fixed"/>
        <w:tblCellMar>
          <w:top w:w="0" w:type="dxa"/>
          <w:left w:w="0" w:type="dxa"/>
          <w:bottom w:w="0" w:type="dxa"/>
          <w:right w:w="0" w:type="dxa"/>
        </w:tblCellMar>
        <w:tblLook w:val="01E0"/>
      </w:tblPr>
      <w:tblGrid>
        <w:gridCol w:w="4223"/>
        <w:gridCol w:w="1711"/>
        <w:gridCol w:w="1903"/>
      </w:tblGrid>
      <w:tr>
        <w:trPr>
          <w:trHeight w:val="390" w:hRule="exact"/>
        </w:trPr>
        <w:tc>
          <w:tcPr>
            <w:tcW w:w="4223"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71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903"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397" w:hRule="exact"/>
        </w:trPr>
        <w:tc>
          <w:tcPr>
            <w:tcW w:w="422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7"/>
              <w:ind w:left="93" w:right="0"/>
              <w:jc w:val="left"/>
              <w:rPr>
                <w:rFonts w:ascii="宋体" w:hAnsi="宋体" w:cs="宋体" w:eastAsia="宋体" w:hint="default"/>
                <w:sz w:val="21"/>
                <w:szCs w:val="21"/>
              </w:rPr>
            </w:pPr>
            <w:r>
              <w:rPr>
                <w:rFonts w:ascii="宋体" w:hAnsi="宋体" w:cs="宋体" w:eastAsia="宋体" w:hint="default"/>
                <w:sz w:val="21"/>
                <w:szCs w:val="21"/>
              </w:rPr>
              <w:t>诚志股份有限公司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528"/>
              <w:jc w:val="right"/>
              <w:rPr>
                <w:rFonts w:ascii="宋体" w:hAnsi="宋体" w:cs="宋体" w:eastAsia="宋体" w:hint="default"/>
                <w:sz w:val="21"/>
                <w:szCs w:val="21"/>
              </w:rPr>
            </w:pPr>
            <w:r>
              <w:rPr>
                <w:rFonts w:ascii="宋体" w:hAnsi="宋体" w:cs="宋体" w:eastAsia="宋体" w:hint="default"/>
                <w:sz w:val="21"/>
                <w:szCs w:val="21"/>
              </w:rPr>
              <w:t>董事长</w:t>
            </w:r>
          </w:p>
        </w:tc>
        <w:tc>
          <w:tcPr>
            <w:tcW w:w="190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7"/>
              <w:ind w:left="521"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397" w:hRule="exact"/>
        </w:trPr>
        <w:tc>
          <w:tcPr>
            <w:tcW w:w="422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7"/>
              <w:ind w:left="93" w:right="0"/>
              <w:jc w:val="left"/>
              <w:rPr>
                <w:rFonts w:ascii="宋体" w:hAnsi="宋体" w:cs="宋体" w:eastAsia="宋体" w:hint="default"/>
                <w:sz w:val="21"/>
                <w:szCs w:val="21"/>
              </w:rPr>
            </w:pPr>
            <w:r>
              <w:rPr>
                <w:rFonts w:ascii="宋体" w:hAnsi="宋体" w:cs="宋体" w:eastAsia="宋体" w:hint="default"/>
                <w:sz w:val="21"/>
                <w:szCs w:val="21"/>
              </w:rPr>
              <w:t>清华大学出版社</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528"/>
              <w:jc w:val="right"/>
              <w:rPr>
                <w:rFonts w:ascii="宋体" w:hAnsi="宋体" w:cs="宋体" w:eastAsia="宋体" w:hint="default"/>
                <w:sz w:val="21"/>
                <w:szCs w:val="21"/>
              </w:rPr>
            </w:pPr>
            <w:r>
              <w:rPr>
                <w:rFonts w:ascii="宋体" w:hAnsi="宋体" w:cs="宋体" w:eastAsia="宋体" w:hint="default"/>
                <w:sz w:val="21"/>
                <w:szCs w:val="21"/>
              </w:rPr>
              <w:t>董事长</w:t>
            </w:r>
          </w:p>
        </w:tc>
        <w:tc>
          <w:tcPr>
            <w:tcW w:w="190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7"/>
              <w:ind w:left="521"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03" w:hRule="exact"/>
        </w:trPr>
        <w:tc>
          <w:tcPr>
            <w:tcW w:w="4223"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7"/>
              <w:ind w:left="93" w:right="0"/>
              <w:jc w:val="left"/>
              <w:rPr>
                <w:rFonts w:ascii="宋体" w:hAnsi="宋体" w:cs="宋体" w:eastAsia="宋体" w:hint="default"/>
                <w:sz w:val="21"/>
                <w:szCs w:val="21"/>
              </w:rPr>
            </w:pPr>
            <w:r>
              <w:rPr>
                <w:rFonts w:ascii="宋体" w:hAnsi="宋体" w:cs="宋体" w:eastAsia="宋体" w:hint="default"/>
                <w:sz w:val="21"/>
                <w:szCs w:val="21"/>
              </w:rPr>
              <w:t>同方威视技术股份有限公司</w:t>
            </w:r>
          </w:p>
        </w:tc>
        <w:tc>
          <w:tcPr>
            <w:tcW w:w="17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6"/>
              <w:ind w:right="528"/>
              <w:jc w:val="right"/>
              <w:rPr>
                <w:rFonts w:ascii="宋体" w:hAnsi="宋体" w:cs="宋体" w:eastAsia="宋体" w:hint="default"/>
                <w:sz w:val="21"/>
                <w:szCs w:val="21"/>
              </w:rPr>
            </w:pPr>
            <w:r>
              <w:rPr>
                <w:rFonts w:ascii="宋体" w:hAnsi="宋体" w:cs="宋体" w:eastAsia="宋体" w:hint="default"/>
                <w:sz w:val="21"/>
                <w:szCs w:val="21"/>
              </w:rPr>
              <w:t>董事长</w:t>
            </w:r>
          </w:p>
        </w:tc>
        <w:tc>
          <w:tcPr>
            <w:tcW w:w="1903"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7"/>
              <w:ind w:left="206" w:right="0"/>
              <w:jc w:val="left"/>
              <w:rPr>
                <w:rFonts w:ascii="宋体" w:hAnsi="宋体" w:cs="宋体" w:eastAsia="宋体" w:hint="default"/>
                <w:sz w:val="21"/>
                <w:szCs w:val="21"/>
              </w:rPr>
            </w:pPr>
            <w:r>
              <w:rPr>
                <w:rFonts w:ascii="宋体" w:hAnsi="宋体" w:cs="宋体" w:eastAsia="宋体" w:hint="default"/>
                <w:sz w:val="21"/>
                <w:szCs w:val="21"/>
              </w:rPr>
              <w:t>公司控股子公司</w:t>
            </w:r>
          </w:p>
        </w:tc>
      </w:tr>
    </w:tbl>
    <w:p>
      <w:pPr>
        <w:spacing w:line="240" w:lineRule="auto" w:before="10"/>
        <w:rPr>
          <w:rFonts w:ascii="宋体" w:hAnsi="宋体" w:cs="宋体" w:eastAsia="宋体" w:hint="default"/>
          <w:sz w:val="18"/>
          <w:szCs w:val="18"/>
        </w:rPr>
      </w:pPr>
    </w:p>
    <w:p>
      <w:pPr>
        <w:pStyle w:val="BodyText"/>
        <w:spacing w:line="237" w:lineRule="auto" w:before="28"/>
        <w:ind w:left="238" w:right="240"/>
        <w:jc w:val="both"/>
      </w:pPr>
      <w:r>
        <w:rPr>
          <w:rFonts w:ascii="宋体" w:hAnsi="宋体" w:cs="宋体" w:eastAsia="宋体" w:hint="default"/>
          <w:b/>
          <w:bCs/>
        </w:rPr>
        <w:t>陆致成先生</w:t>
      </w:r>
      <w:r>
        <w:rPr/>
        <w:t>，60</w:t>
      </w:r>
      <w:r>
        <w:rPr>
          <w:spacing w:val="-45"/>
        </w:rPr>
        <w:t> </w:t>
      </w:r>
      <w:r>
        <w:rPr>
          <w:spacing w:val="8"/>
        </w:rPr>
        <w:t>岁，研究员，毕业于清华大学热能工程系。2007年5月</w:t>
      </w:r>
      <w:r>
        <w:rPr>
          <w:spacing w:val="-45"/>
        </w:rPr>
        <w:t> </w:t>
      </w:r>
      <w:r>
        <w:rPr/>
        <w:t>11</w:t>
      </w:r>
      <w:r>
        <w:rPr>
          <w:spacing w:val="-46"/>
        </w:rPr>
        <w:t> </w:t>
      </w:r>
      <w:r>
        <w:rPr/>
        <w:t>日至报告期</w:t>
      </w:r>
      <w:r>
        <w:rPr/>
        <w:t> </w:t>
      </w:r>
      <w:r>
        <w:rPr>
          <w:spacing w:val="4"/>
        </w:rPr>
        <w:t>末，任公司第四届董事会副董事长兼公司总裁之职。1997年6</w:t>
      </w:r>
      <w:r>
        <w:rPr>
          <w:spacing w:val="-40"/>
        </w:rPr>
        <w:t> </w:t>
      </w:r>
      <w:r>
        <w:rPr/>
        <w:t>月至报告期末，历任公司</w:t>
      </w:r>
      <w:r>
        <w:rPr>
          <w:spacing w:val="-118"/>
        </w:rPr>
        <w:t> </w:t>
      </w:r>
      <w:r>
        <w:rPr>
          <w:spacing w:val="-118"/>
        </w:rPr>
      </w:r>
      <w:r>
        <w:rPr/>
        <w:t>董事兼公司总裁、副董事长兼公司总裁。未在股东单位和除公司子公司以外的其他单位</w:t>
      </w:r>
      <w:r>
        <w:rPr>
          <w:spacing w:val="-47"/>
        </w:rPr>
        <w:t> </w:t>
      </w:r>
      <w:r>
        <w:rPr>
          <w:spacing w:val="-47"/>
        </w:rPr>
      </w:r>
      <w:r>
        <w:rPr/>
        <w:t>任职或兼职。</w:t>
      </w:r>
    </w:p>
    <w:p>
      <w:pPr>
        <w:spacing w:after="0" w:line="237" w:lineRule="auto"/>
        <w:jc w:val="both"/>
        <w:sectPr>
          <w:type w:val="continuous"/>
          <w:pgSz w:w="11910" w:h="16840"/>
          <w:pgMar w:top="1600" w:bottom="2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94"/>
        <w:jc w:val="left"/>
      </w:pPr>
      <w:r>
        <w:rPr>
          <w:rFonts w:ascii="宋体" w:hAnsi="宋体" w:cs="宋体" w:eastAsia="宋体" w:hint="default"/>
          <w:b/>
          <w:bCs/>
        </w:rPr>
        <w:t>马二恩女士，</w:t>
      </w:r>
      <w:r>
        <w:rPr/>
        <w:t>61</w:t>
      </w:r>
      <w:r>
        <w:rPr>
          <w:spacing w:val="-49"/>
        </w:rPr>
        <w:t> </w:t>
      </w:r>
      <w:r>
        <w:rPr/>
        <w:t>岁，研究员，毕业于清华大学冶金系。2007</w:t>
      </w:r>
      <w:r>
        <w:rPr>
          <w:spacing w:val="-49"/>
        </w:rPr>
        <w:t> </w:t>
      </w:r>
      <w:r>
        <w:rPr/>
        <w:t>年</w:t>
      </w:r>
      <w:r>
        <w:rPr>
          <w:spacing w:val="-49"/>
        </w:rPr>
        <w:t> </w:t>
      </w:r>
      <w:r>
        <w:rPr/>
        <w:t>5</w:t>
      </w:r>
      <w:r>
        <w:rPr>
          <w:spacing w:val="-48"/>
        </w:rPr>
        <w:t> </w:t>
      </w:r>
      <w:r>
        <w:rPr/>
        <w:t>月</w:t>
      </w:r>
      <w:r>
        <w:rPr>
          <w:spacing w:val="-49"/>
        </w:rPr>
        <w:t> </w:t>
      </w:r>
      <w:r>
        <w:rPr/>
        <w:t>11</w:t>
      </w:r>
      <w:r>
        <w:rPr>
          <w:spacing w:val="-49"/>
        </w:rPr>
        <w:t> </w:t>
      </w:r>
      <w:r>
        <w:rPr/>
        <w:t>日至报告期末，</w:t>
      </w:r>
      <w:r>
        <w:rPr/>
        <w:t> </w:t>
      </w:r>
      <w:r>
        <w:rPr>
          <w:spacing w:val="-3"/>
        </w:rPr>
        <w:t>任公司第四届董事会董事之职。1992</w:t>
      </w:r>
      <w:r>
        <w:rPr>
          <w:spacing w:val="-60"/>
        </w:rPr>
        <w:t> </w:t>
      </w:r>
      <w:r>
        <w:rPr/>
        <w:t>年</w:t>
      </w:r>
      <w:r>
        <w:rPr>
          <w:spacing w:val="-60"/>
        </w:rPr>
        <w:t> </w:t>
      </w:r>
      <w:r>
        <w:rPr/>
        <w:t>11</w:t>
      </w:r>
      <w:r>
        <w:rPr>
          <w:spacing w:val="-60"/>
        </w:rPr>
        <w:t> </w:t>
      </w:r>
      <w:r>
        <w:rPr/>
        <w:t>月至</w:t>
      </w:r>
      <w:r>
        <w:rPr>
          <w:spacing w:val="-60"/>
        </w:rPr>
        <w:t> </w:t>
      </w:r>
      <w:r>
        <w:rPr/>
        <w:t>1995</w:t>
      </w:r>
      <w:r>
        <w:rPr>
          <w:spacing w:val="-60"/>
        </w:rPr>
        <w:t> </w:t>
      </w:r>
      <w:r>
        <w:rPr/>
        <w:t>年</w:t>
      </w:r>
      <w:r>
        <w:rPr>
          <w:spacing w:val="-60"/>
        </w:rPr>
        <w:t> </w:t>
      </w:r>
      <w:r>
        <w:rPr/>
        <w:t>11</w:t>
      </w:r>
      <w:r>
        <w:rPr>
          <w:spacing w:val="-60"/>
        </w:rPr>
        <w:t> </w:t>
      </w:r>
      <w:r>
        <w:rPr>
          <w:spacing w:val="-4"/>
        </w:rPr>
        <w:t>月，任清华大学产业党委副书</w:t>
      </w:r>
      <w:r>
        <w:rPr/>
        <w:t> </w:t>
      </w:r>
      <w:r>
        <w:rPr>
          <w:spacing w:val="-10"/>
        </w:rPr>
        <w:t>记。1995</w:t>
      </w:r>
      <w:r>
        <w:rPr>
          <w:spacing w:val="-50"/>
        </w:rPr>
        <w:t> </w:t>
      </w:r>
      <w:r>
        <w:rPr/>
        <w:t>年</w:t>
      </w:r>
      <w:r>
        <w:rPr>
          <w:spacing w:val="-50"/>
        </w:rPr>
        <w:t> </w:t>
      </w:r>
      <w:r>
        <w:rPr/>
        <w:t>11</w:t>
      </w:r>
      <w:r>
        <w:rPr>
          <w:spacing w:val="-50"/>
        </w:rPr>
        <w:t> </w:t>
      </w:r>
      <w:r>
        <w:rPr>
          <w:spacing w:val="-6"/>
        </w:rPr>
        <w:t>月至报告期末，历任清华控股有限公司副董事长、党委书记、党委副书记。</w:t>
      </w:r>
      <w:r>
        <w:rPr>
          <w:spacing w:val="-118"/>
        </w:rPr>
        <w:t> </w:t>
      </w:r>
      <w:r>
        <w:rPr>
          <w:spacing w:val="-118"/>
        </w:rPr>
      </w:r>
      <w:r>
        <w:rPr/>
        <w:t>在清华控股有限公司领取薪金，不在本公司受领年薪。除在本公司控股子公司任职外，</w:t>
      </w:r>
      <w:r>
        <w:rPr>
          <w:spacing w:val="-47"/>
        </w:rPr>
        <w:t> </w:t>
      </w:r>
      <w:r>
        <w:rPr>
          <w:spacing w:val="-47"/>
        </w:rPr>
      </w:r>
      <w:r>
        <w:rPr/>
        <w:t>在其他单位任职或兼职情况：</w:t>
      </w:r>
    </w:p>
    <w:p>
      <w:pPr>
        <w:spacing w:line="240" w:lineRule="auto" w:before="8"/>
        <w:rPr>
          <w:rFonts w:ascii="宋体" w:hAnsi="宋体" w:cs="宋体" w:eastAsia="宋体" w:hint="default"/>
          <w:sz w:val="26"/>
          <w:szCs w:val="26"/>
        </w:rPr>
      </w:pPr>
    </w:p>
    <w:tbl>
      <w:tblPr>
        <w:tblW w:w="0" w:type="auto"/>
        <w:jc w:val="left"/>
        <w:tblInd w:w="745" w:type="dxa"/>
        <w:tblLayout w:type="fixed"/>
        <w:tblCellMar>
          <w:top w:w="0" w:type="dxa"/>
          <w:left w:w="0" w:type="dxa"/>
          <w:bottom w:w="0" w:type="dxa"/>
          <w:right w:w="0" w:type="dxa"/>
        </w:tblCellMar>
        <w:tblLook w:val="01E0"/>
      </w:tblPr>
      <w:tblGrid>
        <w:gridCol w:w="4193"/>
        <w:gridCol w:w="2275"/>
        <w:gridCol w:w="1486"/>
      </w:tblGrid>
      <w:tr>
        <w:trPr>
          <w:trHeight w:val="422" w:hRule="exact"/>
        </w:trPr>
        <w:tc>
          <w:tcPr>
            <w:tcW w:w="4193"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2275"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418" w:hRule="exact"/>
        </w:trPr>
        <w:tc>
          <w:tcPr>
            <w:tcW w:w="419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27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5"/>
                <w:sz w:val="21"/>
                <w:szCs w:val="21"/>
              </w:rPr>
              <w:t>副董事长、党委副书记</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股东单位</w:t>
            </w:r>
          </w:p>
        </w:tc>
      </w:tr>
      <w:tr>
        <w:trPr>
          <w:trHeight w:val="422" w:hRule="exact"/>
        </w:trPr>
        <w:tc>
          <w:tcPr>
            <w:tcW w:w="4193"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紫光股份有限公司</w:t>
            </w:r>
          </w:p>
        </w:tc>
        <w:tc>
          <w:tcPr>
            <w:tcW w:w="2275"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6" w:type="dxa"/>
            <w:tcBorders>
              <w:top w:val="single" w:sz="8" w:space="0" w:color="000000"/>
              <w:left w:val="single" w:sz="8" w:space="0" w:color="000000"/>
              <w:bottom w:val="single" w:sz="12"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bl>
    <w:p>
      <w:pPr>
        <w:spacing w:line="240" w:lineRule="auto" w:before="11"/>
        <w:rPr>
          <w:rFonts w:ascii="宋体" w:hAnsi="宋体" w:cs="宋体" w:eastAsia="宋体" w:hint="default"/>
          <w:sz w:val="18"/>
          <w:szCs w:val="18"/>
        </w:rPr>
      </w:pPr>
    </w:p>
    <w:p>
      <w:pPr>
        <w:pStyle w:val="BodyText"/>
        <w:spacing w:line="237" w:lineRule="auto" w:before="28"/>
        <w:ind w:right="220"/>
        <w:jc w:val="both"/>
      </w:pPr>
      <w:r>
        <w:rPr>
          <w:rFonts w:ascii="宋体" w:hAnsi="宋体" w:cs="宋体" w:eastAsia="宋体" w:hint="default"/>
          <w:b/>
          <w:bCs/>
        </w:rPr>
        <w:t>周立业先生，</w:t>
      </w:r>
      <w:r>
        <w:rPr/>
        <w:t>45</w:t>
      </w:r>
      <w:r>
        <w:rPr>
          <w:spacing w:val="-68"/>
        </w:rPr>
        <w:t> </w:t>
      </w:r>
      <w:r>
        <w:rPr/>
        <w:t>岁，研究员，毕业于清华大学物理系，硕士。</w:t>
      </w:r>
      <w:r>
        <w:rPr>
          <w:spacing w:val="-23"/>
        </w:rPr>
        <w:t> </w:t>
      </w:r>
      <w:r>
        <w:rPr>
          <w:spacing w:val="25"/>
        </w:rPr>
        <w:t>2007年5月</w:t>
      </w:r>
      <w:r>
        <w:rPr>
          <w:spacing w:val="-68"/>
        </w:rPr>
        <w:t> </w:t>
      </w:r>
      <w:r>
        <w:rPr/>
        <w:t>11</w:t>
      </w:r>
      <w:r>
        <w:rPr>
          <w:spacing w:val="-68"/>
        </w:rPr>
        <w:t> </w:t>
      </w:r>
      <w:r>
        <w:rPr/>
        <w:t>日至报告</w:t>
      </w:r>
      <w:r>
        <w:rPr/>
        <w:t> </w:t>
      </w:r>
      <w:r>
        <w:rPr>
          <w:spacing w:val="-4"/>
        </w:rPr>
        <w:t>期末，任公司第四届董事会董事之职。1987</w:t>
      </w:r>
      <w:r>
        <w:rPr>
          <w:spacing w:val="-59"/>
        </w:rPr>
        <w:t> </w:t>
      </w:r>
      <w:r>
        <w:rPr/>
        <w:t>年</w:t>
      </w:r>
      <w:r>
        <w:rPr>
          <w:spacing w:val="-57"/>
        </w:rPr>
        <w:t> </w:t>
      </w:r>
      <w:r>
        <w:rPr/>
        <w:t>1</w:t>
      </w:r>
      <w:r>
        <w:rPr>
          <w:spacing w:val="-57"/>
        </w:rPr>
        <w:t> </w:t>
      </w:r>
      <w:r>
        <w:rPr/>
        <w:t>月至</w:t>
      </w:r>
      <w:r>
        <w:rPr>
          <w:spacing w:val="-57"/>
        </w:rPr>
        <w:t> </w:t>
      </w:r>
      <w:r>
        <w:rPr>
          <w:spacing w:val="20"/>
        </w:rPr>
        <w:t>2001年2</w:t>
      </w:r>
      <w:r>
        <w:rPr>
          <w:spacing w:val="-57"/>
        </w:rPr>
        <w:t> </w:t>
      </w:r>
      <w:r>
        <w:rPr>
          <w:spacing w:val="-3"/>
        </w:rPr>
        <w:t>月，任清华大学核研院党</w:t>
      </w:r>
      <w:r>
        <w:rPr/>
        <w:t> </w:t>
      </w:r>
      <w:r>
        <w:rPr>
          <w:spacing w:val="10"/>
        </w:rPr>
        <w:t>委委员等职务；2001年3</w:t>
      </w:r>
      <w:r>
        <w:rPr>
          <w:spacing w:val="-47"/>
        </w:rPr>
        <w:t> </w:t>
      </w:r>
      <w:r>
        <w:rPr/>
        <w:t>月至</w:t>
      </w:r>
      <w:r>
        <w:rPr>
          <w:spacing w:val="-47"/>
        </w:rPr>
        <w:t> </w:t>
      </w:r>
      <w:r>
        <w:rPr>
          <w:spacing w:val="22"/>
        </w:rPr>
        <w:t>2003年8</w:t>
      </w:r>
      <w:r>
        <w:rPr>
          <w:spacing w:val="-47"/>
        </w:rPr>
        <w:t> </w:t>
      </w:r>
      <w:r>
        <w:rPr>
          <w:spacing w:val="6"/>
        </w:rPr>
        <w:t>月，任清华大学核研院副院长；2002年4</w:t>
      </w:r>
      <w:r>
        <w:rPr>
          <w:spacing w:val="-47"/>
        </w:rPr>
        <w:t> </w:t>
      </w:r>
      <w:r>
        <w:rPr/>
        <w:t>月至</w:t>
      </w:r>
      <w:r>
        <w:rPr/>
        <w:t> 2003</w:t>
      </w:r>
      <w:r>
        <w:rPr>
          <w:spacing w:val="-47"/>
        </w:rPr>
        <w:t> </w:t>
      </w:r>
      <w:r>
        <w:rPr/>
        <w:t>年</w:t>
      </w:r>
      <w:r>
        <w:rPr>
          <w:spacing w:val="-47"/>
        </w:rPr>
        <w:t> </w:t>
      </w:r>
      <w:r>
        <w:rPr/>
        <w:t>6</w:t>
      </w:r>
      <w:r>
        <w:rPr>
          <w:spacing w:val="-46"/>
        </w:rPr>
        <w:t> </w:t>
      </w:r>
      <w:r>
        <w:rPr/>
        <w:t>月，兼任内蒙古宏峰实业股份有限公司总经理；2003</w:t>
      </w:r>
      <w:r>
        <w:rPr>
          <w:spacing w:val="-47"/>
        </w:rPr>
        <w:t> </w:t>
      </w:r>
      <w:r>
        <w:rPr/>
        <w:t>年</w:t>
      </w:r>
      <w:r>
        <w:rPr>
          <w:spacing w:val="-47"/>
        </w:rPr>
        <w:t> </w:t>
      </w:r>
      <w:r>
        <w:rPr/>
        <w:t>11</w:t>
      </w:r>
      <w:r>
        <w:rPr>
          <w:spacing w:val="-47"/>
        </w:rPr>
        <w:t> </w:t>
      </w:r>
      <w:r>
        <w:rPr/>
        <w:t>月至报告期末，历</w:t>
      </w:r>
      <w:r>
        <w:rPr/>
        <w:t> 任清华控股有限公司副总裁、董事兼总裁。在清华控股有限公司领取薪金，不在本公司</w:t>
      </w:r>
      <w:r>
        <w:rPr>
          <w:spacing w:val="-47"/>
        </w:rPr>
        <w:t> </w:t>
      </w:r>
      <w:r>
        <w:rPr>
          <w:spacing w:val="-47"/>
        </w:rPr>
      </w:r>
      <w:r>
        <w:rPr/>
        <w:t>受领年薪。在其他单位任职或兼职情况：</w:t>
      </w:r>
    </w:p>
    <w:p>
      <w:pPr>
        <w:spacing w:line="240" w:lineRule="auto" w:before="8"/>
        <w:rPr>
          <w:rFonts w:ascii="宋体" w:hAnsi="宋体" w:cs="宋体" w:eastAsia="宋体" w:hint="default"/>
          <w:sz w:val="26"/>
          <w:szCs w:val="26"/>
        </w:rPr>
      </w:pPr>
    </w:p>
    <w:tbl>
      <w:tblPr>
        <w:tblW w:w="0" w:type="auto"/>
        <w:jc w:val="left"/>
        <w:tblInd w:w="854" w:type="dxa"/>
        <w:tblLayout w:type="fixed"/>
        <w:tblCellMar>
          <w:top w:w="0" w:type="dxa"/>
          <w:left w:w="0" w:type="dxa"/>
          <w:bottom w:w="0" w:type="dxa"/>
          <w:right w:w="0" w:type="dxa"/>
        </w:tblCellMar>
        <w:tblLook w:val="01E0"/>
      </w:tblPr>
      <w:tblGrid>
        <w:gridCol w:w="4539"/>
        <w:gridCol w:w="1711"/>
        <w:gridCol w:w="1486"/>
      </w:tblGrid>
      <w:tr>
        <w:trPr>
          <w:trHeight w:val="422" w:hRule="exact"/>
        </w:trPr>
        <w:tc>
          <w:tcPr>
            <w:tcW w:w="4539"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71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418"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股东单位</w:t>
            </w:r>
          </w:p>
        </w:tc>
      </w:tr>
      <w:tr>
        <w:trPr>
          <w:trHeight w:val="416"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博奥生物有限公司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18"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辽宁省路桥建设有限公司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16"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北京华环电子股份有限公司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18"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浦华控股有限公司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16"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北京华控汇金投资管理有限公司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18"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北京华控汇金投资顾问有限公司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22" w:hRule="exact"/>
        </w:trPr>
        <w:tc>
          <w:tcPr>
            <w:tcW w:w="4539"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河北华控弘屹科技有限公司</w:t>
            </w:r>
          </w:p>
        </w:tc>
        <w:tc>
          <w:tcPr>
            <w:tcW w:w="17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486" w:type="dxa"/>
            <w:tcBorders>
              <w:top w:val="single" w:sz="8" w:space="0" w:color="000000"/>
              <w:left w:val="single" w:sz="8" w:space="0" w:color="000000"/>
              <w:bottom w:val="single" w:sz="12"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bl>
    <w:p>
      <w:pPr>
        <w:spacing w:line="240" w:lineRule="auto" w:before="10"/>
        <w:rPr>
          <w:rFonts w:ascii="宋体" w:hAnsi="宋体" w:cs="宋体" w:eastAsia="宋体" w:hint="default"/>
          <w:sz w:val="18"/>
          <w:szCs w:val="18"/>
        </w:rPr>
      </w:pPr>
    </w:p>
    <w:p>
      <w:pPr>
        <w:pStyle w:val="BodyText"/>
        <w:spacing w:line="237" w:lineRule="auto" w:before="28"/>
        <w:ind w:right="88"/>
        <w:jc w:val="left"/>
      </w:pPr>
      <w:r>
        <w:rPr>
          <w:rFonts w:ascii="宋体" w:hAnsi="宋体" w:cs="宋体" w:eastAsia="宋体" w:hint="default"/>
          <w:b/>
          <w:bCs/>
        </w:rPr>
        <w:t>程凤朝先生</w:t>
      </w:r>
      <w:r>
        <w:rPr/>
        <w:t>，</w:t>
      </w:r>
      <w:r>
        <w:rPr>
          <w:spacing w:val="-19"/>
        </w:rPr>
        <w:t> </w:t>
      </w:r>
      <w:r>
        <w:rPr/>
        <w:t>49</w:t>
      </w:r>
      <w:r>
        <w:rPr>
          <w:spacing w:val="-59"/>
        </w:rPr>
        <w:t> </w:t>
      </w:r>
      <w:r>
        <w:rPr>
          <w:spacing w:val="-3"/>
        </w:rPr>
        <w:t>岁，博士，注册会计师、注册资产评估师，毕业于湖南大学工商管理学</w:t>
      </w:r>
      <w:r>
        <w:rPr>
          <w:spacing w:val="-117"/>
        </w:rPr>
        <w:t> </w:t>
      </w:r>
      <w:r>
        <w:rPr>
          <w:spacing w:val="-117"/>
        </w:rPr>
      </w:r>
      <w:r>
        <w:rPr>
          <w:spacing w:val="7"/>
        </w:rPr>
        <w:t>院管理科学与工程专业。2007年5月</w:t>
      </w:r>
      <w:r>
        <w:rPr>
          <w:spacing w:val="-56"/>
        </w:rPr>
        <w:t> </w:t>
      </w:r>
      <w:r>
        <w:rPr/>
        <w:t>11</w:t>
      </w:r>
      <w:r>
        <w:rPr>
          <w:spacing w:val="-56"/>
        </w:rPr>
        <w:t> </w:t>
      </w:r>
      <w:r>
        <w:rPr>
          <w:spacing w:val="-3"/>
        </w:rPr>
        <w:t>日至报告期末，任公司第四届董事会独立董事之</w:t>
      </w:r>
      <w:r>
        <w:rPr>
          <w:spacing w:val="-112"/>
        </w:rPr>
        <w:t> </w:t>
      </w:r>
      <w:r>
        <w:rPr>
          <w:spacing w:val="-112"/>
        </w:rPr>
      </w:r>
      <w:r>
        <w:rPr>
          <w:spacing w:val="-19"/>
        </w:rPr>
        <w:t>职。2001</w:t>
      </w:r>
      <w:r>
        <w:rPr>
          <w:spacing w:val="-56"/>
        </w:rPr>
        <w:t> </w:t>
      </w:r>
      <w:r>
        <w:rPr/>
        <w:t>年至</w:t>
      </w:r>
      <w:r>
        <w:rPr>
          <w:spacing w:val="-56"/>
        </w:rPr>
        <w:t> </w:t>
      </w:r>
      <w:r>
        <w:rPr>
          <w:spacing w:val="20"/>
        </w:rPr>
        <w:t>2009年1</w:t>
      </w:r>
      <w:r>
        <w:rPr>
          <w:spacing w:val="-56"/>
        </w:rPr>
        <w:t> </w:t>
      </w:r>
      <w:r>
        <w:rPr>
          <w:spacing w:val="-4"/>
        </w:rPr>
        <w:t>月，历任中国长城资产管理公司评估管理部(风险监测部)总经理、</w:t>
      </w:r>
      <w:r>
        <w:rPr/>
        <w:t> </w:t>
      </w:r>
      <w:r>
        <w:rPr>
          <w:spacing w:val="5"/>
        </w:rPr>
        <w:t>天津办事处总经理、发展研究部总经理。2009年1</w:t>
      </w:r>
      <w:r>
        <w:rPr>
          <w:spacing w:val="-49"/>
        </w:rPr>
        <w:t> </w:t>
      </w:r>
      <w:r>
        <w:rPr/>
        <w:t>月，任中国农业银行股份有限公司董</w:t>
      </w:r>
      <w:r>
        <w:rPr>
          <w:spacing w:val="-113"/>
        </w:rPr>
        <w:t> </w:t>
      </w:r>
      <w:r>
        <w:rPr>
          <w:spacing w:val="-113"/>
        </w:rPr>
      </w:r>
      <w:r>
        <w:rPr/>
        <w:t>事。在中国投资有限责任公司领取薪金，不在本公司受领年薪。在其他单位任职情况：</w:t>
      </w:r>
    </w:p>
    <w:p>
      <w:pPr>
        <w:spacing w:line="240" w:lineRule="auto" w:before="8"/>
        <w:rPr>
          <w:rFonts w:ascii="宋体" w:hAnsi="宋体" w:cs="宋体" w:eastAsia="宋体" w:hint="default"/>
          <w:sz w:val="26"/>
          <w:szCs w:val="26"/>
        </w:rPr>
      </w:pPr>
    </w:p>
    <w:tbl>
      <w:tblPr>
        <w:tblW w:w="0" w:type="auto"/>
        <w:jc w:val="left"/>
        <w:tblInd w:w="861" w:type="dxa"/>
        <w:tblLayout w:type="fixed"/>
        <w:tblCellMar>
          <w:top w:w="0" w:type="dxa"/>
          <w:left w:w="0" w:type="dxa"/>
          <w:bottom w:w="0" w:type="dxa"/>
          <w:right w:w="0" w:type="dxa"/>
        </w:tblCellMar>
        <w:tblLook w:val="01E0"/>
      </w:tblPr>
      <w:tblGrid>
        <w:gridCol w:w="4070"/>
        <w:gridCol w:w="2167"/>
        <w:gridCol w:w="1486"/>
      </w:tblGrid>
      <w:tr>
        <w:trPr>
          <w:trHeight w:val="389" w:hRule="exact"/>
        </w:trPr>
        <w:tc>
          <w:tcPr>
            <w:tcW w:w="4070"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2167"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404" w:hRule="exact"/>
        </w:trPr>
        <w:tc>
          <w:tcPr>
            <w:tcW w:w="407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216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sz w:val="18"/>
          <w:szCs w:val="18"/>
        </w:rPr>
      </w:pPr>
    </w:p>
    <w:p>
      <w:pPr>
        <w:pStyle w:val="BodyText"/>
        <w:spacing w:line="310" w:lineRule="exact" w:before="58"/>
        <w:ind w:right="221"/>
        <w:jc w:val="both"/>
      </w:pPr>
      <w:r>
        <w:rPr>
          <w:rFonts w:ascii="宋体" w:hAnsi="宋体" w:cs="宋体" w:eastAsia="宋体" w:hint="default"/>
          <w:b/>
          <w:bCs/>
        </w:rPr>
        <w:t>陈金占先生</w:t>
      </w:r>
      <w:r>
        <w:rPr/>
        <w:t>，56</w:t>
      </w:r>
      <w:r>
        <w:rPr>
          <w:spacing w:val="-48"/>
        </w:rPr>
        <w:t> </w:t>
      </w:r>
      <w:r>
        <w:rPr/>
        <w:t>岁，经济师、律师，毕业于中国人民大学法律系。2007</w:t>
      </w:r>
      <w:r>
        <w:rPr>
          <w:spacing w:val="-48"/>
        </w:rPr>
        <w:t> </w:t>
      </w:r>
      <w:r>
        <w:rPr/>
        <w:t>年</w:t>
      </w:r>
      <w:r>
        <w:rPr>
          <w:spacing w:val="-48"/>
        </w:rPr>
        <w:t> </w:t>
      </w:r>
      <w:r>
        <w:rPr/>
        <w:t>5</w:t>
      </w:r>
      <w:r>
        <w:rPr>
          <w:spacing w:val="-49"/>
        </w:rPr>
        <w:t> </w:t>
      </w:r>
      <w:r>
        <w:rPr/>
        <w:t>月</w:t>
      </w:r>
      <w:r>
        <w:rPr>
          <w:spacing w:val="-48"/>
        </w:rPr>
        <w:t> </w:t>
      </w:r>
      <w:r>
        <w:rPr/>
        <w:t>11</w:t>
      </w:r>
      <w:r>
        <w:rPr>
          <w:spacing w:val="-48"/>
        </w:rPr>
        <w:t> </w:t>
      </w:r>
      <w:r>
        <w:rPr/>
        <w:t>日至</w:t>
      </w:r>
      <w:r>
        <w:rPr/>
        <w:t> </w:t>
      </w:r>
      <w:r>
        <w:rPr>
          <w:spacing w:val="-4"/>
        </w:rPr>
        <w:t>报告期末，任公司第四届董事会独立董事之职。1994</w:t>
      </w:r>
      <w:r>
        <w:rPr>
          <w:spacing w:val="-60"/>
        </w:rPr>
        <w:t> </w:t>
      </w:r>
      <w:r>
        <w:rPr/>
        <w:t>年至</w:t>
      </w:r>
      <w:r>
        <w:rPr>
          <w:spacing w:val="-60"/>
        </w:rPr>
        <w:t> </w:t>
      </w:r>
      <w:r>
        <w:rPr/>
        <w:t>2003</w:t>
      </w:r>
      <w:r>
        <w:rPr>
          <w:spacing w:val="-60"/>
        </w:rPr>
        <w:t> </w:t>
      </w:r>
      <w:r>
        <w:rPr/>
        <w:t>年任通商律师事务所兼职</w:t>
      </w:r>
      <w:r>
        <w:rPr/>
        <w:t> </w:t>
      </w:r>
      <w:r>
        <w:rPr>
          <w:spacing w:val="-5"/>
        </w:rPr>
        <w:t>律师，2001</w:t>
      </w:r>
      <w:r>
        <w:rPr>
          <w:spacing w:val="-51"/>
        </w:rPr>
        <w:t> </w:t>
      </w:r>
      <w:r>
        <w:rPr/>
        <w:t>年</w:t>
      </w:r>
      <w:r>
        <w:rPr>
          <w:spacing w:val="-51"/>
        </w:rPr>
        <w:t> </w:t>
      </w:r>
      <w:r>
        <w:rPr/>
        <w:t>12</w:t>
      </w:r>
      <w:r>
        <w:rPr>
          <w:spacing w:val="-51"/>
        </w:rPr>
        <w:t> </w:t>
      </w:r>
      <w:r>
        <w:rPr>
          <w:spacing w:val="-3"/>
        </w:rPr>
        <w:t>月至报告期末，任国都证券有限责任公司副总裁兼合规检查官。在国都</w:t>
      </w:r>
    </w:p>
    <w:p>
      <w:pPr>
        <w:spacing w:after="0" w:line="310" w:lineRule="exact"/>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213"/>
        <w:jc w:val="left"/>
      </w:pPr>
      <w:r>
        <w:rPr/>
        <w:t>证券有限责任公司领取薪金，不在本公司受领年薪。在其他单位任职情况：</w:t>
      </w:r>
    </w:p>
    <w:p>
      <w:pPr>
        <w:spacing w:line="240" w:lineRule="auto" w:before="6"/>
        <w:rPr>
          <w:rFonts w:ascii="宋体" w:hAnsi="宋体" w:cs="宋体" w:eastAsia="宋体" w:hint="default"/>
          <w:sz w:val="26"/>
          <w:szCs w:val="26"/>
        </w:rPr>
      </w:pPr>
    </w:p>
    <w:tbl>
      <w:tblPr>
        <w:tblW w:w="0" w:type="auto"/>
        <w:jc w:val="left"/>
        <w:tblInd w:w="859" w:type="dxa"/>
        <w:tblLayout w:type="fixed"/>
        <w:tblCellMar>
          <w:top w:w="0" w:type="dxa"/>
          <w:left w:w="0" w:type="dxa"/>
          <w:bottom w:w="0" w:type="dxa"/>
          <w:right w:w="0" w:type="dxa"/>
        </w:tblCellMar>
        <w:tblLook w:val="01E0"/>
      </w:tblPr>
      <w:tblGrid>
        <w:gridCol w:w="4066"/>
        <w:gridCol w:w="2174"/>
        <w:gridCol w:w="1486"/>
      </w:tblGrid>
      <w:tr>
        <w:trPr>
          <w:trHeight w:val="392" w:hRule="exact"/>
        </w:trPr>
        <w:tc>
          <w:tcPr>
            <w:tcW w:w="4066"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2174"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403" w:hRule="exact"/>
        </w:trPr>
        <w:tc>
          <w:tcPr>
            <w:tcW w:w="4066"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国都证券有限责任公司</w:t>
            </w:r>
          </w:p>
        </w:tc>
        <w:tc>
          <w:tcPr>
            <w:tcW w:w="2174"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副总裁、合规检查官</w:t>
            </w:r>
          </w:p>
        </w:tc>
        <w:tc>
          <w:tcPr>
            <w:tcW w:w="1486" w:type="dxa"/>
            <w:tcBorders>
              <w:top w:val="single" w:sz="8" w:space="0" w:color="000000"/>
              <w:left w:val="single" w:sz="8"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8"/>
          <w:szCs w:val="18"/>
        </w:rPr>
      </w:pPr>
    </w:p>
    <w:p>
      <w:pPr>
        <w:pStyle w:val="BodyText"/>
        <w:spacing w:line="237" w:lineRule="auto" w:before="28"/>
        <w:ind w:right="220"/>
        <w:jc w:val="both"/>
      </w:pPr>
      <w:r>
        <w:rPr>
          <w:rFonts w:ascii="宋体" w:hAnsi="宋体" w:cs="宋体" w:eastAsia="宋体" w:hint="default"/>
          <w:b/>
          <w:bCs/>
        </w:rPr>
        <w:t>夏 </w:t>
      </w:r>
      <w:r>
        <w:rPr>
          <w:rFonts w:ascii="宋体" w:hAnsi="宋体" w:cs="宋体" w:eastAsia="宋体" w:hint="default"/>
          <w:b/>
          <w:bCs/>
          <w:spacing w:val="-4"/>
        </w:rPr>
        <w:t>斌先生</w:t>
      </w:r>
      <w:r>
        <w:rPr>
          <w:spacing w:val="-4"/>
        </w:rPr>
        <w:t>，57</w:t>
      </w:r>
      <w:r>
        <w:rPr>
          <w:spacing w:val="-51"/>
        </w:rPr>
        <w:t> </w:t>
      </w:r>
      <w:r>
        <w:rPr>
          <w:spacing w:val="-3"/>
        </w:rPr>
        <w:t>岁，研究员、博士生导师，享有国务院特殊津贴，毕业于中国人民银行研</w:t>
      </w:r>
      <w:r>
        <w:rPr/>
        <w:t> </w:t>
      </w:r>
      <w:r>
        <w:rPr>
          <w:spacing w:val="10"/>
        </w:rPr>
        <w:t>究生院金融系。2007年5月</w:t>
      </w:r>
      <w:r>
        <w:rPr>
          <w:spacing w:val="-51"/>
        </w:rPr>
        <w:t> </w:t>
      </w:r>
      <w:r>
        <w:rPr/>
        <w:t>11</w:t>
      </w:r>
      <w:r>
        <w:rPr>
          <w:spacing w:val="-51"/>
        </w:rPr>
        <w:t> </w:t>
      </w:r>
      <w:r>
        <w:rPr>
          <w:spacing w:val="-3"/>
        </w:rPr>
        <w:t>日至报告期末，任公司第四届董事会独立董事之职。1996</w:t>
      </w:r>
      <w:r>
        <w:rPr/>
        <w:t> 年至</w:t>
      </w:r>
      <w:r>
        <w:rPr>
          <w:spacing w:val="-58"/>
        </w:rPr>
        <w:t> </w:t>
      </w:r>
      <w:r>
        <w:rPr/>
        <w:t>2002</w:t>
      </w:r>
      <w:r>
        <w:rPr>
          <w:spacing w:val="-58"/>
        </w:rPr>
        <w:t> </w:t>
      </w:r>
      <w:r>
        <w:rPr>
          <w:spacing w:val="-3"/>
        </w:rPr>
        <w:t>年任中国人民银行非银行司司长，2002</w:t>
      </w:r>
      <w:r>
        <w:rPr>
          <w:spacing w:val="-58"/>
        </w:rPr>
        <w:t> </w:t>
      </w:r>
      <w:r>
        <w:rPr>
          <w:spacing w:val="-3"/>
        </w:rPr>
        <w:t>年至报告期末，任国务院发展研究中心</w:t>
      </w:r>
      <w:r>
        <w:rPr/>
        <w:t> 金融研究所所长。在国务院发展研究中心金融研究所领取薪金，不在本公司受领年薪。</w:t>
      </w:r>
      <w:r>
        <w:rPr>
          <w:spacing w:val="-47"/>
        </w:rPr>
        <w:t> </w:t>
      </w:r>
      <w:r>
        <w:rPr>
          <w:spacing w:val="-47"/>
        </w:rPr>
      </w:r>
      <w:r>
        <w:rPr/>
        <w:t>在其他单位任职情况：</w:t>
      </w:r>
    </w:p>
    <w:p>
      <w:pPr>
        <w:spacing w:line="240" w:lineRule="auto" w:before="8"/>
        <w:rPr>
          <w:rFonts w:ascii="宋体" w:hAnsi="宋体" w:cs="宋体" w:eastAsia="宋体" w:hint="default"/>
          <w:sz w:val="26"/>
          <w:szCs w:val="26"/>
        </w:rPr>
      </w:pPr>
    </w:p>
    <w:tbl>
      <w:tblPr>
        <w:tblW w:w="0" w:type="auto"/>
        <w:jc w:val="left"/>
        <w:tblInd w:w="854" w:type="dxa"/>
        <w:tblLayout w:type="fixed"/>
        <w:tblCellMar>
          <w:top w:w="0" w:type="dxa"/>
          <w:left w:w="0" w:type="dxa"/>
          <w:bottom w:w="0" w:type="dxa"/>
          <w:right w:w="0" w:type="dxa"/>
        </w:tblCellMar>
        <w:tblLook w:val="01E0"/>
      </w:tblPr>
      <w:tblGrid>
        <w:gridCol w:w="4539"/>
        <w:gridCol w:w="1711"/>
        <w:gridCol w:w="1486"/>
      </w:tblGrid>
      <w:tr>
        <w:trPr>
          <w:trHeight w:val="390" w:hRule="exact"/>
        </w:trPr>
        <w:tc>
          <w:tcPr>
            <w:tcW w:w="4539"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71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398"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国务院发展研究中心金融研究所</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486" w:type="dxa"/>
            <w:tcBorders>
              <w:top w:val="single" w:sz="8" w:space="0" w:color="000000"/>
              <w:left w:val="single" w:sz="8" w:space="0" w:color="000000"/>
              <w:bottom w:val="single" w:sz="8" w:space="0" w:color="000000"/>
              <w:right w:val="single" w:sz="12" w:space="0" w:color="000000"/>
            </w:tcBorders>
          </w:tcPr>
          <w:p>
            <w:pPr/>
          </w:p>
        </w:tc>
      </w:tr>
      <w:tr>
        <w:trPr>
          <w:trHeight w:val="403" w:hRule="exact"/>
        </w:trPr>
        <w:tc>
          <w:tcPr>
            <w:tcW w:w="4539"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中国光大银行</w:t>
            </w:r>
          </w:p>
        </w:tc>
        <w:tc>
          <w:tcPr>
            <w:tcW w:w="1711"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86" w:type="dxa"/>
            <w:tcBorders>
              <w:top w:val="single" w:sz="8" w:space="0" w:color="000000"/>
              <w:left w:val="single" w:sz="8"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8"/>
          <w:szCs w:val="18"/>
        </w:rPr>
      </w:pPr>
    </w:p>
    <w:p>
      <w:pPr>
        <w:pStyle w:val="BodyText"/>
        <w:spacing w:line="237" w:lineRule="auto" w:before="28"/>
        <w:ind w:right="222"/>
        <w:jc w:val="both"/>
      </w:pPr>
      <w:r>
        <w:rPr>
          <w:rFonts w:ascii="宋体" w:hAnsi="宋体" w:cs="宋体" w:eastAsia="宋体" w:hint="default"/>
          <w:b/>
          <w:bCs/>
        </w:rPr>
        <w:t>赵纯均先生</w:t>
      </w:r>
      <w:r>
        <w:rPr/>
        <w:t>，67</w:t>
      </w:r>
      <w:r>
        <w:rPr>
          <w:spacing w:val="-48"/>
        </w:rPr>
        <w:t> </w:t>
      </w:r>
      <w:r>
        <w:rPr/>
        <w:t>岁，教授，毕业于清华大学电机系。2007</w:t>
      </w:r>
      <w:r>
        <w:rPr>
          <w:spacing w:val="-48"/>
        </w:rPr>
        <w:t> </w:t>
      </w:r>
      <w:r>
        <w:rPr/>
        <w:t>年</w:t>
      </w:r>
      <w:r>
        <w:rPr>
          <w:spacing w:val="-48"/>
        </w:rPr>
        <w:t> </w:t>
      </w:r>
      <w:r>
        <w:rPr/>
        <w:t>5</w:t>
      </w:r>
      <w:r>
        <w:rPr>
          <w:spacing w:val="-49"/>
        </w:rPr>
        <w:t> </w:t>
      </w:r>
      <w:r>
        <w:rPr/>
        <w:t>月</w:t>
      </w:r>
      <w:r>
        <w:rPr>
          <w:spacing w:val="-49"/>
        </w:rPr>
        <w:t> </w:t>
      </w:r>
      <w:r>
        <w:rPr/>
        <w:t>11</w:t>
      </w:r>
      <w:r>
        <w:rPr>
          <w:spacing w:val="-48"/>
        </w:rPr>
        <w:t> </w:t>
      </w:r>
      <w:r>
        <w:rPr/>
        <w:t>日至报告期末，任</w:t>
      </w:r>
      <w:r>
        <w:rPr/>
        <w:t> </w:t>
      </w:r>
      <w:r>
        <w:rPr>
          <w:spacing w:val="-3"/>
        </w:rPr>
        <w:t>公司第四届监事会监事会主席之职。1986</w:t>
      </w:r>
      <w:r>
        <w:rPr>
          <w:spacing w:val="-53"/>
        </w:rPr>
        <w:t> </w:t>
      </w:r>
      <w:r>
        <w:rPr/>
        <w:t>年至</w:t>
      </w:r>
      <w:r>
        <w:rPr>
          <w:spacing w:val="-53"/>
        </w:rPr>
        <w:t> </w:t>
      </w:r>
      <w:r>
        <w:rPr/>
        <w:t>2001</w:t>
      </w:r>
      <w:r>
        <w:rPr>
          <w:spacing w:val="-53"/>
        </w:rPr>
        <w:t> </w:t>
      </w:r>
      <w:r>
        <w:rPr>
          <w:spacing w:val="-4"/>
        </w:rPr>
        <w:t>年，任清华大学经济管理学院院长助</w:t>
      </w:r>
      <w:r>
        <w:rPr/>
        <w:t> </w:t>
      </w:r>
      <w:r>
        <w:rPr>
          <w:spacing w:val="-5"/>
        </w:rPr>
        <w:t>理、第一副院长；2001</w:t>
      </w:r>
      <w:r>
        <w:rPr>
          <w:spacing w:val="-52"/>
        </w:rPr>
        <w:t> </w:t>
      </w:r>
      <w:r>
        <w:rPr/>
        <w:t>年至</w:t>
      </w:r>
      <w:r>
        <w:rPr>
          <w:spacing w:val="-52"/>
        </w:rPr>
        <w:t> </w:t>
      </w:r>
      <w:r>
        <w:rPr/>
        <w:t>2005</w:t>
      </w:r>
      <w:r>
        <w:rPr>
          <w:spacing w:val="-52"/>
        </w:rPr>
        <w:t> </w:t>
      </w:r>
      <w:r>
        <w:rPr>
          <w:spacing w:val="-3"/>
        </w:rPr>
        <w:t>年，任清华大学经济管理学院院长。在清华大学领取年</w:t>
      </w:r>
      <w:r>
        <w:rPr>
          <w:spacing w:val="-118"/>
        </w:rPr>
        <w:t> </w:t>
      </w:r>
      <w:r>
        <w:rPr>
          <w:spacing w:val="-118"/>
        </w:rPr>
      </w:r>
      <w:r>
        <w:rPr/>
        <w:t>薪，不在本公司受领年薪。在其他单位任职或兼职情况：</w:t>
      </w:r>
    </w:p>
    <w:p>
      <w:pPr>
        <w:spacing w:line="240" w:lineRule="auto" w:before="7"/>
        <w:rPr>
          <w:rFonts w:ascii="宋体" w:hAnsi="宋体" w:cs="宋体" w:eastAsia="宋体" w:hint="default"/>
          <w:sz w:val="26"/>
          <w:szCs w:val="26"/>
        </w:rPr>
      </w:pPr>
    </w:p>
    <w:tbl>
      <w:tblPr>
        <w:tblW w:w="0" w:type="auto"/>
        <w:jc w:val="left"/>
        <w:tblInd w:w="854" w:type="dxa"/>
        <w:tblLayout w:type="fixed"/>
        <w:tblCellMar>
          <w:top w:w="0" w:type="dxa"/>
          <w:left w:w="0" w:type="dxa"/>
          <w:bottom w:w="0" w:type="dxa"/>
          <w:right w:w="0" w:type="dxa"/>
        </w:tblCellMar>
        <w:tblLook w:val="01E0"/>
      </w:tblPr>
      <w:tblGrid>
        <w:gridCol w:w="4539"/>
        <w:gridCol w:w="1711"/>
        <w:gridCol w:w="1486"/>
      </w:tblGrid>
      <w:tr>
        <w:trPr>
          <w:trHeight w:val="392" w:hRule="exact"/>
        </w:trPr>
        <w:tc>
          <w:tcPr>
            <w:tcW w:w="4539"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71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397"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清华大学经济管理学院</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486" w:type="dxa"/>
            <w:tcBorders>
              <w:top w:val="single" w:sz="8" w:space="0" w:color="000000"/>
              <w:left w:val="single" w:sz="8" w:space="0" w:color="000000"/>
              <w:bottom w:val="single" w:sz="8" w:space="0" w:color="000000"/>
              <w:right w:val="single" w:sz="12" w:space="0" w:color="000000"/>
            </w:tcBorders>
          </w:tcPr>
          <w:p>
            <w:pPr/>
          </w:p>
        </w:tc>
      </w:tr>
      <w:tr>
        <w:trPr>
          <w:trHeight w:val="403" w:hRule="exact"/>
        </w:trPr>
        <w:tc>
          <w:tcPr>
            <w:tcW w:w="4539"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中银国际基金管理有限公司</w:t>
            </w:r>
          </w:p>
        </w:tc>
        <w:tc>
          <w:tcPr>
            <w:tcW w:w="1711"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86" w:type="dxa"/>
            <w:tcBorders>
              <w:top w:val="single" w:sz="8" w:space="0" w:color="000000"/>
              <w:left w:val="single" w:sz="8"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8"/>
          <w:szCs w:val="18"/>
        </w:rPr>
      </w:pPr>
    </w:p>
    <w:p>
      <w:pPr>
        <w:pStyle w:val="BodyText"/>
        <w:tabs>
          <w:tab w:pos="620" w:val="left" w:leader="none"/>
        </w:tabs>
        <w:spacing w:line="237" w:lineRule="auto" w:before="28"/>
        <w:ind w:right="102"/>
        <w:jc w:val="left"/>
      </w:pPr>
      <w:r>
        <w:rPr>
          <w:rFonts w:ascii="宋体" w:hAnsi="宋体" w:cs="宋体" w:eastAsia="宋体" w:hint="default"/>
          <w:b/>
          <w:bCs/>
          <w:w w:val="95"/>
        </w:rPr>
        <w:t>秦</w:t>
        <w:tab/>
      </w:r>
      <w:r>
        <w:rPr>
          <w:rFonts w:ascii="宋体" w:hAnsi="宋体" w:cs="宋体" w:eastAsia="宋体" w:hint="default"/>
          <w:b/>
          <w:bCs/>
        </w:rPr>
        <w:t>蓬先生，</w:t>
      </w:r>
      <w:r>
        <w:rPr/>
        <w:t>34</w:t>
      </w:r>
      <w:r>
        <w:rPr>
          <w:spacing w:val="-49"/>
        </w:rPr>
        <w:t> </w:t>
      </w:r>
      <w:r>
        <w:rPr/>
        <w:t>岁，审计师，毕业于中国人民大学工商管理专业。2007</w:t>
      </w:r>
      <w:r>
        <w:rPr>
          <w:spacing w:val="-49"/>
        </w:rPr>
        <w:t> </w:t>
      </w:r>
      <w:r>
        <w:rPr/>
        <w:t>年</w:t>
      </w:r>
      <w:r>
        <w:rPr>
          <w:spacing w:val="-49"/>
        </w:rPr>
        <w:t> </w:t>
      </w:r>
      <w:r>
        <w:rPr/>
        <w:t>5</w:t>
      </w:r>
      <w:r>
        <w:rPr>
          <w:spacing w:val="-48"/>
        </w:rPr>
        <w:t> </w:t>
      </w:r>
      <w:r>
        <w:rPr/>
        <w:t>月</w:t>
      </w:r>
      <w:r>
        <w:rPr>
          <w:spacing w:val="-49"/>
        </w:rPr>
        <w:t> </w:t>
      </w:r>
      <w:r>
        <w:rPr/>
        <w:t>11</w:t>
      </w:r>
      <w:r>
        <w:rPr>
          <w:spacing w:val="-49"/>
        </w:rPr>
        <w:t> </w:t>
      </w:r>
      <w:r>
        <w:rPr/>
        <w:t>日至</w:t>
      </w:r>
      <w:r>
        <w:rPr/>
        <w:t> </w:t>
      </w:r>
      <w:r>
        <w:rPr>
          <w:spacing w:val="-4"/>
        </w:rPr>
        <w:t>报告期末，任公司第四届监事会监事之职。1998</w:t>
      </w:r>
      <w:r>
        <w:rPr>
          <w:spacing w:val="-60"/>
        </w:rPr>
        <w:t> </w:t>
      </w:r>
      <w:r>
        <w:rPr/>
        <w:t>年至</w:t>
      </w:r>
      <w:r>
        <w:rPr>
          <w:spacing w:val="-60"/>
        </w:rPr>
        <w:t> </w:t>
      </w:r>
      <w:r>
        <w:rPr/>
        <w:t>2002</w:t>
      </w:r>
      <w:r>
        <w:rPr>
          <w:spacing w:val="-60"/>
        </w:rPr>
        <w:t> </w:t>
      </w:r>
      <w:r>
        <w:rPr>
          <w:spacing w:val="-4"/>
        </w:rPr>
        <w:t>年，任岳华会计师事务所有限</w:t>
      </w:r>
      <w:r>
        <w:rPr>
          <w:spacing w:val="-116"/>
        </w:rPr>
        <w:t> </w:t>
      </w:r>
      <w:r>
        <w:rPr>
          <w:spacing w:val="-116"/>
        </w:rPr>
      </w:r>
      <w:r>
        <w:rPr>
          <w:spacing w:val="-3"/>
        </w:rPr>
        <w:t>公司资产评估部高级项目经理。2004</w:t>
      </w:r>
      <w:r>
        <w:rPr>
          <w:spacing w:val="-41"/>
        </w:rPr>
        <w:t> </w:t>
      </w:r>
      <w:r>
        <w:rPr>
          <w:spacing w:val="-3"/>
        </w:rPr>
        <w:t>年至报告期末，历任清华控股有限公司财务部部长、</w:t>
      </w:r>
      <w:r>
        <w:rPr>
          <w:spacing w:val="-117"/>
        </w:rPr>
        <w:t> </w:t>
      </w:r>
      <w:r>
        <w:rPr>
          <w:spacing w:val="-117"/>
        </w:rPr>
      </w:r>
      <w:r>
        <w:rPr/>
        <w:t>资金管理中心主任。在清华控股有限公司领取薪金，不在本公司受领年薪。在其他单位</w:t>
      </w:r>
      <w:r>
        <w:rPr>
          <w:spacing w:val="-47"/>
        </w:rPr>
        <w:t> </w:t>
      </w:r>
      <w:r>
        <w:rPr>
          <w:spacing w:val="-47"/>
        </w:rPr>
      </w:r>
      <w:r>
        <w:rPr/>
        <w:t>任职或兼职情况：</w:t>
      </w:r>
    </w:p>
    <w:p>
      <w:pPr>
        <w:spacing w:line="240" w:lineRule="auto" w:before="7"/>
        <w:rPr>
          <w:rFonts w:ascii="宋体" w:hAnsi="宋体" w:cs="宋体" w:eastAsia="宋体" w:hint="default"/>
          <w:sz w:val="26"/>
          <w:szCs w:val="26"/>
        </w:rPr>
      </w:pPr>
    </w:p>
    <w:tbl>
      <w:tblPr>
        <w:tblW w:w="0" w:type="auto"/>
        <w:jc w:val="left"/>
        <w:tblInd w:w="889" w:type="dxa"/>
        <w:tblLayout w:type="fixed"/>
        <w:tblCellMar>
          <w:top w:w="0" w:type="dxa"/>
          <w:left w:w="0" w:type="dxa"/>
          <w:bottom w:w="0" w:type="dxa"/>
          <w:right w:w="0" w:type="dxa"/>
        </w:tblCellMar>
        <w:tblLook w:val="01E0"/>
      </w:tblPr>
      <w:tblGrid>
        <w:gridCol w:w="3833"/>
        <w:gridCol w:w="2348"/>
        <w:gridCol w:w="1485"/>
      </w:tblGrid>
      <w:tr>
        <w:trPr>
          <w:trHeight w:val="422" w:hRule="exact"/>
        </w:trPr>
        <w:tc>
          <w:tcPr>
            <w:tcW w:w="3833"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2348"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5"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362" w:hRule="exact"/>
        </w:trPr>
        <w:tc>
          <w:tcPr>
            <w:tcW w:w="383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资金管理中心主任</w:t>
            </w:r>
          </w:p>
        </w:tc>
        <w:tc>
          <w:tcPr>
            <w:tcW w:w="1485"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股东单位</w:t>
            </w:r>
          </w:p>
        </w:tc>
      </w:tr>
      <w:tr>
        <w:trPr>
          <w:trHeight w:val="362" w:hRule="exact"/>
        </w:trPr>
        <w:tc>
          <w:tcPr>
            <w:tcW w:w="383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北京华控汇金投资管理有限公司</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5"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361" w:hRule="exact"/>
        </w:trPr>
        <w:tc>
          <w:tcPr>
            <w:tcW w:w="383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北京紫光泰和通环保技术有限公司</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5"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362" w:hRule="exact"/>
        </w:trPr>
        <w:tc>
          <w:tcPr>
            <w:tcW w:w="383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北京固鸿科技有限公司</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5"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368" w:hRule="exact"/>
        </w:trPr>
        <w:tc>
          <w:tcPr>
            <w:tcW w:w="3833"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清华大学出版社</w:t>
            </w:r>
          </w:p>
        </w:tc>
        <w:tc>
          <w:tcPr>
            <w:tcW w:w="2348"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5" w:type="dxa"/>
            <w:tcBorders>
              <w:top w:val="single" w:sz="8" w:space="0" w:color="000000"/>
              <w:left w:val="single" w:sz="8" w:space="0" w:color="000000"/>
              <w:bottom w:val="single" w:sz="12"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bl>
    <w:p>
      <w:pPr>
        <w:spacing w:line="240" w:lineRule="auto" w:before="10"/>
        <w:rPr>
          <w:rFonts w:ascii="宋体" w:hAnsi="宋体" w:cs="宋体" w:eastAsia="宋体" w:hint="default"/>
          <w:sz w:val="18"/>
          <w:szCs w:val="18"/>
        </w:rPr>
      </w:pPr>
    </w:p>
    <w:p>
      <w:pPr>
        <w:pStyle w:val="BodyText"/>
        <w:spacing w:line="237" w:lineRule="auto" w:before="28"/>
        <w:ind w:right="222"/>
        <w:jc w:val="both"/>
      </w:pPr>
      <w:r>
        <w:rPr>
          <w:rFonts w:ascii="宋体" w:hAnsi="宋体" w:cs="宋体" w:eastAsia="宋体" w:hint="default"/>
          <w:b/>
          <w:bCs/>
        </w:rPr>
        <w:t>刘</w:t>
      </w:r>
      <w:r>
        <w:rPr>
          <w:rFonts w:ascii="宋体" w:hAnsi="宋体" w:cs="宋体" w:eastAsia="宋体" w:hint="default"/>
          <w:b/>
          <w:bCs/>
          <w:spacing w:val="110"/>
        </w:rPr>
        <w:t> </w:t>
      </w:r>
      <w:r>
        <w:rPr>
          <w:rFonts w:ascii="宋体" w:hAnsi="宋体" w:cs="宋体" w:eastAsia="宋体" w:hint="default"/>
          <w:b/>
          <w:bCs/>
        </w:rPr>
        <w:t>刚先生</w:t>
      </w:r>
      <w:r>
        <w:rPr/>
        <w:t>，45</w:t>
      </w:r>
      <w:r>
        <w:rPr>
          <w:spacing w:val="-51"/>
        </w:rPr>
        <w:t> </w:t>
      </w:r>
      <w:r>
        <w:rPr/>
        <w:t>岁，研究员，毕业于清华大学热能系。2007</w:t>
      </w:r>
      <w:r>
        <w:rPr>
          <w:spacing w:val="-51"/>
        </w:rPr>
        <w:t> </w:t>
      </w:r>
      <w:r>
        <w:rPr/>
        <w:t>年</w:t>
      </w:r>
      <w:r>
        <w:rPr>
          <w:spacing w:val="-51"/>
        </w:rPr>
        <w:t> </w:t>
      </w:r>
      <w:r>
        <w:rPr/>
        <w:t>5</w:t>
      </w:r>
      <w:r>
        <w:rPr>
          <w:spacing w:val="-53"/>
        </w:rPr>
        <w:t> </w:t>
      </w:r>
      <w:r>
        <w:rPr/>
        <w:t>月</w:t>
      </w:r>
      <w:r>
        <w:rPr>
          <w:spacing w:val="-51"/>
        </w:rPr>
        <w:t> </w:t>
      </w:r>
      <w:r>
        <w:rPr/>
        <w:t>11</w:t>
      </w:r>
      <w:r>
        <w:rPr>
          <w:spacing w:val="-51"/>
        </w:rPr>
        <w:t> </w:t>
      </w:r>
      <w:r>
        <w:rPr/>
        <w:t>日至报告期末，</w:t>
      </w:r>
      <w:r>
        <w:rPr>
          <w:spacing w:val="-1"/>
        </w:rPr>
        <w:t> </w:t>
      </w:r>
      <w:r>
        <w:rPr>
          <w:spacing w:val="-3"/>
        </w:rPr>
        <w:t>任公司第四届监事会监事之职。2000</w:t>
      </w:r>
      <w:r>
        <w:rPr>
          <w:spacing w:val="-55"/>
        </w:rPr>
        <w:t> </w:t>
      </w:r>
      <w:r>
        <w:rPr/>
        <w:t>年至</w:t>
      </w:r>
      <w:r>
        <w:rPr>
          <w:spacing w:val="-55"/>
        </w:rPr>
        <w:t> </w:t>
      </w:r>
      <w:r>
        <w:rPr>
          <w:spacing w:val="20"/>
        </w:rPr>
        <w:t>2006年9</w:t>
      </w:r>
      <w:r>
        <w:rPr>
          <w:spacing w:val="-55"/>
        </w:rPr>
        <w:t> </w:t>
      </w:r>
      <w:r>
        <w:rPr>
          <w:spacing w:val="-4"/>
        </w:rPr>
        <w:t>月，任公司能源环境本部人环工程公</w:t>
      </w:r>
      <w:r>
        <w:rPr/>
        <w:t> 司总经理，2006</w:t>
      </w:r>
      <w:r>
        <w:rPr>
          <w:spacing w:val="-53"/>
        </w:rPr>
        <w:t> </w:t>
      </w:r>
      <w:r>
        <w:rPr/>
        <w:t>年</w:t>
      </w:r>
      <w:r>
        <w:rPr>
          <w:spacing w:val="-53"/>
        </w:rPr>
        <w:t> </w:t>
      </w:r>
      <w:r>
        <w:rPr/>
        <w:t>9</w:t>
      </w:r>
      <w:r>
        <w:rPr>
          <w:spacing w:val="-54"/>
        </w:rPr>
        <w:t> </w:t>
      </w:r>
      <w:r>
        <w:rPr/>
        <w:t>月至今，历任公司总裁办公室主任、公司光电事业部总经理。未在</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both"/>
      </w:pPr>
      <w:r>
        <w:rPr/>
        <w:t>股东单位和除公司子公司以外的其他单位任职或兼职。</w:t>
      </w:r>
    </w:p>
    <w:p>
      <w:pPr>
        <w:spacing w:line="240" w:lineRule="auto" w:before="9"/>
        <w:rPr>
          <w:rFonts w:ascii="宋体" w:hAnsi="宋体" w:cs="宋体" w:eastAsia="宋体" w:hint="default"/>
          <w:sz w:val="23"/>
          <w:szCs w:val="23"/>
        </w:rPr>
      </w:pPr>
    </w:p>
    <w:p>
      <w:pPr>
        <w:pStyle w:val="BodyText"/>
        <w:spacing w:line="237" w:lineRule="auto"/>
        <w:ind w:right="89"/>
        <w:jc w:val="left"/>
      </w:pPr>
      <w:r>
        <w:rPr>
          <w:rFonts w:ascii="宋体" w:hAnsi="宋体" w:cs="宋体" w:eastAsia="宋体" w:hint="default"/>
          <w:b/>
          <w:bCs/>
          <w:spacing w:val="2"/>
        </w:rPr>
        <w:t>刘天民先生</w:t>
      </w:r>
      <w:r>
        <w:rPr>
          <w:spacing w:val="2"/>
        </w:rPr>
        <w:t>，47</w:t>
      </w:r>
      <w:r>
        <w:rPr>
          <w:spacing w:val="12"/>
        </w:rPr>
        <w:t> </w:t>
      </w:r>
      <w:r>
        <w:rPr/>
        <w:t>岁，美籍华人，博士，毕业于美国</w:t>
      </w:r>
      <w:r>
        <w:rPr>
          <w:spacing w:val="12"/>
        </w:rPr>
        <w:t> </w:t>
      </w:r>
      <w:r>
        <w:rPr/>
        <w:t>Rutgers</w:t>
      </w:r>
      <w:r>
        <w:rPr>
          <w:spacing w:val="12"/>
        </w:rPr>
        <w:t> </w:t>
      </w:r>
      <w:r>
        <w:rPr/>
        <w:t>大学现代通讯专业。2004</w:t>
      </w:r>
      <w:r>
        <w:rPr>
          <w:spacing w:val="-109"/>
        </w:rPr>
        <w:t> </w:t>
      </w:r>
      <w:r>
        <w:rPr>
          <w:spacing w:val="-109"/>
        </w:rPr>
      </w:r>
      <w:r>
        <w:rPr>
          <w:spacing w:val="41"/>
        </w:rPr>
        <w:t>年5月</w:t>
      </w:r>
      <w:r>
        <w:rPr>
          <w:spacing w:val="-63"/>
        </w:rPr>
        <w:t> </w:t>
      </w:r>
      <w:r>
        <w:rPr/>
        <w:t>19</w:t>
      </w:r>
      <w:r>
        <w:rPr>
          <w:spacing w:val="-63"/>
        </w:rPr>
        <w:t> </w:t>
      </w:r>
      <w:r>
        <w:rPr/>
        <w:t>日至报告期末，任公司副总裁之职。1997</w:t>
      </w:r>
      <w:r>
        <w:rPr>
          <w:spacing w:val="-62"/>
        </w:rPr>
        <w:t> </w:t>
      </w:r>
      <w:r>
        <w:rPr/>
        <w:t>年至</w:t>
      </w:r>
      <w:r>
        <w:rPr>
          <w:spacing w:val="-62"/>
        </w:rPr>
        <w:t> </w:t>
      </w:r>
      <w:r>
        <w:rPr/>
        <w:t>2003</w:t>
      </w:r>
      <w:r>
        <w:rPr>
          <w:spacing w:val="-62"/>
        </w:rPr>
        <w:t> </w:t>
      </w:r>
      <w:r>
        <w:rPr/>
        <w:t>年，任美国博康公司高级</w:t>
      </w:r>
      <w:r>
        <w:rPr>
          <w:spacing w:val="-1"/>
        </w:rPr>
        <w:t> </w:t>
      </w:r>
      <w:r>
        <w:rPr>
          <w:spacing w:val="-8"/>
        </w:rPr>
        <w:t>科学家、主任科学家。2003</w:t>
      </w:r>
      <w:r>
        <w:rPr>
          <w:spacing w:val="-57"/>
        </w:rPr>
        <w:t> </w:t>
      </w:r>
      <w:r>
        <w:rPr/>
        <w:t>年</w:t>
      </w:r>
      <w:r>
        <w:rPr>
          <w:spacing w:val="-57"/>
        </w:rPr>
        <w:t> </w:t>
      </w:r>
      <w:r>
        <w:rPr/>
        <w:t>3</w:t>
      </w:r>
      <w:r>
        <w:rPr>
          <w:spacing w:val="-57"/>
        </w:rPr>
        <w:t> </w:t>
      </w:r>
      <w:r>
        <w:rPr/>
        <w:t>月至报告期末任公司副总裁兼数字电视系统本部总经理。</w:t>
      </w:r>
      <w:r>
        <w:rPr/>
        <w:t> 未在股东单位和除公司子公司以外的其他单位任职或兼职。</w:t>
      </w:r>
    </w:p>
    <w:p>
      <w:pPr>
        <w:spacing w:line="240" w:lineRule="auto" w:before="11"/>
        <w:rPr>
          <w:rFonts w:ascii="宋体" w:hAnsi="宋体" w:cs="宋体" w:eastAsia="宋体" w:hint="default"/>
          <w:sz w:val="23"/>
          <w:szCs w:val="23"/>
        </w:rPr>
      </w:pPr>
    </w:p>
    <w:p>
      <w:pPr>
        <w:pStyle w:val="BodyText"/>
        <w:spacing w:line="237" w:lineRule="auto"/>
        <w:ind w:right="220"/>
        <w:jc w:val="both"/>
      </w:pPr>
      <w:r>
        <w:rPr>
          <w:rFonts w:ascii="宋体" w:hAnsi="宋体" w:cs="宋体" w:eastAsia="宋体" w:hint="default"/>
          <w:b/>
          <w:bCs/>
        </w:rPr>
        <w:t>李吉生先生，</w:t>
      </w:r>
      <w:r>
        <w:rPr/>
        <w:t>43</w:t>
      </w:r>
      <w:r>
        <w:rPr>
          <w:spacing w:val="-49"/>
        </w:rPr>
        <w:t> </w:t>
      </w:r>
      <w:r>
        <w:rPr/>
        <w:t>岁，博士，副教授，毕业于清华大学热能系。2004</w:t>
      </w:r>
      <w:r>
        <w:rPr>
          <w:spacing w:val="-49"/>
        </w:rPr>
        <w:t> </w:t>
      </w:r>
      <w:r>
        <w:rPr/>
        <w:t>年</w:t>
      </w:r>
      <w:r>
        <w:rPr>
          <w:spacing w:val="-49"/>
        </w:rPr>
        <w:t> </w:t>
      </w:r>
      <w:r>
        <w:rPr/>
        <w:t>5</w:t>
      </w:r>
      <w:r>
        <w:rPr>
          <w:spacing w:val="-48"/>
        </w:rPr>
        <w:t> </w:t>
      </w:r>
      <w:r>
        <w:rPr/>
        <w:t>月</w:t>
      </w:r>
      <w:r>
        <w:rPr>
          <w:spacing w:val="-49"/>
        </w:rPr>
        <w:t> </w:t>
      </w:r>
      <w:r>
        <w:rPr/>
        <w:t>19</w:t>
      </w:r>
      <w:r>
        <w:rPr>
          <w:spacing w:val="-49"/>
        </w:rPr>
        <w:t> </w:t>
      </w:r>
      <w:r>
        <w:rPr/>
        <w:t>日至报告</w:t>
      </w:r>
      <w:r>
        <w:rPr/>
        <w:t> 期末，任公司副总裁之职。1997</w:t>
      </w:r>
      <w:r>
        <w:rPr>
          <w:spacing w:val="-53"/>
        </w:rPr>
        <w:t> </w:t>
      </w:r>
      <w:r>
        <w:rPr/>
        <w:t>年</w:t>
      </w:r>
      <w:r>
        <w:rPr>
          <w:spacing w:val="-53"/>
        </w:rPr>
        <w:t> </w:t>
      </w:r>
      <w:r>
        <w:rPr/>
        <w:t>6</w:t>
      </w:r>
      <w:r>
        <w:rPr>
          <w:spacing w:val="-53"/>
        </w:rPr>
        <w:t> </w:t>
      </w:r>
      <w:r>
        <w:rPr/>
        <w:t>月至报告期末，历任公司人工环境公司总经理、信</w:t>
      </w:r>
      <w:r>
        <w:rPr/>
        <w:t> 息系统公司总经理、公司副总裁兼应用信息系统本部总经理。未在股东单位和除公司子</w:t>
      </w:r>
      <w:r>
        <w:rPr>
          <w:spacing w:val="-47"/>
        </w:rPr>
        <w:t> </w:t>
      </w:r>
      <w:r>
        <w:rPr>
          <w:spacing w:val="-47"/>
        </w:rPr>
      </w:r>
      <w:r>
        <w:rPr/>
        <w:t>公司以外的其他单位任职或兼职。</w:t>
      </w:r>
    </w:p>
    <w:p>
      <w:pPr>
        <w:spacing w:line="240" w:lineRule="auto" w:before="11"/>
        <w:rPr>
          <w:rFonts w:ascii="宋体" w:hAnsi="宋体" w:cs="宋体" w:eastAsia="宋体" w:hint="default"/>
          <w:sz w:val="23"/>
          <w:szCs w:val="23"/>
        </w:rPr>
      </w:pPr>
    </w:p>
    <w:p>
      <w:pPr>
        <w:pStyle w:val="BodyText"/>
        <w:spacing w:line="237" w:lineRule="auto"/>
        <w:ind w:right="220"/>
        <w:jc w:val="both"/>
      </w:pPr>
      <w:r>
        <w:rPr>
          <w:rFonts w:ascii="宋体" w:hAnsi="宋体" w:cs="宋体" w:eastAsia="宋体" w:hint="default"/>
          <w:b/>
          <w:bCs/>
        </w:rPr>
        <w:t>李健航先生，</w:t>
      </w:r>
      <w:r>
        <w:rPr/>
        <w:t>40</w:t>
      </w:r>
      <w:r>
        <w:rPr>
          <w:spacing w:val="-49"/>
        </w:rPr>
        <w:t> </w:t>
      </w:r>
      <w:r>
        <w:rPr/>
        <w:t>岁，硕士，副教授，毕业于清华大学计算机系。2004</w:t>
      </w:r>
      <w:r>
        <w:rPr>
          <w:spacing w:val="-49"/>
        </w:rPr>
        <w:t> </w:t>
      </w:r>
      <w:r>
        <w:rPr/>
        <w:t>年</w:t>
      </w:r>
      <w:r>
        <w:rPr>
          <w:spacing w:val="-49"/>
        </w:rPr>
        <w:t> </w:t>
      </w:r>
      <w:r>
        <w:rPr/>
        <w:t>5</w:t>
      </w:r>
      <w:r>
        <w:rPr>
          <w:spacing w:val="-48"/>
        </w:rPr>
        <w:t> </w:t>
      </w:r>
      <w:r>
        <w:rPr/>
        <w:t>月</w:t>
      </w:r>
      <w:r>
        <w:rPr>
          <w:spacing w:val="-48"/>
        </w:rPr>
        <w:t> </w:t>
      </w:r>
      <w:r>
        <w:rPr/>
        <w:t>19</w:t>
      </w:r>
      <w:r>
        <w:rPr>
          <w:spacing w:val="-49"/>
        </w:rPr>
        <w:t> </w:t>
      </w:r>
      <w:r>
        <w:rPr/>
        <w:t>日至报</w:t>
      </w:r>
      <w:r>
        <w:rPr/>
        <w:t> 告期末，任公司副总裁之职。1999</w:t>
      </w:r>
      <w:r>
        <w:rPr>
          <w:spacing w:val="-40"/>
        </w:rPr>
        <w:t> </w:t>
      </w:r>
      <w:r>
        <w:rPr/>
        <w:t>年至报告期末，历任公司计算机公司总工程师、总经</w:t>
      </w:r>
      <w:r>
        <w:rPr/>
        <w:t> 理、公司副总裁兼计算机系统本部总经理。未在股东单位和除公司子公司以外的其他单</w:t>
      </w:r>
      <w:r>
        <w:rPr>
          <w:spacing w:val="-47"/>
        </w:rPr>
        <w:t> </w:t>
      </w:r>
      <w:r>
        <w:rPr>
          <w:spacing w:val="-47"/>
        </w:rPr>
      </w:r>
      <w:r>
        <w:rPr/>
        <w:t>位任职或兼职。</w:t>
      </w:r>
    </w:p>
    <w:p>
      <w:pPr>
        <w:spacing w:line="240" w:lineRule="auto" w:before="11"/>
        <w:rPr>
          <w:rFonts w:ascii="宋体" w:hAnsi="宋体" w:cs="宋体" w:eastAsia="宋体" w:hint="default"/>
          <w:sz w:val="23"/>
          <w:szCs w:val="23"/>
        </w:rPr>
      </w:pPr>
    </w:p>
    <w:p>
      <w:pPr>
        <w:pStyle w:val="BodyText"/>
        <w:spacing w:line="237" w:lineRule="auto"/>
        <w:ind w:right="106"/>
        <w:jc w:val="left"/>
      </w:pPr>
      <w:r>
        <w:rPr>
          <w:rFonts w:ascii="宋体" w:hAnsi="宋体" w:cs="宋体" w:eastAsia="宋体" w:hint="default"/>
          <w:b/>
          <w:bCs/>
        </w:rPr>
        <w:t>张宇宙先生</w:t>
      </w:r>
      <w:r>
        <w:rPr/>
        <w:t>，47</w:t>
      </w:r>
      <w:r>
        <w:rPr>
          <w:spacing w:val="-46"/>
        </w:rPr>
        <w:t> </w:t>
      </w:r>
      <w:r>
        <w:rPr>
          <w:spacing w:val="8"/>
        </w:rPr>
        <w:t>岁，硕士，讲师，毕业于清华大学热能系。2004年5月</w:t>
      </w:r>
      <w:r>
        <w:rPr>
          <w:spacing w:val="-46"/>
        </w:rPr>
        <w:t> </w:t>
      </w:r>
      <w:r>
        <w:rPr/>
        <w:t>19</w:t>
      </w:r>
      <w:r>
        <w:rPr>
          <w:spacing w:val="-47"/>
        </w:rPr>
        <w:t> </w:t>
      </w:r>
      <w:r>
        <w:rPr/>
        <w:t>日至报告期</w:t>
      </w:r>
      <w:r>
        <w:rPr>
          <w:spacing w:val="-118"/>
        </w:rPr>
        <w:t> </w:t>
      </w:r>
      <w:r>
        <w:rPr>
          <w:spacing w:val="-118"/>
        </w:rPr>
      </w:r>
      <w:r>
        <w:rPr/>
        <w:t>末，任公司副总裁之职。1999</w:t>
      </w:r>
      <w:r>
        <w:rPr>
          <w:spacing w:val="-60"/>
        </w:rPr>
        <w:t> </w:t>
      </w:r>
      <w:r>
        <w:rPr/>
        <w:t>年至</w:t>
      </w:r>
      <w:r>
        <w:rPr>
          <w:spacing w:val="-60"/>
        </w:rPr>
        <w:t> </w:t>
      </w:r>
      <w:r>
        <w:rPr/>
        <w:t>2003</w:t>
      </w:r>
      <w:r>
        <w:rPr>
          <w:spacing w:val="-60"/>
        </w:rPr>
        <w:t> </w:t>
      </w:r>
      <w:r>
        <w:rPr/>
        <w:t>年，任无锡恩福油封有限公司董事兼副总经理；</w:t>
      </w:r>
      <w:r>
        <w:rPr/>
        <w:t> 2003</w:t>
      </w:r>
      <w:r>
        <w:rPr>
          <w:spacing w:val="-53"/>
        </w:rPr>
        <w:t> </w:t>
      </w:r>
      <w:r>
        <w:rPr/>
        <w:t>年</w:t>
      </w:r>
      <w:r>
        <w:rPr>
          <w:spacing w:val="-53"/>
        </w:rPr>
        <w:t> </w:t>
      </w:r>
      <w:r>
        <w:rPr/>
        <w:t>3</w:t>
      </w:r>
      <w:r>
        <w:rPr>
          <w:spacing w:val="-54"/>
        </w:rPr>
        <w:t> </w:t>
      </w:r>
      <w:r>
        <w:rPr/>
        <w:t>月至报告期末，任公司副总裁兼能源与环境本部总经理。未在股东单位和除公</w:t>
      </w:r>
      <w:r>
        <w:rPr/>
        <w:t> 司子公司以外的其他单位任职或兼职。</w:t>
      </w:r>
    </w:p>
    <w:p>
      <w:pPr>
        <w:spacing w:line="240" w:lineRule="auto" w:before="1"/>
        <w:rPr>
          <w:rFonts w:ascii="宋体" w:hAnsi="宋体" w:cs="宋体" w:eastAsia="宋体" w:hint="default"/>
          <w:sz w:val="26"/>
          <w:szCs w:val="26"/>
        </w:rPr>
      </w:pPr>
    </w:p>
    <w:p>
      <w:pPr>
        <w:pStyle w:val="BodyText"/>
        <w:spacing w:line="310" w:lineRule="exact"/>
        <w:ind w:right="222"/>
        <w:jc w:val="both"/>
      </w:pPr>
      <w:r>
        <w:rPr>
          <w:rFonts w:ascii="宋体" w:hAnsi="宋体" w:cs="宋体" w:eastAsia="宋体" w:hint="default"/>
          <w:b/>
          <w:bCs/>
        </w:rPr>
        <w:t>孙</w:t>
      </w:r>
      <w:r>
        <w:rPr>
          <w:rFonts w:ascii="宋体" w:hAnsi="宋体" w:cs="宋体" w:eastAsia="宋体" w:hint="default"/>
          <w:b/>
          <w:bCs/>
          <w:spacing w:val="4"/>
        </w:rPr>
        <w:t> </w:t>
      </w:r>
      <w:r>
        <w:rPr>
          <w:rFonts w:ascii="宋体" w:hAnsi="宋体" w:cs="宋体" w:eastAsia="宋体" w:hint="default"/>
          <w:b/>
          <w:bCs/>
        </w:rPr>
        <w:t>岷先生</w:t>
      </w:r>
      <w:r>
        <w:rPr/>
        <w:t>，41</w:t>
      </w:r>
      <w:r>
        <w:rPr>
          <w:spacing w:val="-47"/>
        </w:rPr>
        <w:t> </w:t>
      </w:r>
      <w:r>
        <w:rPr>
          <w:spacing w:val="8"/>
        </w:rPr>
        <w:t>岁，硕士，毕业于清华大学经济管理学院。2004年5月</w:t>
      </w:r>
      <w:r>
        <w:rPr>
          <w:spacing w:val="-47"/>
        </w:rPr>
        <w:t> </w:t>
      </w:r>
      <w:r>
        <w:rPr/>
        <w:t>19</w:t>
      </w:r>
      <w:r>
        <w:rPr>
          <w:spacing w:val="-48"/>
        </w:rPr>
        <w:t> </w:t>
      </w:r>
      <w:r>
        <w:rPr/>
        <w:t>日至报告期</w:t>
      </w:r>
      <w:r>
        <w:rPr/>
        <w:t> 末，任公司董事会秘书之职。2005</w:t>
      </w:r>
      <w:r>
        <w:rPr>
          <w:spacing w:val="-33"/>
        </w:rPr>
        <w:t> </w:t>
      </w:r>
      <w:r>
        <w:rPr/>
        <w:t>年</w:t>
      </w:r>
      <w:r>
        <w:rPr>
          <w:spacing w:val="-33"/>
        </w:rPr>
        <w:t> </w:t>
      </w:r>
      <w:r>
        <w:rPr/>
        <w:t>4</w:t>
      </w:r>
      <w:r>
        <w:rPr>
          <w:spacing w:val="-32"/>
        </w:rPr>
        <w:t> </w:t>
      </w:r>
      <w:r>
        <w:rPr/>
        <w:t>月</w:t>
      </w:r>
      <w:r>
        <w:rPr>
          <w:spacing w:val="-33"/>
        </w:rPr>
        <w:t> </w:t>
      </w:r>
      <w:r>
        <w:rPr/>
        <w:t>21</w:t>
      </w:r>
      <w:r>
        <w:rPr>
          <w:spacing w:val="-33"/>
        </w:rPr>
        <w:t> </w:t>
      </w:r>
      <w:r>
        <w:rPr/>
        <w:t>日至报告期末，任公司副总裁之职。1997</w:t>
      </w:r>
    </w:p>
    <w:p>
      <w:pPr>
        <w:pStyle w:val="BodyText"/>
        <w:spacing w:line="310" w:lineRule="exact" w:before="2"/>
        <w:ind w:right="223"/>
        <w:jc w:val="both"/>
      </w:pPr>
      <w:r>
        <w:rPr/>
        <w:t>年 4</w:t>
      </w:r>
      <w:r>
        <w:rPr>
          <w:spacing w:val="-70"/>
        </w:rPr>
        <w:t> </w:t>
      </w:r>
      <w:r>
        <w:rPr/>
        <w:t>月至报告期末，历任公司董事会秘书、副总裁。未在股东单位和除公司子公司以外</w:t>
      </w:r>
      <w:r>
        <w:rPr>
          <w:spacing w:val="-1"/>
        </w:rPr>
        <w:t> </w:t>
      </w:r>
      <w:r>
        <w:rPr/>
        <w:t>的其他单位任职或兼职。</w:t>
      </w:r>
    </w:p>
    <w:p>
      <w:pPr>
        <w:spacing w:line="240" w:lineRule="auto" w:before="12"/>
        <w:rPr>
          <w:rFonts w:ascii="宋体" w:hAnsi="宋体" w:cs="宋体" w:eastAsia="宋体" w:hint="default"/>
          <w:sz w:val="20"/>
          <w:szCs w:val="20"/>
        </w:rPr>
      </w:pPr>
    </w:p>
    <w:p>
      <w:pPr>
        <w:pStyle w:val="Heading2"/>
        <w:spacing w:line="240" w:lineRule="auto"/>
        <w:ind w:left="138" w:right="0"/>
        <w:jc w:val="both"/>
        <w:rPr>
          <w:b w:val="0"/>
          <w:bCs w:val="0"/>
        </w:rPr>
      </w:pPr>
      <w:r>
        <w:rPr/>
        <w:t>(三)公司董事、监事、高级管理人员的年度薪酬情况</w:t>
      </w:r>
      <w:r>
        <w:rPr>
          <w:b w:val="0"/>
          <w:bCs w:val="0"/>
        </w:rPr>
      </w:r>
    </w:p>
    <w:p>
      <w:pPr>
        <w:spacing w:line="240" w:lineRule="auto" w:before="5"/>
        <w:rPr>
          <w:rFonts w:ascii="宋体" w:hAnsi="宋体" w:cs="宋体" w:eastAsia="宋体" w:hint="default"/>
          <w:b/>
          <w:bCs/>
          <w:sz w:val="23"/>
          <w:szCs w:val="23"/>
        </w:rPr>
      </w:pPr>
    </w:p>
    <w:p>
      <w:pPr>
        <w:pStyle w:val="BodyText"/>
        <w:spacing w:line="312" w:lineRule="exact"/>
        <w:ind w:right="220"/>
        <w:jc w:val="both"/>
      </w:pPr>
      <w:r>
        <w:rPr/>
        <w:t>按照公司资产规模、经营业绩和承担工作的职责等考评指标，公司董事会对高级管理人</w:t>
      </w:r>
      <w:r>
        <w:rPr>
          <w:spacing w:val="-47"/>
        </w:rPr>
        <w:t> </w:t>
      </w:r>
      <w:r>
        <w:rPr>
          <w:spacing w:val="-47"/>
        </w:rPr>
      </w:r>
      <w:r>
        <w:rPr/>
        <w:t>员的绩效进行考核，目前公司管理层的薪酬体系采用年薪制。</w:t>
      </w:r>
    </w:p>
    <w:p>
      <w:pPr>
        <w:spacing w:line="240" w:lineRule="auto" w:before="7"/>
        <w:rPr>
          <w:rFonts w:ascii="宋体" w:hAnsi="宋体" w:cs="宋体" w:eastAsia="宋体" w:hint="default"/>
          <w:sz w:val="21"/>
          <w:szCs w:val="21"/>
        </w:rPr>
      </w:pPr>
    </w:p>
    <w:p>
      <w:pPr>
        <w:pStyle w:val="BodyText"/>
        <w:spacing w:line="237" w:lineRule="auto"/>
        <w:ind w:right="220"/>
        <w:jc w:val="both"/>
      </w:pPr>
      <w:r>
        <w:rPr/>
        <w:t>报告期内现任公司董事、监事及高级管理人员中共有十人在本公司受薪或领取津贴，总</w:t>
      </w:r>
      <w:r>
        <w:rPr>
          <w:spacing w:val="-47"/>
        </w:rPr>
        <w:t> </w:t>
      </w:r>
      <w:r>
        <w:rPr>
          <w:spacing w:val="-47"/>
        </w:rPr>
      </w:r>
      <w:r>
        <w:rPr/>
        <w:t>额为</w:t>
      </w:r>
      <w:r>
        <w:rPr>
          <w:spacing w:val="-40"/>
        </w:rPr>
        <w:t> </w:t>
      </w:r>
      <w:r>
        <w:rPr/>
        <w:t>329.5</w:t>
      </w:r>
      <w:r>
        <w:rPr>
          <w:spacing w:val="-40"/>
        </w:rPr>
        <w:t> </w:t>
      </w:r>
      <w:r>
        <w:rPr/>
        <w:t>万元。其中公司现任独立董事三名领取的津贴及其他待遇每人均为</w:t>
      </w:r>
      <w:r>
        <w:rPr>
          <w:spacing w:val="-40"/>
        </w:rPr>
        <w:t> </w:t>
      </w:r>
      <w:r>
        <w:rPr/>
        <w:t>10</w:t>
      </w:r>
      <w:r>
        <w:rPr>
          <w:spacing w:val="-40"/>
        </w:rPr>
        <w:t> </w:t>
      </w:r>
      <w:r>
        <w:rPr/>
        <w:t>万元/</w:t>
      </w:r>
      <w:r>
        <w:rPr/>
        <w:t> 年。</w:t>
      </w:r>
    </w:p>
    <w:p>
      <w:pPr>
        <w:spacing w:line="240" w:lineRule="auto" w:before="8"/>
        <w:rPr>
          <w:rFonts w:ascii="宋体" w:hAnsi="宋体" w:cs="宋体" w:eastAsia="宋体" w:hint="default"/>
          <w:sz w:val="23"/>
          <w:szCs w:val="23"/>
        </w:rPr>
      </w:pPr>
    </w:p>
    <w:p>
      <w:pPr>
        <w:pStyle w:val="BodyText"/>
        <w:spacing w:line="240" w:lineRule="auto"/>
        <w:ind w:right="0"/>
        <w:jc w:val="both"/>
      </w:pPr>
      <w:r>
        <w:rPr/>
        <w:t>公司董事、监事、高级管理人员薪酬的具体情况为：</w:t>
      </w:r>
    </w:p>
    <w:p>
      <w:pPr>
        <w:spacing w:after="0" w:line="240"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317"/>
        <w:gridCol w:w="2230"/>
        <w:gridCol w:w="2704"/>
        <w:gridCol w:w="3167"/>
      </w:tblGrid>
      <w:tr>
        <w:trPr>
          <w:trHeight w:val="568" w:hRule="exact"/>
        </w:trPr>
        <w:tc>
          <w:tcPr>
            <w:tcW w:w="1317" w:type="dxa"/>
            <w:tcBorders>
              <w:top w:val="single" w:sz="12" w:space="0" w:color="000000"/>
              <w:left w:val="single" w:sz="12" w:space="0" w:color="000000"/>
              <w:bottom w:val="single" w:sz="8" w:space="0" w:color="000000"/>
              <w:right w:val="single" w:sz="8" w:space="0" w:color="000000"/>
            </w:tcBorders>
            <w:shd w:val="clear" w:color="auto" w:fill="CCCCCC"/>
          </w:tcPr>
          <w:p>
            <w:pPr>
              <w:pStyle w:val="TableParagraph"/>
              <w:tabs>
                <w:tab w:pos="854" w:val="left" w:leader="none"/>
              </w:tabs>
              <w:spacing w:line="240" w:lineRule="auto" w:before="100"/>
              <w:ind w:left="220" w:right="0"/>
              <w:jc w:val="left"/>
              <w:rPr>
                <w:rFonts w:ascii="宋体" w:hAnsi="宋体" w:cs="宋体" w:eastAsia="宋体" w:hint="default"/>
                <w:sz w:val="21"/>
                <w:szCs w:val="21"/>
              </w:rPr>
            </w:pPr>
            <w:r>
              <w:rPr>
                <w:rFonts w:ascii="宋体" w:hAnsi="宋体" w:cs="宋体" w:eastAsia="宋体" w:hint="default"/>
                <w:b/>
                <w:bCs/>
                <w:w w:val="95"/>
                <w:sz w:val="21"/>
                <w:szCs w:val="21"/>
              </w:rPr>
              <w:t>姓</w:t>
              <w:tab/>
            </w:r>
            <w:r>
              <w:rPr>
                <w:rFonts w:ascii="宋体" w:hAnsi="宋体" w:cs="宋体" w:eastAsia="宋体" w:hint="default"/>
                <w:b/>
                <w:bCs/>
                <w:sz w:val="21"/>
                <w:szCs w:val="21"/>
              </w:rPr>
              <w:t>名</w:t>
            </w:r>
            <w:r>
              <w:rPr>
                <w:rFonts w:ascii="宋体" w:hAnsi="宋体" w:cs="宋体" w:eastAsia="宋体" w:hint="default"/>
                <w:sz w:val="21"/>
                <w:szCs w:val="21"/>
              </w:rPr>
            </w:r>
          </w:p>
        </w:tc>
        <w:tc>
          <w:tcPr>
            <w:tcW w:w="2230" w:type="dxa"/>
            <w:tcBorders>
              <w:top w:val="single" w:sz="12" w:space="0" w:color="000000"/>
              <w:left w:val="single" w:sz="8" w:space="0" w:color="000000"/>
              <w:bottom w:val="single" w:sz="8" w:space="0" w:color="000000"/>
              <w:right w:val="single" w:sz="8" w:space="0" w:color="000000"/>
            </w:tcBorders>
            <w:shd w:val="clear" w:color="auto" w:fill="CCCCCC"/>
          </w:tcPr>
          <w:p>
            <w:pPr>
              <w:pStyle w:val="TableParagraph"/>
              <w:tabs>
                <w:tab w:pos="1316" w:val="left" w:leader="none"/>
              </w:tabs>
              <w:spacing w:line="240" w:lineRule="auto" w:before="100"/>
              <w:ind w:left="682" w:right="0"/>
              <w:jc w:val="left"/>
              <w:rPr>
                <w:rFonts w:ascii="宋体" w:hAnsi="宋体" w:cs="宋体" w:eastAsia="宋体" w:hint="default"/>
                <w:sz w:val="21"/>
                <w:szCs w:val="21"/>
              </w:rPr>
            </w:pPr>
            <w:r>
              <w:rPr>
                <w:rFonts w:ascii="宋体" w:hAnsi="宋体" w:cs="宋体" w:eastAsia="宋体" w:hint="default"/>
                <w:b/>
                <w:bCs/>
                <w:w w:val="95"/>
                <w:sz w:val="21"/>
                <w:szCs w:val="21"/>
              </w:rPr>
              <w:t>任</w:t>
              <w:tab/>
            </w:r>
            <w:r>
              <w:rPr>
                <w:rFonts w:ascii="宋体" w:hAnsi="宋体" w:cs="宋体" w:eastAsia="宋体" w:hint="default"/>
                <w:b/>
                <w:bCs/>
                <w:sz w:val="21"/>
                <w:szCs w:val="21"/>
              </w:rPr>
              <w:t>职</w:t>
            </w:r>
            <w:r>
              <w:rPr>
                <w:rFonts w:ascii="宋体" w:hAnsi="宋体" w:cs="宋体" w:eastAsia="宋体" w:hint="default"/>
                <w:sz w:val="21"/>
                <w:szCs w:val="21"/>
              </w:rPr>
            </w:r>
          </w:p>
        </w:tc>
        <w:tc>
          <w:tcPr>
            <w:tcW w:w="2704" w:type="dxa"/>
            <w:tcBorders>
              <w:top w:val="single" w:sz="12" w:space="0" w:color="000000"/>
              <w:left w:val="single" w:sz="8" w:space="0" w:color="000000"/>
              <w:bottom w:val="single" w:sz="8" w:space="0" w:color="000000"/>
              <w:right w:val="single" w:sz="8" w:space="0" w:color="000000"/>
            </w:tcBorders>
            <w:shd w:val="clear" w:color="auto" w:fill="CCCCC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报告期内从公司领取的税</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前报酬总额(</w:t>
            </w:r>
            <w:r>
              <w:rPr>
                <w:rFonts w:ascii="宋体" w:hAnsi="宋体" w:cs="宋体" w:eastAsia="宋体" w:hint="default"/>
                <w:sz w:val="21"/>
                <w:szCs w:val="21"/>
              </w:rPr>
              <w:t>单位万元</w:t>
            </w:r>
            <w:r>
              <w:rPr>
                <w:rFonts w:ascii="宋体" w:hAnsi="宋体" w:cs="宋体" w:eastAsia="宋体" w:hint="default"/>
                <w:b/>
                <w:bCs/>
                <w:sz w:val="21"/>
                <w:szCs w:val="21"/>
              </w:rPr>
              <w:t>)</w:t>
            </w:r>
            <w:r>
              <w:rPr>
                <w:rFonts w:ascii="宋体" w:hAnsi="宋体" w:cs="宋体" w:eastAsia="宋体" w:hint="default"/>
                <w:sz w:val="21"/>
                <w:szCs w:val="21"/>
              </w:rPr>
            </w:r>
          </w:p>
        </w:tc>
        <w:tc>
          <w:tcPr>
            <w:tcW w:w="3167" w:type="dxa"/>
            <w:tcBorders>
              <w:top w:val="single" w:sz="12" w:space="0" w:color="000000"/>
              <w:left w:val="single" w:sz="8" w:space="0" w:color="000000"/>
              <w:bottom w:val="single" w:sz="8" w:space="0" w:color="000000"/>
              <w:right w:val="single" w:sz="12" w:space="0" w:color="000000"/>
            </w:tcBorders>
            <w:shd w:val="clear" w:color="auto" w:fill="CCCCCC"/>
          </w:tcPr>
          <w:p>
            <w:pPr>
              <w:pStyle w:val="TableParagraph"/>
              <w:tabs>
                <w:tab w:pos="1891" w:val="left" w:leader="none"/>
              </w:tabs>
              <w:spacing w:line="240" w:lineRule="auto" w:before="100"/>
              <w:ind w:left="1047" w:right="0"/>
              <w:jc w:val="left"/>
              <w:rPr>
                <w:rFonts w:ascii="宋体" w:hAnsi="宋体" w:cs="宋体" w:eastAsia="宋体" w:hint="default"/>
                <w:sz w:val="21"/>
                <w:szCs w:val="21"/>
              </w:rPr>
            </w:pPr>
            <w:r>
              <w:rPr>
                <w:rFonts w:ascii="宋体" w:hAnsi="宋体" w:cs="宋体" w:eastAsia="宋体" w:hint="default"/>
                <w:b/>
                <w:bCs/>
                <w:w w:val="95"/>
                <w:sz w:val="21"/>
                <w:szCs w:val="21"/>
              </w:rPr>
              <w:t>备</w:t>
              <w:tab/>
            </w:r>
            <w:r>
              <w:rPr>
                <w:rFonts w:ascii="宋体" w:hAnsi="宋体" w:cs="宋体" w:eastAsia="宋体" w:hint="default"/>
                <w:b/>
                <w:bCs/>
                <w:sz w:val="21"/>
                <w:szCs w:val="21"/>
              </w:rPr>
              <w:t>注</w:t>
            </w:r>
            <w:r>
              <w:rPr>
                <w:rFonts w:ascii="宋体" w:hAnsi="宋体" w:cs="宋体" w:eastAsia="宋体" w:hint="default"/>
                <w:sz w:val="21"/>
                <w:szCs w:val="21"/>
              </w:rPr>
            </w: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荣泳霖</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3167"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在清华大学领取薪金</w:t>
            </w: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副董事长、总裁</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61.3</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2"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马二恩</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3167"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在清华控股有限公司领取薪金</w:t>
            </w: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3167"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在清华控股有限公司领取薪金</w:t>
            </w: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程凤朝</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2"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陈金占</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tabs>
                <w:tab w:pos="513"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夏</w:t>
              <w:tab/>
              <w:t>斌</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2"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赵纯均</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3167"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在清华大学领取薪金</w:t>
            </w: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tabs>
                <w:tab w:pos="513"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秦</w:t>
              <w:tab/>
              <w:t>蓬</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3167"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在清华控股有限公司领取薪金</w:t>
            </w: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tabs>
                <w:tab w:pos="513"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w:t>
              <w:tab/>
              <w:t>刚</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22.6</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2"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刘天民</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42.0</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43.4</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2"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李健航</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43.4</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张宇宙</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43.4</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孙岷</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副总裁、董事会秘书</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43.4</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7" w:hRule="exact"/>
        </w:trPr>
        <w:tc>
          <w:tcPr>
            <w:tcW w:w="1317"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30" w:type="dxa"/>
            <w:tcBorders>
              <w:top w:val="single" w:sz="8" w:space="0" w:color="000000"/>
              <w:left w:val="single" w:sz="8" w:space="0" w:color="000000"/>
              <w:bottom w:val="single" w:sz="12" w:space="0" w:color="000000"/>
              <w:right w:val="single" w:sz="8" w:space="0" w:color="000000"/>
            </w:tcBorders>
          </w:tcPr>
          <w:p>
            <w:pPr/>
          </w:p>
        </w:tc>
        <w:tc>
          <w:tcPr>
            <w:tcW w:w="2704"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329.5</w:t>
            </w:r>
          </w:p>
        </w:tc>
        <w:tc>
          <w:tcPr>
            <w:tcW w:w="3167" w:type="dxa"/>
            <w:tcBorders>
              <w:top w:val="single" w:sz="8" w:space="0" w:color="000000"/>
              <w:left w:val="single" w:sz="8" w:space="0" w:color="000000"/>
              <w:bottom w:val="single" w:sz="12" w:space="0" w:color="000000"/>
              <w:right w:val="single" w:sz="12" w:space="0" w:color="000000"/>
            </w:tcBorders>
          </w:tcPr>
          <w:p>
            <w:pPr/>
          </w:p>
        </w:tc>
      </w:tr>
    </w:tbl>
    <w:p>
      <w:pPr>
        <w:spacing w:line="238" w:lineRule="exact"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注：税前报酬总额包括基本工资、奖金、津贴、补贴、职工福利费和各项保险费、公积金以及以其他</w:t>
      </w:r>
    </w:p>
    <w:p>
      <w:pPr>
        <w:spacing w:line="274" w:lineRule="exact"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形式从公司获得的报酬。</w:t>
      </w:r>
    </w:p>
    <w:p>
      <w:pPr>
        <w:spacing w:line="240" w:lineRule="auto" w:before="11"/>
        <w:rPr>
          <w:rFonts w:ascii="宋体" w:hAnsi="宋体" w:cs="宋体" w:eastAsia="宋体" w:hint="default"/>
          <w:sz w:val="22"/>
          <w:szCs w:val="22"/>
        </w:rPr>
      </w:pPr>
    </w:p>
    <w:p>
      <w:pPr>
        <w:spacing w:line="458" w:lineRule="auto" w:before="0"/>
        <w:ind w:left="238" w:right="1273" w:firstLine="0"/>
        <w:jc w:val="left"/>
        <w:rPr>
          <w:rFonts w:ascii="宋体" w:hAnsi="宋体" w:cs="宋体" w:eastAsia="宋体" w:hint="default"/>
          <w:sz w:val="28"/>
          <w:szCs w:val="28"/>
        </w:rPr>
      </w:pPr>
      <w:r>
        <w:rPr>
          <w:rFonts w:ascii="宋体" w:hAnsi="宋体" w:cs="宋体" w:eastAsia="宋体" w:hint="default"/>
          <w:b/>
          <w:bCs/>
          <w:sz w:val="28"/>
          <w:szCs w:val="28"/>
        </w:rPr>
        <w:t>(四)本报告期内公司董事、监事、高管人员变动及增补的情况说明</w:t>
      </w:r>
      <w:r>
        <w:rPr>
          <w:rFonts w:ascii="宋体" w:hAnsi="宋体" w:cs="宋体" w:eastAsia="宋体" w:hint="default"/>
          <w:b/>
          <w:bCs/>
          <w:spacing w:val="1"/>
          <w:w w:val="99"/>
          <w:sz w:val="28"/>
          <w:szCs w:val="28"/>
        </w:rPr>
        <w:t> </w:t>
      </w:r>
      <w:r>
        <w:rPr>
          <w:rFonts w:ascii="宋体" w:hAnsi="宋体" w:cs="宋体" w:eastAsia="宋体" w:hint="default"/>
          <w:sz w:val="24"/>
          <w:szCs w:val="24"/>
        </w:rPr>
        <w:t>本报告期内，公司未发生董事、监事、高管人员变动及增补的情况。 </w:t>
      </w:r>
      <w:r>
        <w:rPr>
          <w:rFonts w:ascii="宋体" w:hAnsi="宋体" w:cs="宋体" w:eastAsia="宋体" w:hint="default"/>
          <w:b/>
          <w:bCs/>
          <w:sz w:val="28"/>
          <w:szCs w:val="28"/>
        </w:rPr>
        <w:t>(五)公司员工的数量、专业构成、教育程度及退休职工人数情况</w:t>
      </w:r>
      <w:r>
        <w:rPr>
          <w:rFonts w:ascii="宋体" w:hAnsi="宋体" w:cs="宋体" w:eastAsia="宋体" w:hint="default"/>
          <w:sz w:val="28"/>
          <w:szCs w:val="28"/>
        </w:rPr>
      </w:r>
    </w:p>
    <w:p>
      <w:pPr>
        <w:pStyle w:val="BodyText"/>
        <w:spacing w:line="312" w:lineRule="exact" w:before="22"/>
        <w:ind w:left="238" w:right="107"/>
        <w:jc w:val="left"/>
      </w:pPr>
      <w:r>
        <w:rPr/>
        <w:t>2008</w:t>
      </w:r>
      <w:r>
        <w:rPr>
          <w:spacing w:val="-40"/>
        </w:rPr>
        <w:t> </w:t>
      </w:r>
      <w:r>
        <w:rPr/>
        <w:t>年，公司加强了内部管理，有效实施了人员与机构的精简，公司员工总数与去年相</w:t>
      </w:r>
    </w:p>
    <w:p>
      <w:pPr>
        <w:pStyle w:val="BodyText"/>
        <w:spacing w:line="312" w:lineRule="exact"/>
        <w:ind w:left="238" w:right="107"/>
        <w:jc w:val="left"/>
      </w:pPr>
      <w:r>
        <w:rPr/>
        <w:t>比略有下降。截止</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日公司(母公司)职工总数</w:t>
      </w:r>
      <w:r>
        <w:rPr>
          <w:spacing w:val="-60"/>
        </w:rPr>
        <w:t> </w:t>
      </w:r>
      <w:r>
        <w:rPr/>
        <w:t>2395</w:t>
      </w:r>
      <w:r>
        <w:rPr>
          <w:spacing w:val="-60"/>
        </w:rPr>
        <w:t> </w:t>
      </w:r>
      <w:r>
        <w:rPr/>
        <w:t>人，其中：</w:t>
      </w:r>
    </w:p>
    <w:p>
      <w:pPr>
        <w:spacing w:line="240" w:lineRule="auto" w:before="1"/>
        <w:rPr>
          <w:rFonts w:ascii="宋体" w:hAnsi="宋体" w:cs="宋体" w:eastAsia="宋体" w:hint="default"/>
          <w:sz w:val="26"/>
          <w:szCs w:val="26"/>
        </w:rPr>
      </w:pPr>
    </w:p>
    <w:p>
      <w:pPr>
        <w:pStyle w:val="BodyText"/>
        <w:spacing w:line="310" w:lineRule="exact"/>
        <w:ind w:left="238" w:right="230"/>
        <w:jc w:val="left"/>
      </w:pPr>
      <w:r>
        <w:rPr/>
        <w:t>(1)按照教育程度构成分类：大学以上学历</w:t>
      </w:r>
      <w:r>
        <w:rPr>
          <w:spacing w:val="-57"/>
        </w:rPr>
        <w:t> </w:t>
      </w:r>
      <w:r>
        <w:rPr/>
        <w:t>1508</w:t>
      </w:r>
      <w:r>
        <w:rPr>
          <w:spacing w:val="-57"/>
        </w:rPr>
        <w:t> </w:t>
      </w:r>
      <w:r>
        <w:rPr/>
        <w:t>人占</w:t>
      </w:r>
      <w:r>
        <w:rPr>
          <w:spacing w:val="-57"/>
        </w:rPr>
        <w:t> </w:t>
      </w:r>
      <w:r>
        <w:rPr/>
        <w:t>62.95%；大专和中专学历</w:t>
      </w:r>
      <w:r>
        <w:rPr>
          <w:spacing w:val="-57"/>
        </w:rPr>
        <w:t> </w:t>
      </w:r>
      <w:r>
        <w:rPr/>
        <w:t>773</w:t>
      </w:r>
      <w:r>
        <w:rPr>
          <w:spacing w:val="-56"/>
        </w:rPr>
        <w:t> </w:t>
      </w:r>
      <w:r>
        <w:rPr/>
        <w:t>人占</w:t>
      </w:r>
      <w:r>
        <w:rPr/>
        <w:t> 32.29%。</w:t>
      </w:r>
    </w:p>
    <w:p>
      <w:pPr>
        <w:spacing w:line="240" w:lineRule="auto" w:before="10"/>
        <w:rPr>
          <w:rFonts w:ascii="宋体" w:hAnsi="宋体" w:cs="宋体" w:eastAsia="宋体" w:hint="default"/>
          <w:sz w:val="23"/>
          <w:szCs w:val="23"/>
        </w:rPr>
      </w:pPr>
    </w:p>
    <w:p>
      <w:pPr>
        <w:pStyle w:val="BodyText"/>
        <w:spacing w:line="312" w:lineRule="exact"/>
        <w:ind w:left="238" w:right="227"/>
        <w:jc w:val="left"/>
      </w:pPr>
      <w:r>
        <w:rPr>
          <w:spacing w:val="-3"/>
        </w:rPr>
        <w:t>(2)专业构成分类：研发和工程技术人员</w:t>
      </w:r>
      <w:r>
        <w:rPr>
          <w:spacing w:val="-56"/>
        </w:rPr>
        <w:t> </w:t>
      </w:r>
      <w:r>
        <w:rPr/>
        <w:t>877</w:t>
      </w:r>
      <w:r>
        <w:rPr>
          <w:spacing w:val="-56"/>
        </w:rPr>
        <w:t> </w:t>
      </w:r>
      <w:r>
        <w:rPr/>
        <w:t>人占</w:t>
      </w:r>
      <w:r>
        <w:rPr>
          <w:spacing w:val="-56"/>
        </w:rPr>
        <w:t> </w:t>
      </w:r>
      <w:r>
        <w:rPr>
          <w:spacing w:val="-4"/>
        </w:rPr>
        <w:t>36.61%；经营管理和行政人员</w:t>
      </w:r>
      <w:r>
        <w:rPr>
          <w:spacing w:val="-56"/>
        </w:rPr>
        <w:t> </w:t>
      </w:r>
      <w:r>
        <w:rPr/>
        <w:t>497</w:t>
      </w:r>
      <w:r>
        <w:rPr>
          <w:spacing w:val="-56"/>
        </w:rPr>
        <w:t> </w:t>
      </w:r>
      <w:r>
        <w:rPr/>
        <w:t>人占</w:t>
      </w:r>
      <w:r>
        <w:rPr/>
        <w:t> 20.73%；销售、市场与技术服务人员</w:t>
      </w:r>
      <w:r>
        <w:rPr>
          <w:spacing w:val="-60"/>
        </w:rPr>
        <w:t> </w:t>
      </w:r>
      <w:r>
        <w:rPr/>
        <w:t>903</w:t>
      </w:r>
      <w:r>
        <w:rPr>
          <w:spacing w:val="-60"/>
        </w:rPr>
        <w:t> </w:t>
      </w:r>
      <w:r>
        <w:rPr/>
        <w:t>人占</w:t>
      </w:r>
      <w:r>
        <w:rPr>
          <w:spacing w:val="-60"/>
        </w:rPr>
        <w:t> </w:t>
      </w:r>
      <w:r>
        <w:rPr/>
        <w:t>37.67%，其余为生产人员。</w:t>
      </w:r>
    </w:p>
    <w:p>
      <w:pPr>
        <w:spacing w:line="240" w:lineRule="auto" w:before="9"/>
        <w:rPr>
          <w:rFonts w:ascii="宋体" w:hAnsi="宋体" w:cs="宋体" w:eastAsia="宋体" w:hint="default"/>
          <w:sz w:val="23"/>
          <w:szCs w:val="23"/>
        </w:rPr>
      </w:pPr>
    </w:p>
    <w:p>
      <w:pPr>
        <w:pStyle w:val="BodyText"/>
        <w:spacing w:line="312" w:lineRule="exact"/>
        <w:ind w:left="238" w:right="236"/>
        <w:jc w:val="left"/>
      </w:pPr>
      <w:r>
        <w:rPr/>
        <w:t>(3)年龄结构：29</w:t>
      </w:r>
      <w:r>
        <w:rPr>
          <w:spacing w:val="-65"/>
        </w:rPr>
        <w:t> </w:t>
      </w:r>
      <w:r>
        <w:rPr/>
        <w:t>岁及以下</w:t>
      </w:r>
      <w:r>
        <w:rPr>
          <w:spacing w:val="-65"/>
        </w:rPr>
        <w:t> </w:t>
      </w:r>
      <w:r>
        <w:rPr/>
        <w:t>1038</w:t>
      </w:r>
      <w:r>
        <w:rPr>
          <w:spacing w:val="-65"/>
        </w:rPr>
        <w:t> </w:t>
      </w:r>
      <w:r>
        <w:rPr/>
        <w:t>人占</w:t>
      </w:r>
      <w:r>
        <w:rPr>
          <w:spacing w:val="-65"/>
        </w:rPr>
        <w:t> </w:t>
      </w:r>
      <w:r>
        <w:rPr/>
        <w:t>43.32%；30-39</w:t>
      </w:r>
      <w:r>
        <w:rPr>
          <w:spacing w:val="-65"/>
        </w:rPr>
        <w:t> </w:t>
      </w:r>
      <w:r>
        <w:rPr/>
        <w:t>岁</w:t>
      </w:r>
      <w:r>
        <w:rPr>
          <w:spacing w:val="-65"/>
        </w:rPr>
        <w:t> </w:t>
      </w:r>
      <w:r>
        <w:rPr/>
        <w:t>1026</w:t>
      </w:r>
      <w:r>
        <w:rPr>
          <w:spacing w:val="-65"/>
        </w:rPr>
        <w:t> </w:t>
      </w:r>
      <w:r>
        <w:rPr/>
        <w:t>人占</w:t>
      </w:r>
      <w:r>
        <w:rPr>
          <w:spacing w:val="-65"/>
        </w:rPr>
        <w:t> </w:t>
      </w:r>
      <w:r>
        <w:rPr/>
        <w:t>42.83%；40-50</w:t>
      </w:r>
      <w:r>
        <w:rPr>
          <w:spacing w:val="-65"/>
        </w:rPr>
        <w:t> </w:t>
      </w:r>
      <w:r>
        <w:rPr/>
        <w:t>岁</w:t>
      </w:r>
      <w:r>
        <w:rPr>
          <w:spacing w:val="-65"/>
        </w:rPr>
        <w:t> </w:t>
      </w:r>
      <w:r>
        <w:rPr/>
        <w:t>220</w:t>
      </w:r>
      <w:r>
        <w:rPr/>
        <w:t> 人占</w:t>
      </w:r>
      <w:r>
        <w:rPr>
          <w:spacing w:val="-60"/>
        </w:rPr>
        <w:t> </w:t>
      </w:r>
      <w:r>
        <w:rPr/>
        <w:t>9.18%；其余为</w:t>
      </w:r>
      <w:r>
        <w:rPr>
          <w:spacing w:val="-60"/>
        </w:rPr>
        <w:t> </w:t>
      </w:r>
      <w:r>
        <w:rPr/>
        <w:t>50</w:t>
      </w:r>
      <w:r>
        <w:rPr>
          <w:spacing w:val="-60"/>
        </w:rPr>
        <w:t> </w:t>
      </w:r>
      <w:r>
        <w:rPr/>
        <w:t>岁以上。</w:t>
      </w:r>
    </w:p>
    <w:p>
      <w:pPr>
        <w:spacing w:line="240" w:lineRule="auto" w:before="9"/>
        <w:rPr>
          <w:rFonts w:ascii="宋体" w:hAnsi="宋体" w:cs="宋体" w:eastAsia="宋体" w:hint="default"/>
          <w:sz w:val="23"/>
          <w:szCs w:val="23"/>
        </w:rPr>
      </w:pPr>
    </w:p>
    <w:p>
      <w:pPr>
        <w:pStyle w:val="BodyText"/>
        <w:spacing w:line="312" w:lineRule="exact"/>
        <w:ind w:left="238" w:right="227"/>
        <w:jc w:val="left"/>
      </w:pPr>
      <w:r>
        <w:rPr/>
        <w:t>根据国家有关规定，公司员工全部参加了社会统筹。目前公司有离退休职</w:t>
      </w:r>
      <w:r>
        <w:rPr>
          <w:spacing w:val="-73"/>
        </w:rPr>
        <w:t> </w:t>
      </w:r>
      <w:r>
        <w:rPr/>
        <w:t>27</w:t>
      </w:r>
      <w:r>
        <w:rPr>
          <w:spacing w:val="-73"/>
        </w:rPr>
        <w:t> </w:t>
      </w:r>
      <w:r>
        <w:rPr>
          <w:spacing w:val="-3"/>
        </w:rPr>
        <w:t>名，其职工</w:t>
      </w:r>
      <w:r>
        <w:rPr/>
        <w:t> 退休金由社会统筹机构负责发放。</w:t>
      </w:r>
    </w:p>
    <w:p>
      <w:pPr>
        <w:spacing w:after="0" w:line="312" w:lineRule="exact"/>
        <w:jc w:val="left"/>
        <w:sectPr>
          <w:headerReference w:type="default" r:id="rId16"/>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954" w:lineRule="exact"/>
        <w:ind w:left="1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61.6pt;height:47.7pt;mso-position-horizontal-relative:char;mso-position-vertical-relative:line" coordorigin="0,0" coordsize="3232,954">
            <v:shape style="position:absolute;left:0;top:0;width:3232;height:954" type="#_x0000_t75" stroked="false">
              <v:imagedata r:id="rId17" o:title=""/>
            </v:shape>
            <v:group style="position:absolute;left:222;top:816;width:2795;height:2" coordorigin="222,816" coordsize="2795,2">
              <v:shape style="position:absolute;left:222;top:816;width:2795;height:2" coordorigin="222,816" coordsize="2795,0" path="m222,816l3017,816e" filled="false" stroked="true" strokeweight=".25pt" strokecolor="#000000">
                <v:path arrowok="t"/>
              </v:shape>
            </v:group>
            <v:group style="position:absolute;left:3016;top:163;width:2;height:653" coordorigin="3016,163" coordsize="2,653">
              <v:shape style="position:absolute;left:3016;top:163;width:2;height:653" coordorigin="3016,163" coordsize="2,653" path="m3016,163l3017,816e" filled="false" stroked="true" strokeweight=".25pt" strokecolor="#000000">
                <v:path arrowok="t"/>
              </v:shape>
              <v:shape style="position:absolute;left:0;top:0;width:3232;height:954" type="#_x0000_t202" filled="false" stroked="false">
                <v:textbox inset="0,0,0,0">
                  <w:txbxContent>
                    <w:p>
                      <w:pPr>
                        <w:spacing w:line="240" w:lineRule="auto" w:before="9"/>
                        <w:rPr>
                          <w:rFonts w:ascii="宋体" w:hAnsi="宋体" w:cs="宋体" w:eastAsia="宋体" w:hint="default"/>
                          <w:sz w:val="26"/>
                          <w:szCs w:val="26"/>
                        </w:rPr>
                      </w:pPr>
                    </w:p>
                    <w:p>
                      <w:pPr>
                        <w:spacing w:before="0"/>
                        <w:ind w:left="298" w:right="0" w:firstLine="0"/>
                        <w:jc w:val="left"/>
                        <w:rPr>
                          <w:rFonts w:ascii="黑体" w:hAnsi="黑体" w:cs="黑体" w:eastAsia="黑体" w:hint="default"/>
                          <w:sz w:val="30"/>
                          <w:szCs w:val="30"/>
                        </w:rPr>
                      </w:pPr>
                      <w:r>
                        <w:rPr>
                          <w:rFonts w:ascii="黑体" w:hAnsi="黑体" w:cs="黑体" w:eastAsia="黑体" w:hint="default"/>
                          <w:b/>
                          <w:bCs/>
                          <w:sz w:val="30"/>
                          <w:szCs w:val="30"/>
                        </w:rPr>
                        <w:t>五、公司治理结构</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pStyle w:val="Heading2"/>
        <w:spacing w:line="240" w:lineRule="auto" w:before="148"/>
        <w:ind w:left="138" w:right="0"/>
        <w:jc w:val="both"/>
        <w:rPr>
          <w:b w:val="0"/>
          <w:bCs w:val="0"/>
        </w:rPr>
      </w:pPr>
      <w:r>
        <w:rPr/>
        <w:t>(一)公司治理情况</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left="138" w:right="0"/>
        <w:jc w:val="both"/>
        <w:rPr>
          <w:b w:val="0"/>
          <w:bCs w:val="0"/>
        </w:rPr>
      </w:pPr>
      <w:r>
        <w:rPr/>
        <w:t>1、公司治理文件修改及完善情况</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18"/>
        <w:jc w:val="both"/>
      </w:pPr>
      <w:r>
        <w:rPr>
          <w:spacing w:val="-16"/>
        </w:rPr>
        <w:t>本报告期内，公司依照《公司法》、《证券法》、《上市公司治理准则》、《上海证券交易所</w:t>
      </w:r>
      <w:r>
        <w:rPr>
          <w:spacing w:val="2"/>
        </w:rPr>
        <w:t> </w:t>
      </w:r>
      <w:r>
        <w:rPr/>
        <w:t>股票上市规则》等相关法律法规，已经逐步建立和完善了各项内部管理制度和公司治理</w:t>
      </w:r>
      <w:r>
        <w:rPr>
          <w:spacing w:val="-47"/>
        </w:rPr>
        <w:t> </w:t>
      </w:r>
      <w:r>
        <w:rPr>
          <w:spacing w:val="-47"/>
        </w:rPr>
      </w:r>
      <w:r>
        <w:rPr/>
        <w:t>制度。为进一步完善公司治理结构，并根据证监会、交易所相关规定，2008 年 3 月</w:t>
      </w:r>
      <w:r>
        <w:rPr>
          <w:spacing w:val="-40"/>
        </w:rPr>
        <w:t> </w:t>
      </w:r>
      <w:r>
        <w:rPr/>
        <w:t>27</w:t>
      </w:r>
      <w:r>
        <w:rPr/>
        <w:t> </w:t>
      </w:r>
      <w:r>
        <w:rPr>
          <w:spacing w:val="-10"/>
        </w:rPr>
        <w:t>日，经公司第四届董事会第十三次会议审议通过，制定了《独立董事年报工作制度》、《董</w:t>
      </w:r>
      <w:r>
        <w:rPr/>
        <w:t> </w:t>
      </w:r>
      <w:r>
        <w:rPr>
          <w:spacing w:val="-8"/>
        </w:rPr>
        <w:t>事会审计委员会年度报告工作制度》。</w:t>
      </w:r>
    </w:p>
    <w:p>
      <w:pPr>
        <w:spacing w:line="240" w:lineRule="auto" w:before="7"/>
        <w:rPr>
          <w:rFonts w:ascii="宋体" w:hAnsi="宋体" w:cs="宋体" w:eastAsia="宋体" w:hint="default"/>
          <w:sz w:val="23"/>
          <w:szCs w:val="23"/>
        </w:rPr>
      </w:pPr>
    </w:p>
    <w:p>
      <w:pPr>
        <w:pStyle w:val="Heading3"/>
        <w:spacing w:line="240" w:lineRule="auto"/>
        <w:ind w:left="138" w:right="0"/>
        <w:jc w:val="both"/>
        <w:rPr>
          <w:b w:val="0"/>
          <w:bCs w:val="0"/>
        </w:rPr>
      </w:pPr>
      <w:r>
        <w:rPr/>
        <w:t>2、公司内部控制制度建立健全情况</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0"/>
        <w:jc w:val="both"/>
      </w:pPr>
      <w:r>
        <w:rPr/>
        <w:t>公司建立了公司治理制度、财务管理制度、财务会计制度、资产管理制度、人力资源制</w:t>
      </w:r>
      <w:r>
        <w:rPr>
          <w:spacing w:val="-47"/>
        </w:rPr>
        <w:t> </w:t>
      </w:r>
      <w:r>
        <w:rPr>
          <w:spacing w:val="-47"/>
        </w:rPr>
      </w:r>
      <w:r>
        <w:rPr/>
        <w:t>度、计算机系统管理制度、预算管理制度、内部审计制度等一系列行之有效的内部控制</w:t>
      </w:r>
      <w:r>
        <w:rPr>
          <w:spacing w:val="-47"/>
        </w:rPr>
        <w:t> </w:t>
      </w:r>
      <w:r>
        <w:rPr>
          <w:spacing w:val="-47"/>
        </w:rPr>
      </w:r>
      <w:r>
        <w:rPr/>
        <w:t>制度，并建立了分工合理、职责明确、报告关系清晰地组织结构，明确了所有与风险和</w:t>
      </w:r>
      <w:r>
        <w:rPr>
          <w:spacing w:val="-47"/>
        </w:rPr>
        <w:t> </w:t>
      </w:r>
      <w:r>
        <w:rPr>
          <w:spacing w:val="-47"/>
        </w:rPr>
      </w:r>
      <w:r>
        <w:rPr/>
        <w:t>内部控制有关部门、岗位、人员的职责和权限，还建立了独立的内部审计机构，定期对</w:t>
      </w:r>
      <w:r>
        <w:rPr>
          <w:spacing w:val="-47"/>
        </w:rPr>
        <w:t> </w:t>
      </w:r>
      <w:r>
        <w:rPr>
          <w:spacing w:val="-47"/>
        </w:rPr>
      </w:r>
      <w:r>
        <w:rPr/>
        <w:t>公司内部控制的健全性和有效性实施检查、评价。</w:t>
      </w:r>
    </w:p>
    <w:p>
      <w:pPr>
        <w:spacing w:line="240" w:lineRule="auto" w:before="10"/>
        <w:rPr>
          <w:rFonts w:ascii="宋体" w:hAnsi="宋体" w:cs="宋体" w:eastAsia="宋体" w:hint="default"/>
          <w:sz w:val="23"/>
          <w:szCs w:val="23"/>
        </w:rPr>
      </w:pPr>
    </w:p>
    <w:p>
      <w:pPr>
        <w:pStyle w:val="BodyText"/>
        <w:spacing w:line="237" w:lineRule="auto"/>
        <w:ind w:right="86"/>
        <w:jc w:val="left"/>
      </w:pPr>
      <w:r>
        <w:rPr/>
        <w:t>公司在对外投资、对外筹资、对外担保等方面均建立了风险评估机制，另外，公司还以</w:t>
      </w:r>
      <w:r>
        <w:rPr>
          <w:spacing w:val="-47"/>
        </w:rPr>
        <w:t> </w:t>
      </w:r>
      <w:r>
        <w:rPr>
          <w:spacing w:val="-47"/>
        </w:rPr>
      </w:r>
      <w:r>
        <w:rPr>
          <w:spacing w:val="-2"/>
        </w:rPr>
        <w:t>财务预警指标为起点，不断分选优化关键财务指标进行风险预警，定期对“销售利润率、</w:t>
      </w:r>
      <w:r>
        <w:rPr>
          <w:spacing w:val="-84"/>
        </w:rPr>
        <w:t> </w:t>
      </w:r>
      <w:r>
        <w:rPr>
          <w:spacing w:val="-84"/>
        </w:rPr>
      </w:r>
      <w:r>
        <w:rPr/>
        <w:t>销售增长率、应收账款及存货周转率、净资产收益率、经营现金净流量”等财务指标进</w:t>
      </w:r>
      <w:r>
        <w:rPr>
          <w:spacing w:val="-47"/>
        </w:rPr>
        <w:t> </w:t>
      </w:r>
      <w:r>
        <w:rPr>
          <w:spacing w:val="-47"/>
        </w:rPr>
      </w:r>
      <w:r>
        <w:rPr/>
        <w:t>行分析跟踪，并采取积极应对方案。</w:t>
      </w:r>
    </w:p>
    <w:p>
      <w:pPr>
        <w:spacing w:line="240" w:lineRule="auto" w:before="10"/>
        <w:rPr>
          <w:rFonts w:ascii="宋体" w:hAnsi="宋体" w:cs="宋体" w:eastAsia="宋体" w:hint="default"/>
          <w:sz w:val="23"/>
          <w:szCs w:val="23"/>
        </w:rPr>
      </w:pPr>
    </w:p>
    <w:p>
      <w:pPr>
        <w:pStyle w:val="BodyText"/>
        <w:spacing w:line="237" w:lineRule="auto"/>
        <w:ind w:right="220"/>
        <w:jc w:val="both"/>
      </w:pPr>
      <w:r>
        <w:rPr/>
        <w:t>公司董事会对本年度上述所有方面的内部控制进行了自我评估，公司在所有重大方面建</w:t>
      </w:r>
      <w:r>
        <w:rPr>
          <w:spacing w:val="-47"/>
        </w:rPr>
        <w:t> </w:t>
      </w:r>
      <w:r>
        <w:rPr>
          <w:spacing w:val="-47"/>
        </w:rPr>
      </w:r>
      <w:r>
        <w:rPr/>
        <w:t>立了合理的内部控制制度。内部控制制度涵盖了财务核算、生产管理、营销管理、行政</w:t>
      </w:r>
      <w:r>
        <w:rPr>
          <w:spacing w:val="-47"/>
        </w:rPr>
        <w:t> </w:t>
      </w:r>
      <w:r>
        <w:rPr>
          <w:spacing w:val="-47"/>
        </w:rPr>
      </w:r>
      <w:r>
        <w:rPr/>
        <w:t>管理、人力资源管理、募集资金管理、信息披露管理等环节，能够适合公司管理和发展</w:t>
      </w:r>
      <w:r>
        <w:rPr>
          <w:spacing w:val="-47"/>
        </w:rPr>
        <w:t> </w:t>
      </w:r>
      <w:r>
        <w:rPr>
          <w:spacing w:val="-47"/>
        </w:rPr>
      </w:r>
      <w:r>
        <w:rPr/>
        <w:t>的需要，对公司规范运作，加强管理，提高效率、防范经营风险以及公司的长远发展起</w:t>
      </w:r>
      <w:r>
        <w:rPr>
          <w:spacing w:val="-47"/>
        </w:rPr>
        <w:t> </w:t>
      </w:r>
      <w:r>
        <w:rPr>
          <w:spacing w:val="-47"/>
        </w:rPr>
      </w:r>
      <w:r>
        <w:rPr/>
        <w:t>到了积极的作用。自</w:t>
      </w:r>
      <w:r>
        <w:rPr>
          <w:spacing w:val="-56"/>
        </w:rPr>
        <w:t> </w:t>
      </w:r>
      <w:r>
        <w:rPr/>
        <w:t>2008</w:t>
      </w:r>
      <w:r>
        <w:rPr>
          <w:spacing w:val="-56"/>
        </w:rPr>
        <w:t> </w:t>
      </w:r>
      <w:r>
        <w:rPr/>
        <w:t>年</w:t>
      </w:r>
      <w:r>
        <w:rPr>
          <w:spacing w:val="-56"/>
        </w:rPr>
        <w:t> </w:t>
      </w:r>
      <w:r>
        <w:rPr/>
        <w:t>1</w:t>
      </w:r>
      <w:r>
        <w:rPr>
          <w:spacing w:val="-58"/>
        </w:rPr>
        <w:t> </w:t>
      </w:r>
      <w:r>
        <w:rPr/>
        <w:t>月</w:t>
      </w:r>
      <w:r>
        <w:rPr>
          <w:spacing w:val="-58"/>
        </w:rPr>
        <w:t> </w:t>
      </w:r>
      <w:r>
        <w:rPr/>
        <w:t>1</w:t>
      </w:r>
      <w:r>
        <w:rPr>
          <w:spacing w:val="-56"/>
        </w:rPr>
        <w:t> </w:t>
      </w:r>
      <w:r>
        <w:rPr/>
        <w:t>日起至</w:t>
      </w:r>
      <w:r>
        <w:rPr>
          <w:spacing w:val="-56"/>
        </w:rPr>
        <w:t> </w:t>
      </w:r>
      <w:r>
        <w:rPr/>
        <w:t>2008</w:t>
      </w:r>
      <w:r>
        <w:rPr>
          <w:spacing w:val="-56"/>
        </w:rPr>
        <w:t> </w:t>
      </w:r>
      <w:r>
        <w:rPr/>
        <w:t>年</w:t>
      </w:r>
      <w:r>
        <w:rPr>
          <w:spacing w:val="-56"/>
        </w:rPr>
        <w:t> </w:t>
      </w:r>
      <w:r>
        <w:rPr/>
        <w:t>12</w:t>
      </w:r>
      <w:r>
        <w:rPr>
          <w:spacing w:val="-58"/>
        </w:rPr>
        <w:t> </w:t>
      </w:r>
      <w:r>
        <w:rPr/>
        <w:t>月</w:t>
      </w:r>
      <w:r>
        <w:rPr>
          <w:spacing w:val="-58"/>
        </w:rPr>
        <w:t> </w:t>
      </w:r>
      <w:r>
        <w:rPr/>
        <w:t>31</w:t>
      </w:r>
      <w:r>
        <w:rPr>
          <w:spacing w:val="-56"/>
        </w:rPr>
        <w:t> </w:t>
      </w:r>
      <w:r>
        <w:rPr/>
        <w:t>日止，未发现本公司存在内</w:t>
      </w:r>
      <w:r>
        <w:rPr>
          <w:spacing w:val="-1"/>
        </w:rPr>
        <w:t> </w:t>
      </w:r>
      <w:r>
        <w:rPr/>
        <w:t>部控制设计或执行方面的重大缺陷。</w:t>
      </w:r>
    </w:p>
    <w:p>
      <w:pPr>
        <w:spacing w:line="240" w:lineRule="auto" w:before="1"/>
        <w:rPr>
          <w:rFonts w:ascii="宋体" w:hAnsi="宋体" w:cs="宋体" w:eastAsia="宋体" w:hint="default"/>
          <w:sz w:val="26"/>
          <w:szCs w:val="26"/>
        </w:rPr>
      </w:pPr>
    </w:p>
    <w:p>
      <w:pPr>
        <w:pStyle w:val="BodyText"/>
        <w:spacing w:line="310" w:lineRule="exact"/>
        <w:ind w:right="224"/>
        <w:jc w:val="both"/>
      </w:pPr>
      <w:r>
        <w:rPr/>
        <w:t>公司董事会认为：自</w:t>
      </w:r>
      <w:r>
        <w:rPr>
          <w:spacing w:val="-56"/>
        </w:rPr>
        <w:t> </w:t>
      </w:r>
      <w:r>
        <w:rPr/>
        <w:t>2008</w:t>
      </w:r>
      <w:r>
        <w:rPr>
          <w:spacing w:val="-56"/>
        </w:rPr>
        <w:t> </w:t>
      </w:r>
      <w:r>
        <w:rPr/>
        <w:t>年</w:t>
      </w:r>
      <w:r>
        <w:rPr>
          <w:spacing w:val="-56"/>
        </w:rPr>
        <w:t> </w:t>
      </w:r>
      <w:r>
        <w:rPr/>
        <w:t>1</w:t>
      </w:r>
      <w:r>
        <w:rPr>
          <w:spacing w:val="-58"/>
        </w:rPr>
        <w:t> </w:t>
      </w:r>
      <w:r>
        <w:rPr/>
        <w:t>月</w:t>
      </w:r>
      <w:r>
        <w:rPr>
          <w:spacing w:val="-58"/>
        </w:rPr>
        <w:t> </w:t>
      </w:r>
      <w:r>
        <w:rPr/>
        <w:t>1</w:t>
      </w:r>
      <w:r>
        <w:rPr>
          <w:spacing w:val="-56"/>
        </w:rPr>
        <w:t> </w:t>
      </w:r>
      <w:r>
        <w:rPr/>
        <w:t>日起至</w:t>
      </w:r>
      <w:r>
        <w:rPr>
          <w:spacing w:val="-56"/>
        </w:rPr>
        <w:t> </w:t>
      </w:r>
      <w:r>
        <w:rPr/>
        <w:t>2008</w:t>
      </w:r>
      <w:r>
        <w:rPr>
          <w:spacing w:val="-56"/>
        </w:rPr>
        <w:t> </w:t>
      </w:r>
      <w:r>
        <w:rPr/>
        <w:t>年</w:t>
      </w:r>
      <w:r>
        <w:rPr>
          <w:spacing w:val="-56"/>
        </w:rPr>
        <w:t> </w:t>
      </w:r>
      <w:r>
        <w:rPr/>
        <w:t>12</w:t>
      </w:r>
      <w:r>
        <w:rPr>
          <w:spacing w:val="-58"/>
        </w:rPr>
        <w:t> </w:t>
      </w:r>
      <w:r>
        <w:rPr/>
        <w:t>月</w:t>
      </w:r>
      <w:r>
        <w:rPr>
          <w:spacing w:val="-58"/>
        </w:rPr>
        <w:t> </w:t>
      </w:r>
      <w:r>
        <w:rPr/>
        <w:t>31</w:t>
      </w:r>
      <w:r>
        <w:rPr>
          <w:spacing w:val="-56"/>
        </w:rPr>
        <w:t> </w:t>
      </w:r>
      <w:r>
        <w:rPr/>
        <w:t>日止，公司内部控制制度健</w:t>
      </w:r>
      <w:r>
        <w:rPr>
          <w:spacing w:val="-1"/>
        </w:rPr>
        <w:t> </w:t>
      </w:r>
      <w:r>
        <w:rPr/>
        <w:t>全并得到了有效执行。</w:t>
      </w:r>
    </w:p>
    <w:p>
      <w:pPr>
        <w:spacing w:line="240" w:lineRule="auto" w:before="6"/>
        <w:rPr>
          <w:rFonts w:ascii="宋体" w:hAnsi="宋体" w:cs="宋体" w:eastAsia="宋体" w:hint="default"/>
          <w:sz w:val="21"/>
          <w:szCs w:val="21"/>
        </w:rPr>
      </w:pPr>
    </w:p>
    <w:p>
      <w:pPr>
        <w:pStyle w:val="Heading3"/>
        <w:spacing w:line="240" w:lineRule="auto"/>
        <w:ind w:left="138" w:right="0"/>
        <w:jc w:val="both"/>
        <w:rPr>
          <w:b w:val="0"/>
          <w:bCs w:val="0"/>
        </w:rPr>
      </w:pPr>
      <w:r>
        <w:rPr/>
        <w:t>3、公司</w:t>
      </w:r>
      <w:r>
        <w:rPr>
          <w:spacing w:val="-70"/>
        </w:rPr>
        <w:t> </w:t>
      </w:r>
      <w:r>
        <w:rPr/>
        <w:t>2008</w:t>
      </w:r>
      <w:r>
        <w:rPr>
          <w:spacing w:val="-70"/>
        </w:rPr>
        <w:t> </w:t>
      </w:r>
      <w:r>
        <w:rPr/>
        <w:t>年公司治理专项活动开展情况</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03"/>
        <w:jc w:val="both"/>
      </w:pPr>
      <w:r>
        <w:rPr/>
        <w:t>报告期内，根据证监会发布的《关于公司治理专项活动公告的通知》和北京证监局发布</w:t>
      </w:r>
      <w:r>
        <w:rPr>
          <w:spacing w:val="-47"/>
        </w:rPr>
        <w:t> </w:t>
      </w:r>
      <w:r>
        <w:rPr>
          <w:spacing w:val="-47"/>
        </w:rPr>
      </w:r>
      <w:r>
        <w:rPr>
          <w:spacing w:val="-5"/>
        </w:rPr>
        <w:t>的《北京证监局关于开展防止资金占用问题反弹推进公司治理专项工作的通知》，公司对</w:t>
      </w:r>
      <w:r>
        <w:rPr>
          <w:spacing w:val="-85"/>
        </w:rPr>
        <w:t> </w:t>
      </w:r>
      <w:r>
        <w:rPr>
          <w:spacing w:val="-85"/>
        </w:rPr>
      </w:r>
      <w:r>
        <w:rPr/>
        <w:t>公司治理专项活动中的各项整改问题的落实情况进行了自查，并于</w:t>
      </w:r>
      <w:r>
        <w:rPr>
          <w:spacing w:val="-47"/>
        </w:rPr>
        <w:t> </w:t>
      </w:r>
      <w:r>
        <w:rPr/>
        <w:t>2008</w:t>
      </w:r>
      <w:r>
        <w:rPr>
          <w:spacing w:val="-47"/>
        </w:rPr>
        <w:t> </w:t>
      </w:r>
      <w:r>
        <w:rPr/>
        <w:t>年</w:t>
      </w:r>
      <w:r>
        <w:rPr>
          <w:spacing w:val="-47"/>
        </w:rPr>
        <w:t> </w:t>
      </w:r>
      <w:r>
        <w:rPr/>
        <w:t>7</w:t>
      </w:r>
      <w:r>
        <w:rPr>
          <w:spacing w:val="-46"/>
        </w:rPr>
        <w:t> </w:t>
      </w:r>
      <w:r>
        <w:rPr/>
        <w:t>月</w:t>
      </w:r>
      <w:r>
        <w:rPr>
          <w:spacing w:val="-47"/>
        </w:rPr>
        <w:t> </w:t>
      </w:r>
      <w:r>
        <w:rPr/>
        <w:t>18</w:t>
      </w:r>
      <w:r>
        <w:rPr>
          <w:spacing w:val="-47"/>
        </w:rPr>
        <w:t> </w:t>
      </w:r>
      <w:r>
        <w:rPr/>
        <w:t>日经</w:t>
      </w:r>
      <w:r>
        <w:rPr/>
        <w:t> </w:t>
      </w:r>
      <w:r>
        <w:rPr>
          <w:spacing w:val="-2"/>
        </w:rPr>
        <w:t>公司第四届董事会第十八次会议审议通过了《关于公司治理专项活动中整改情况的说明》</w:t>
      </w:r>
      <w:r>
        <w:rPr/>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0"/>
        <w:jc w:val="both"/>
      </w:pPr>
      <w:r>
        <w:rPr/>
        <w:t>和《关于资金占用问题的自查报告</w:t>
      </w:r>
      <w:r>
        <w:rPr>
          <w:spacing w:val="-120"/>
        </w:rPr>
        <w:t>》</w:t>
      </w:r>
      <w:r>
        <w:rPr/>
        <w:t>。</w:t>
      </w:r>
    </w:p>
    <w:p>
      <w:pPr>
        <w:spacing w:line="240" w:lineRule="auto" w:before="9"/>
        <w:rPr>
          <w:rFonts w:ascii="宋体" w:hAnsi="宋体" w:cs="宋体" w:eastAsia="宋体" w:hint="default"/>
          <w:sz w:val="23"/>
          <w:szCs w:val="23"/>
        </w:rPr>
      </w:pPr>
    </w:p>
    <w:p>
      <w:pPr>
        <w:pStyle w:val="BodyText"/>
        <w:spacing w:line="237" w:lineRule="auto"/>
        <w:ind w:left="238" w:right="240"/>
        <w:jc w:val="both"/>
      </w:pPr>
      <w:r>
        <w:rPr/>
        <w:t>经自查，公司在公司治理整改报告中所列的所有事项均已采取了相应的整改措施，在整</w:t>
      </w:r>
      <w:r>
        <w:rPr>
          <w:spacing w:val="-47"/>
        </w:rPr>
        <w:t> </w:t>
      </w:r>
      <w:r>
        <w:rPr>
          <w:spacing w:val="-47"/>
        </w:rPr>
      </w:r>
      <w:r>
        <w:rPr/>
        <w:t>改期限之前完成了整改，不存在未按时完成整改的情况。公司章程合法合规、相关内控</w:t>
      </w:r>
      <w:r>
        <w:rPr>
          <w:spacing w:val="-47"/>
        </w:rPr>
        <w:t> </w:t>
      </w:r>
      <w:r>
        <w:rPr>
          <w:spacing w:val="-47"/>
        </w:rPr>
      </w:r>
      <w:r>
        <w:rPr/>
        <w:t>制度健全有效，公司不存在大股东、实际控制人及其附属企业直接或变相占用上市公司</w:t>
      </w:r>
      <w:r>
        <w:rPr>
          <w:spacing w:val="-47"/>
        </w:rPr>
        <w:t> </w:t>
      </w:r>
      <w:r>
        <w:rPr>
          <w:spacing w:val="-47"/>
        </w:rPr>
      </w:r>
      <w:r>
        <w:rPr/>
        <w:t>资金、侵害广大投资者合法权益的情况。</w:t>
      </w:r>
    </w:p>
    <w:p>
      <w:pPr>
        <w:spacing w:line="240" w:lineRule="auto" w:before="11"/>
        <w:rPr>
          <w:rFonts w:ascii="宋体" w:hAnsi="宋体" w:cs="宋体" w:eastAsia="宋体" w:hint="default"/>
          <w:sz w:val="23"/>
          <w:szCs w:val="23"/>
        </w:rPr>
      </w:pPr>
    </w:p>
    <w:p>
      <w:pPr>
        <w:pStyle w:val="BodyText"/>
        <w:spacing w:line="237" w:lineRule="auto"/>
        <w:ind w:left="238" w:right="240"/>
        <w:jc w:val="both"/>
      </w:pPr>
      <w:r>
        <w:rPr/>
        <w:t>未来公司将结合自身发展中遇到的实际情况和政府部门的监管要求，依据国务院《批转</w:t>
      </w:r>
      <w:r>
        <w:rPr>
          <w:spacing w:val="-47"/>
        </w:rPr>
        <w:t> </w:t>
      </w:r>
      <w:r>
        <w:rPr>
          <w:spacing w:val="-47"/>
        </w:rPr>
      </w:r>
      <w:r>
        <w:rPr>
          <w:spacing w:val="-5"/>
        </w:rPr>
        <w:t>证监会〈关于提高上市公司质量意见〉的通知》、财政部《企业内部控制基本规范》和上</w:t>
      </w:r>
      <w:r>
        <w:rPr>
          <w:spacing w:val="-86"/>
        </w:rPr>
        <w:t> </w:t>
      </w:r>
      <w:r>
        <w:rPr>
          <w:spacing w:val="-86"/>
        </w:rPr>
      </w:r>
      <w:r>
        <w:rPr/>
        <w:t>交所《上市公司内部控制指引》等政策法规，严格持续的按照公司内控制度的要求规范</w:t>
      </w:r>
      <w:r>
        <w:rPr>
          <w:spacing w:val="-47"/>
        </w:rPr>
        <w:t> </w:t>
      </w:r>
      <w:r>
        <w:rPr>
          <w:spacing w:val="-47"/>
        </w:rPr>
      </w:r>
      <w:r>
        <w:rPr/>
        <w:t>运作，并继续进一步改善法人治理和内部控制制度。</w:t>
      </w:r>
    </w:p>
    <w:p>
      <w:pPr>
        <w:spacing w:line="240" w:lineRule="auto" w:before="1"/>
        <w:rPr>
          <w:rFonts w:ascii="宋体" w:hAnsi="宋体" w:cs="宋体" w:eastAsia="宋体" w:hint="default"/>
          <w:sz w:val="23"/>
          <w:szCs w:val="23"/>
        </w:rPr>
      </w:pPr>
    </w:p>
    <w:p>
      <w:pPr>
        <w:pStyle w:val="Heading2"/>
        <w:spacing w:line="240" w:lineRule="auto"/>
        <w:ind w:right="0"/>
        <w:jc w:val="both"/>
        <w:rPr>
          <w:b w:val="0"/>
          <w:bCs w:val="0"/>
        </w:rPr>
      </w:pPr>
      <w:r>
        <w:rPr/>
        <w:t>(二)独立董事履行职责情况</w:t>
      </w:r>
      <w:r>
        <w:rPr>
          <w:b w:val="0"/>
          <w:bCs w:val="0"/>
        </w:rPr>
      </w:r>
    </w:p>
    <w:p>
      <w:pPr>
        <w:spacing w:line="240" w:lineRule="auto" w:before="8"/>
        <w:rPr>
          <w:rFonts w:ascii="宋体" w:hAnsi="宋体" w:cs="宋体" w:eastAsia="宋体" w:hint="default"/>
          <w:b/>
          <w:bCs/>
          <w:sz w:val="23"/>
          <w:szCs w:val="23"/>
        </w:rPr>
      </w:pPr>
    </w:p>
    <w:p>
      <w:pPr>
        <w:pStyle w:val="BodyText"/>
        <w:spacing w:line="310" w:lineRule="exact"/>
        <w:ind w:left="238" w:right="240"/>
        <w:jc w:val="both"/>
      </w:pPr>
      <w:r>
        <w:rPr/>
        <w:t>本报告期内，独立董事认真履行了“公司章程”及“公司法”等相关法律、法规赋予的</w:t>
      </w:r>
      <w:r>
        <w:rPr>
          <w:spacing w:val="-47"/>
        </w:rPr>
        <w:t> </w:t>
      </w:r>
      <w:r>
        <w:rPr>
          <w:spacing w:val="-47"/>
        </w:rPr>
      </w:r>
      <w:r>
        <w:rPr>
          <w:spacing w:val="-5"/>
        </w:rPr>
        <w:t>职责，遵照《独立董事工作制度》，出席了董事会会议，并就重大关联交易、股权激励计</w:t>
      </w:r>
      <w:r>
        <w:rPr>
          <w:spacing w:val="-88"/>
        </w:rPr>
        <w:t> </w:t>
      </w:r>
      <w:r>
        <w:rPr>
          <w:spacing w:val="-88"/>
        </w:rPr>
      </w:r>
      <w:r>
        <w:rPr/>
        <w:t>划、对外担保等重大事项发表了独立意见。</w:t>
      </w:r>
    </w:p>
    <w:p>
      <w:pPr>
        <w:spacing w:line="240" w:lineRule="auto" w:before="6"/>
        <w:rPr>
          <w:rFonts w:ascii="宋体" w:hAnsi="宋体" w:cs="宋体" w:eastAsia="宋体" w:hint="default"/>
          <w:sz w:val="21"/>
          <w:szCs w:val="21"/>
        </w:rPr>
      </w:pPr>
    </w:p>
    <w:p>
      <w:pPr>
        <w:pStyle w:val="BodyText"/>
        <w:spacing w:line="240" w:lineRule="auto"/>
        <w:ind w:left="238" w:right="0"/>
        <w:jc w:val="both"/>
      </w:pPr>
      <w:r>
        <w:rPr/>
        <w:t>独立董事出席董事会的情况</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19"/>
        <w:gridCol w:w="1794"/>
        <w:gridCol w:w="2113"/>
        <w:gridCol w:w="1994"/>
        <w:gridCol w:w="1497"/>
      </w:tblGrid>
      <w:tr>
        <w:trPr>
          <w:trHeight w:val="567" w:hRule="exact"/>
        </w:trPr>
        <w:tc>
          <w:tcPr>
            <w:tcW w:w="201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100"/>
              <w:ind w:right="6"/>
              <w:jc w:val="center"/>
              <w:rPr>
                <w:rFonts w:ascii="宋体" w:hAnsi="宋体" w:cs="宋体" w:eastAsia="宋体" w:hint="default"/>
                <w:sz w:val="21"/>
                <w:szCs w:val="21"/>
              </w:rPr>
            </w:pPr>
            <w:r>
              <w:rPr>
                <w:rFonts w:ascii="宋体" w:hAnsi="宋体" w:cs="宋体" w:eastAsia="宋体" w:hint="default"/>
                <w:b/>
                <w:bCs/>
                <w:sz w:val="21"/>
                <w:szCs w:val="21"/>
              </w:rPr>
              <w:t>独立董事姓名</w:t>
            </w:r>
            <w:r>
              <w:rPr>
                <w:rFonts w:ascii="宋体" w:hAnsi="宋体" w:cs="宋体" w:eastAsia="宋体" w:hint="default"/>
                <w:sz w:val="21"/>
                <w:szCs w:val="21"/>
              </w:rPr>
            </w:r>
          </w:p>
        </w:tc>
        <w:tc>
          <w:tcPr>
            <w:tcW w:w="1794"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本年应参加董事</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会次数</w:t>
            </w:r>
            <w:r>
              <w:rPr>
                <w:rFonts w:ascii="宋体" w:hAnsi="宋体" w:cs="宋体" w:eastAsia="宋体" w:hint="default"/>
                <w:sz w:val="21"/>
                <w:szCs w:val="21"/>
              </w:rPr>
            </w:r>
          </w:p>
        </w:tc>
        <w:tc>
          <w:tcPr>
            <w:tcW w:w="211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亲自出席(次)</w:t>
            </w:r>
            <w:r>
              <w:rPr>
                <w:rFonts w:ascii="宋体" w:hAnsi="宋体" w:cs="宋体" w:eastAsia="宋体" w:hint="default"/>
                <w:sz w:val="21"/>
                <w:szCs w:val="21"/>
              </w:rPr>
            </w:r>
          </w:p>
        </w:tc>
        <w:tc>
          <w:tcPr>
            <w:tcW w:w="1994"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b/>
                <w:bCs/>
                <w:sz w:val="21"/>
                <w:szCs w:val="21"/>
              </w:rPr>
              <w:t>委托出席(次)</w:t>
            </w:r>
            <w:r>
              <w:rPr>
                <w:rFonts w:ascii="宋体" w:hAnsi="宋体" w:cs="宋体" w:eastAsia="宋体" w:hint="default"/>
                <w:sz w:val="21"/>
                <w:szCs w:val="21"/>
              </w:rPr>
            </w:r>
          </w:p>
        </w:tc>
        <w:tc>
          <w:tcPr>
            <w:tcW w:w="1497"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100"/>
              <w:ind w:left="6" w:right="0"/>
              <w:jc w:val="center"/>
              <w:rPr>
                <w:rFonts w:ascii="宋体" w:hAnsi="宋体" w:cs="宋体" w:eastAsia="宋体" w:hint="default"/>
                <w:sz w:val="21"/>
                <w:szCs w:val="21"/>
              </w:rPr>
            </w:pPr>
            <w:r>
              <w:rPr>
                <w:rFonts w:ascii="宋体" w:hAnsi="宋体" w:cs="宋体" w:eastAsia="宋体" w:hint="default"/>
                <w:b/>
                <w:bCs/>
                <w:sz w:val="21"/>
                <w:szCs w:val="21"/>
              </w:rPr>
              <w:t>缺席(次)</w:t>
            </w:r>
            <w:r>
              <w:rPr>
                <w:rFonts w:ascii="宋体" w:hAnsi="宋体" w:cs="宋体" w:eastAsia="宋体" w:hint="default"/>
                <w:sz w:val="21"/>
                <w:szCs w:val="21"/>
              </w:rPr>
            </w:r>
          </w:p>
        </w:tc>
      </w:tr>
      <w:tr>
        <w:trPr>
          <w:trHeight w:val="287" w:hRule="exact"/>
        </w:trPr>
        <w:tc>
          <w:tcPr>
            <w:tcW w:w="20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陈金占</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4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0</w:t>
            </w:r>
          </w:p>
        </w:tc>
      </w:tr>
      <w:tr>
        <w:trPr>
          <w:trHeight w:val="288" w:hRule="exact"/>
        </w:trPr>
        <w:tc>
          <w:tcPr>
            <w:tcW w:w="2019" w:type="dxa"/>
            <w:tcBorders>
              <w:top w:val="single" w:sz="6" w:space="0" w:color="000000"/>
              <w:left w:val="single" w:sz="12" w:space="0" w:color="000000"/>
              <w:bottom w:val="single" w:sz="6" w:space="0" w:color="000000"/>
              <w:right w:val="single" w:sz="6" w:space="0" w:color="000000"/>
            </w:tcBorders>
          </w:tcPr>
          <w:p>
            <w:pPr>
              <w:pStyle w:val="TableParagraph"/>
              <w:tabs>
                <w:tab w:pos="420" w:val="left" w:leader="none"/>
              </w:tabs>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夏</w:t>
              <w:tab/>
              <w:t>斌</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15</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4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0</w:t>
            </w:r>
          </w:p>
        </w:tc>
      </w:tr>
      <w:tr>
        <w:trPr>
          <w:trHeight w:val="295" w:hRule="exact"/>
        </w:trPr>
        <w:tc>
          <w:tcPr>
            <w:tcW w:w="201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程凤朝</w:t>
            </w:r>
          </w:p>
        </w:tc>
        <w:tc>
          <w:tcPr>
            <w:tcW w:w="17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w:t>
            </w:r>
          </w:p>
        </w:tc>
        <w:tc>
          <w:tcPr>
            <w:tcW w:w="211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c>
          <w:tcPr>
            <w:tcW w:w="19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497"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0</w:t>
            </w:r>
          </w:p>
        </w:tc>
      </w:tr>
    </w:tbl>
    <w:p>
      <w:pPr>
        <w:spacing w:line="240" w:lineRule="auto" w:before="10"/>
        <w:rPr>
          <w:rFonts w:ascii="宋体" w:hAnsi="宋体" w:cs="宋体" w:eastAsia="宋体" w:hint="default"/>
          <w:sz w:val="18"/>
          <w:szCs w:val="18"/>
        </w:rPr>
      </w:pPr>
    </w:p>
    <w:p>
      <w:pPr>
        <w:pStyle w:val="BodyText"/>
        <w:spacing w:line="240" w:lineRule="auto" w:before="26"/>
        <w:ind w:left="238" w:right="107"/>
        <w:jc w:val="left"/>
      </w:pPr>
      <w:r>
        <w:rPr/>
        <w:t>独立董事未对公司有关事项提出异议。</w:t>
      </w:r>
    </w:p>
    <w:p>
      <w:pPr>
        <w:spacing w:line="240" w:lineRule="auto" w:before="2"/>
        <w:rPr>
          <w:rFonts w:ascii="宋体" w:hAnsi="宋体" w:cs="宋体" w:eastAsia="宋体" w:hint="default"/>
          <w:sz w:val="20"/>
          <w:szCs w:val="20"/>
        </w:rPr>
      </w:pPr>
    </w:p>
    <w:p>
      <w:pPr>
        <w:pStyle w:val="Heading2"/>
        <w:spacing w:line="240" w:lineRule="auto"/>
        <w:ind w:right="107"/>
        <w:jc w:val="left"/>
        <w:rPr>
          <w:b w:val="0"/>
          <w:bCs w:val="0"/>
        </w:rPr>
      </w:pPr>
      <w:r>
        <w:rPr/>
        <w:t>(三)关于公司独立性的承诺</w:t>
      </w:r>
      <w:r>
        <w:rPr>
          <w:b w:val="0"/>
          <w:bCs w:val="0"/>
        </w:rPr>
      </w:r>
    </w:p>
    <w:p>
      <w:pPr>
        <w:spacing w:line="240" w:lineRule="auto" w:before="4"/>
        <w:rPr>
          <w:rFonts w:ascii="宋体" w:hAnsi="宋体" w:cs="宋体" w:eastAsia="宋体" w:hint="default"/>
          <w:b/>
          <w:bCs/>
          <w:sz w:val="21"/>
          <w:szCs w:val="21"/>
        </w:rPr>
      </w:pPr>
    </w:p>
    <w:p>
      <w:pPr>
        <w:pStyle w:val="BodyText"/>
        <w:spacing w:line="237" w:lineRule="auto"/>
        <w:ind w:left="238" w:right="107"/>
        <w:jc w:val="left"/>
      </w:pPr>
      <w:r>
        <w:rPr/>
        <w:t>公司在业务、人员、资产、机构、财务等方面保持独立性，拥有独立于控股股东的生产</w:t>
      </w:r>
      <w:r>
        <w:rPr>
          <w:spacing w:val="-47"/>
        </w:rPr>
        <w:t> </w:t>
      </w:r>
      <w:r>
        <w:rPr>
          <w:spacing w:val="-47"/>
        </w:rPr>
      </w:r>
      <w:r>
        <w:rPr/>
        <w:t>系统、辅助生产系统和配套设施、独立的采购和销售系统；在土地使用权、工业产权、</w:t>
      </w:r>
      <w:r>
        <w:rPr>
          <w:spacing w:val="-47"/>
        </w:rPr>
        <w:t> </w:t>
      </w:r>
      <w:r>
        <w:rPr>
          <w:spacing w:val="-47"/>
        </w:rPr>
      </w:r>
      <w:r>
        <w:rPr>
          <w:spacing w:val="-2"/>
        </w:rPr>
        <w:t>非专利技术等资产方面有明确的产权界定；建立了独立的财务管理制度和会计核算体系，</w:t>
      </w:r>
      <w:r>
        <w:rPr>
          <w:spacing w:val="-1"/>
        </w:rPr>
        <w:t> </w:t>
      </w:r>
      <w:r>
        <w:rPr/>
        <w:t>拥有独立的财务会计部门；公司的办公机构和生产经营场所与控股股东经营场所分开；</w:t>
      </w:r>
      <w:r>
        <w:rPr>
          <w:spacing w:val="-47"/>
        </w:rPr>
        <w:t> </w:t>
      </w:r>
      <w:r>
        <w:rPr>
          <w:spacing w:val="-47"/>
        </w:rPr>
      </w:r>
      <w:r>
        <w:rPr/>
        <w:t>公司拥有独立的劳动、人事及工资管理体系，公司经营负责人员均在本单位领取薪酬，</w:t>
      </w:r>
      <w:r>
        <w:rPr>
          <w:spacing w:val="-47"/>
        </w:rPr>
        <w:t> </w:t>
      </w:r>
      <w:r>
        <w:rPr>
          <w:spacing w:val="-47"/>
        </w:rPr>
      </w:r>
      <w:r>
        <w:rPr/>
        <w:t>不在股东单位兼职。</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pStyle w:val="Heading2"/>
        <w:spacing w:line="240" w:lineRule="auto"/>
        <w:ind w:right="107"/>
        <w:jc w:val="left"/>
        <w:rPr>
          <w:b w:val="0"/>
          <w:bCs w:val="0"/>
        </w:rPr>
      </w:pPr>
      <w:r>
        <w:rPr/>
        <w:t>(四)对高级管理人员的考评及激励机制</w:t>
      </w:r>
      <w:r>
        <w:rPr>
          <w:b w:val="0"/>
          <w:bCs w:val="0"/>
        </w:rPr>
      </w:r>
    </w:p>
    <w:p>
      <w:pPr>
        <w:spacing w:line="240" w:lineRule="auto" w:before="5"/>
        <w:rPr>
          <w:rFonts w:ascii="宋体" w:hAnsi="宋体" w:cs="宋体" w:eastAsia="宋体" w:hint="default"/>
          <w:b/>
          <w:bCs/>
          <w:sz w:val="21"/>
          <w:szCs w:val="21"/>
        </w:rPr>
      </w:pPr>
    </w:p>
    <w:p>
      <w:pPr>
        <w:pStyle w:val="BodyText"/>
        <w:spacing w:line="237" w:lineRule="auto"/>
        <w:ind w:left="238" w:right="240"/>
        <w:jc w:val="both"/>
      </w:pPr>
      <w:r>
        <w:rPr/>
        <w:t>按照公司资产规模、经营业绩和承担工作的职责等考评指标公司对高级管理人员的绩效</w:t>
      </w:r>
      <w:r>
        <w:rPr>
          <w:spacing w:val="-47"/>
        </w:rPr>
        <w:t> </w:t>
      </w:r>
      <w:r>
        <w:rPr>
          <w:spacing w:val="-47"/>
        </w:rPr>
      </w:r>
      <w:r>
        <w:rPr/>
        <w:t>进行考核，薪酬体系采用年薪制。目前，公司针对公司高级管理人员和核心技术骨干拟</w:t>
      </w:r>
      <w:r>
        <w:rPr>
          <w:spacing w:val="-47"/>
        </w:rPr>
        <w:t> </w:t>
      </w:r>
      <w:r>
        <w:rPr>
          <w:spacing w:val="-47"/>
        </w:rPr>
      </w:r>
      <w:r>
        <w:rPr/>
        <w:t>定的以股票期权计划为基础的考评及激励机制尚未实施。</w:t>
      </w:r>
    </w:p>
    <w:p>
      <w:pPr>
        <w:spacing w:after="0" w:line="237" w:lineRule="auto"/>
        <w:jc w:val="both"/>
        <w:sectPr>
          <w:pgSz w:w="11910" w:h="16840"/>
          <w:pgMar w:header="610" w:footer="764" w:top="1080" w:bottom="980" w:left="1180" w:right="1040"/>
        </w:sectPr>
      </w:pPr>
    </w:p>
    <w:p>
      <w:pPr>
        <w:spacing w:line="240" w:lineRule="auto" w:before="8"/>
        <w:rPr>
          <w:rFonts w:ascii="宋体" w:hAnsi="宋体" w:cs="宋体" w:eastAsia="宋体" w:hint="default"/>
          <w:sz w:val="16"/>
          <w:szCs w:val="16"/>
        </w:rPr>
      </w:pPr>
    </w:p>
    <w:p>
      <w:pPr>
        <w:spacing w:line="954" w:lineRule="exact"/>
        <w:ind w:left="1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83.1pt;height:47.7pt;mso-position-horizontal-relative:char;mso-position-vertical-relative:line" coordorigin="0,0" coordsize="3662,954">
            <v:shape style="position:absolute;left:0;top:0;width:3661;height:954" type="#_x0000_t75" stroked="false">
              <v:imagedata r:id="rId18" o:title=""/>
            </v:shape>
            <v:group style="position:absolute;left:222;top:808;width:3225;height:2" coordorigin="222,808" coordsize="3225,2">
              <v:shape style="position:absolute;left:222;top:808;width:3225;height:2" coordorigin="222,808" coordsize="3225,0" path="m222,808l3446,808e" filled="false" stroked="true" strokeweight=".25pt" strokecolor="#000000">
                <v:path arrowok="t"/>
              </v:shape>
            </v:group>
            <v:group style="position:absolute;left:3445;top:200;width:2;height:580" coordorigin="3445,200" coordsize="2,580">
              <v:shape style="position:absolute;left:3445;top:200;width:2;height:580" coordorigin="3445,200" coordsize="2,580" path="m3445,200l3446,780e" filled="false" stroked="true" strokeweight=".25pt" strokecolor="#000000">
                <v:path arrowok="t"/>
              </v:shape>
              <v:shape style="position:absolute;left:0;top:0;width:3662;height:954" type="#_x0000_t202" filled="false" stroked="false">
                <v:textbox inset="0,0,0,0">
                  <w:txbxContent>
                    <w:p>
                      <w:pPr>
                        <w:spacing w:line="240" w:lineRule="auto" w:before="2"/>
                        <w:rPr>
                          <w:rFonts w:ascii="宋体" w:hAnsi="宋体" w:cs="宋体" w:eastAsia="宋体" w:hint="default"/>
                          <w:sz w:val="26"/>
                          <w:szCs w:val="26"/>
                        </w:rPr>
                      </w:pPr>
                    </w:p>
                    <w:p>
                      <w:pPr>
                        <w:spacing w:before="0"/>
                        <w:ind w:left="247" w:right="0" w:firstLine="0"/>
                        <w:jc w:val="left"/>
                        <w:rPr>
                          <w:rFonts w:ascii="黑体" w:hAnsi="黑体" w:cs="黑体" w:eastAsia="黑体" w:hint="default"/>
                          <w:sz w:val="30"/>
                          <w:szCs w:val="30"/>
                        </w:rPr>
                      </w:pPr>
                      <w:r>
                        <w:rPr>
                          <w:rFonts w:ascii="黑体" w:hAnsi="黑体" w:cs="黑体" w:eastAsia="黑体" w:hint="default"/>
                          <w:b/>
                          <w:bCs/>
                          <w:sz w:val="30"/>
                          <w:szCs w:val="30"/>
                        </w:rPr>
                        <w:t>六、股东大会情况简介</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3"/>
        <w:rPr>
          <w:rFonts w:ascii="宋体" w:hAnsi="宋体" w:cs="宋体" w:eastAsia="宋体" w:hint="default"/>
          <w:sz w:val="29"/>
          <w:szCs w:val="29"/>
        </w:rPr>
      </w:pPr>
    </w:p>
    <w:p>
      <w:pPr>
        <w:pStyle w:val="BodyText"/>
        <w:spacing w:line="240" w:lineRule="auto" w:before="26"/>
        <w:ind w:right="2886"/>
        <w:jc w:val="left"/>
      </w:pPr>
      <w:r>
        <w:rPr/>
        <w:t>本报告年度内公司召开</w:t>
      </w:r>
      <w:r>
        <w:rPr>
          <w:spacing w:val="-60"/>
        </w:rPr>
        <w:t> </w:t>
      </w:r>
      <w:r>
        <w:rPr/>
        <w:t>2007</w:t>
      </w:r>
      <w:r>
        <w:rPr>
          <w:spacing w:val="-60"/>
        </w:rPr>
        <w:t> </w:t>
      </w:r>
      <w:r>
        <w:rPr/>
        <w:t>年年度股东大会。</w:t>
      </w:r>
    </w:p>
    <w:p>
      <w:pPr>
        <w:spacing w:line="240" w:lineRule="auto" w:before="8"/>
        <w:rPr>
          <w:rFonts w:ascii="宋体" w:hAnsi="宋体" w:cs="宋体" w:eastAsia="宋体" w:hint="default"/>
          <w:sz w:val="23"/>
          <w:szCs w:val="23"/>
        </w:rPr>
      </w:pPr>
    </w:p>
    <w:p>
      <w:pPr>
        <w:pStyle w:val="BodyText"/>
        <w:spacing w:line="313" w:lineRule="exact"/>
        <w:ind w:right="166"/>
        <w:jc w:val="left"/>
      </w:pPr>
      <w:r>
        <w:rPr/>
        <w:t>公司于</w:t>
      </w:r>
      <w:r>
        <w:rPr>
          <w:spacing w:val="-56"/>
        </w:rPr>
        <w:t> </w:t>
      </w:r>
      <w:r>
        <w:rPr/>
        <w:t>2008</w:t>
      </w:r>
      <w:r>
        <w:rPr>
          <w:spacing w:val="-56"/>
        </w:rPr>
        <w:t> </w:t>
      </w:r>
      <w:r>
        <w:rPr/>
        <w:t>年</w:t>
      </w:r>
      <w:r>
        <w:rPr>
          <w:spacing w:val="-56"/>
        </w:rPr>
        <w:t> </w:t>
      </w:r>
      <w:r>
        <w:rPr/>
        <w:t>6</w:t>
      </w:r>
      <w:r>
        <w:rPr>
          <w:spacing w:val="-58"/>
        </w:rPr>
        <w:t> </w:t>
      </w:r>
      <w:r>
        <w:rPr/>
        <w:t>月</w:t>
      </w:r>
      <w:r>
        <w:rPr>
          <w:spacing w:val="-56"/>
        </w:rPr>
        <w:t> </w:t>
      </w:r>
      <w:r>
        <w:rPr/>
        <w:t>23</w:t>
      </w:r>
      <w:r>
        <w:rPr>
          <w:spacing w:val="-56"/>
        </w:rPr>
        <w:t> </w:t>
      </w:r>
      <w:r>
        <w:rPr/>
        <w:t>日召开</w:t>
      </w:r>
      <w:r>
        <w:rPr>
          <w:spacing w:val="-56"/>
        </w:rPr>
        <w:t> </w:t>
      </w:r>
      <w:r>
        <w:rPr/>
        <w:t>2007</w:t>
      </w:r>
      <w:r>
        <w:rPr>
          <w:spacing w:val="-56"/>
        </w:rPr>
        <w:t> </w:t>
      </w:r>
      <w:r>
        <w:rPr/>
        <w:t>年年度股东大会，会议决议公告刊登在</w:t>
      </w:r>
      <w:r>
        <w:rPr>
          <w:spacing w:val="-56"/>
        </w:rPr>
        <w:t> </w:t>
      </w:r>
      <w:r>
        <w:rPr>
          <w:spacing w:val="28"/>
        </w:rPr>
        <w:t>2008年6月</w:t>
      </w:r>
      <w:r>
        <w:rPr>
          <w:spacing w:val="-53"/>
        </w:rPr>
        <w:t> </w:t>
      </w:r>
      <w:r>
        <w:rPr/>
      </w:r>
    </w:p>
    <w:p>
      <w:pPr>
        <w:pStyle w:val="BodyText"/>
        <w:spacing w:line="475" w:lineRule="auto"/>
        <w:ind w:right="968"/>
        <w:jc w:val="left"/>
      </w:pPr>
      <w:r>
        <w:rPr/>
        <w:t>24</w:t>
      </w:r>
      <w:r>
        <w:rPr>
          <w:spacing w:val="-54"/>
        </w:rPr>
        <w:t> </w:t>
      </w:r>
      <w:r>
        <w:rPr>
          <w:spacing w:val="-17"/>
        </w:rPr>
        <w:t>日的《中国证券报》、《上海证券报》。2007</w:t>
      </w:r>
      <w:r>
        <w:rPr>
          <w:spacing w:val="-54"/>
        </w:rPr>
        <w:t> </w:t>
      </w:r>
      <w:r>
        <w:rPr/>
        <w:t>年年度股东大会审议的内容包括：</w:t>
      </w:r>
      <w:r>
        <w:rPr/>
        <w:t> 一、审议通过了《2007</w:t>
      </w:r>
      <w:r>
        <w:rPr>
          <w:spacing w:val="-60"/>
        </w:rPr>
        <w:t> </w:t>
      </w:r>
      <w:r>
        <w:rPr/>
        <w:t>年年度报告摘要及正文》的议案</w:t>
      </w:r>
    </w:p>
    <w:p>
      <w:pPr>
        <w:pStyle w:val="BodyText"/>
        <w:spacing w:line="475" w:lineRule="auto" w:before="73"/>
        <w:ind w:right="3546"/>
        <w:jc w:val="left"/>
      </w:pPr>
      <w:r>
        <w:rPr/>
        <w:t>二、审议通过了《2007</w:t>
      </w:r>
      <w:r>
        <w:rPr>
          <w:spacing w:val="-60"/>
        </w:rPr>
        <w:t> </w:t>
      </w:r>
      <w:r>
        <w:rPr/>
        <w:t>年董事会年度工作报告》的议案</w:t>
      </w:r>
      <w:r>
        <w:rPr/>
        <w:t> 三、审议通过了《2007</w:t>
      </w:r>
      <w:r>
        <w:rPr>
          <w:spacing w:val="-60"/>
        </w:rPr>
        <w:t> </w:t>
      </w:r>
      <w:r>
        <w:rPr/>
        <w:t>年监事会年度工作报告》的议案</w:t>
      </w:r>
      <w:r>
        <w:rPr/>
        <w:t> 四、审议通过了《2007</w:t>
      </w:r>
      <w:r>
        <w:rPr>
          <w:spacing w:val="-60"/>
        </w:rPr>
        <w:t> </w:t>
      </w:r>
      <w:r>
        <w:rPr/>
        <w:t>年独立董事述职报告》的议案</w:t>
      </w:r>
      <w:r>
        <w:rPr/>
        <w:t> 五、审议通过了《2007</w:t>
      </w:r>
      <w:r>
        <w:rPr>
          <w:spacing w:val="-60"/>
        </w:rPr>
        <w:t> </w:t>
      </w:r>
      <w:r>
        <w:rPr/>
        <w:t>年度财务决算报告》的议案</w:t>
      </w:r>
    </w:p>
    <w:p>
      <w:pPr>
        <w:pStyle w:val="BodyText"/>
        <w:spacing w:line="310" w:lineRule="exact" w:before="106"/>
        <w:ind w:right="166"/>
        <w:jc w:val="left"/>
      </w:pPr>
      <w:r>
        <w:rPr/>
        <w:t>六、审议否决了《2007</w:t>
      </w:r>
      <w:r>
        <w:rPr>
          <w:spacing w:val="-40"/>
        </w:rPr>
        <w:t> </w:t>
      </w:r>
      <w:r>
        <w:rPr/>
        <w:t>年度利润分配、资本供给转增股本方案的董事会预案：董事会建</w:t>
      </w:r>
      <w:r>
        <w:rPr/>
        <w:t> 议利润不分配、资本公积不转增股本》的议案</w:t>
      </w:r>
    </w:p>
    <w:p>
      <w:pPr>
        <w:spacing w:line="240" w:lineRule="auto" w:before="10"/>
        <w:rPr>
          <w:rFonts w:ascii="宋体" w:hAnsi="宋体" w:cs="宋体" w:eastAsia="宋体" w:hint="default"/>
          <w:sz w:val="23"/>
          <w:szCs w:val="23"/>
        </w:rPr>
      </w:pPr>
    </w:p>
    <w:p>
      <w:pPr>
        <w:pStyle w:val="BodyText"/>
        <w:spacing w:line="312" w:lineRule="exact"/>
        <w:ind w:right="166"/>
        <w:jc w:val="left"/>
      </w:pPr>
      <w:r>
        <w:rPr/>
        <w:t>七、审议通过了《2007</w:t>
      </w:r>
      <w:r>
        <w:rPr>
          <w:spacing w:val="-40"/>
        </w:rPr>
        <w:t> </w:t>
      </w:r>
      <w:r>
        <w:rPr/>
        <w:t>年度利润分配、资本公积转增股本方案的股东提案：清华控股有</w:t>
      </w:r>
      <w:r>
        <w:rPr/>
        <w:t> 限公司建议以</w:t>
      </w:r>
      <w:r>
        <w:rPr>
          <w:spacing w:val="-59"/>
        </w:rPr>
        <w:t> </w:t>
      </w:r>
      <w:r>
        <w:rPr>
          <w:spacing w:val="25"/>
        </w:rPr>
        <w:t>2008年5月</w:t>
      </w:r>
      <w:r>
        <w:rPr>
          <w:spacing w:val="-59"/>
        </w:rPr>
        <w:t> </w:t>
      </w:r>
      <w:r>
        <w:rPr/>
        <w:t>30</w:t>
      </w:r>
      <w:r>
        <w:rPr>
          <w:spacing w:val="-59"/>
        </w:rPr>
        <w:t> </w:t>
      </w:r>
      <w:r>
        <w:rPr>
          <w:spacing w:val="-3"/>
        </w:rPr>
        <w:t>日总股本为基数，每</w:t>
      </w:r>
      <w:r>
        <w:rPr>
          <w:spacing w:val="-59"/>
        </w:rPr>
        <w:t> </w:t>
      </w:r>
      <w:r>
        <w:rPr/>
        <w:t>10</w:t>
      </w:r>
      <w:r>
        <w:rPr>
          <w:spacing w:val="-59"/>
        </w:rPr>
        <w:t> </w:t>
      </w:r>
      <w:r>
        <w:rPr/>
        <w:t>股派发现金红利人民币</w:t>
      </w:r>
      <w:r>
        <w:rPr>
          <w:spacing w:val="-59"/>
        </w:rPr>
        <w:t> </w:t>
      </w:r>
      <w:r>
        <w:rPr/>
        <w:t>0.8</w:t>
      </w:r>
      <w:r>
        <w:rPr>
          <w:spacing w:val="-59"/>
        </w:rPr>
        <w:t> </w:t>
      </w:r>
      <w:r>
        <w:rPr>
          <w:spacing w:val="-7"/>
        </w:rPr>
        <w:t>元、每</w:t>
      </w:r>
    </w:p>
    <w:p>
      <w:pPr>
        <w:pStyle w:val="BodyText"/>
        <w:spacing w:line="282" w:lineRule="exact"/>
        <w:ind w:right="2886"/>
        <w:jc w:val="left"/>
      </w:pPr>
      <w:r>
        <w:rPr/>
        <w:t>10</w:t>
      </w:r>
      <w:r>
        <w:rPr>
          <w:spacing w:val="-60"/>
        </w:rPr>
        <w:t> </w:t>
      </w:r>
      <w:r>
        <w:rPr/>
        <w:t>股资本公积转增股本</w:t>
      </w:r>
      <w:r>
        <w:rPr>
          <w:spacing w:val="-60"/>
        </w:rPr>
        <w:t> </w:t>
      </w:r>
      <w:r>
        <w:rPr/>
        <w:t>3</w:t>
      </w:r>
      <w:r>
        <w:rPr>
          <w:spacing w:val="-60"/>
        </w:rPr>
        <w:t> </w:t>
      </w:r>
      <w:r>
        <w:rPr/>
        <w:t>股》的议案</w:t>
      </w:r>
    </w:p>
    <w:p>
      <w:pPr>
        <w:spacing w:line="240" w:lineRule="auto" w:before="1"/>
        <w:rPr>
          <w:rFonts w:ascii="宋体" w:hAnsi="宋体" w:cs="宋体" w:eastAsia="宋体" w:hint="default"/>
          <w:sz w:val="26"/>
          <w:szCs w:val="26"/>
        </w:rPr>
      </w:pPr>
    </w:p>
    <w:p>
      <w:pPr>
        <w:pStyle w:val="BodyText"/>
        <w:spacing w:line="310" w:lineRule="exact"/>
        <w:ind w:right="168"/>
        <w:jc w:val="left"/>
      </w:pPr>
      <w:r>
        <w:rPr/>
        <w:t>八、审议通过了《继续聘任信永中和会计师事务所作为 2008 年审计机构及支付其</w:t>
      </w:r>
      <w:r>
        <w:rPr>
          <w:spacing w:val="-42"/>
        </w:rPr>
        <w:t> </w:t>
      </w:r>
      <w:r>
        <w:rPr/>
        <w:t>2007</w:t>
      </w:r>
      <w:r>
        <w:rPr/>
        <w:t> 年审计费用》的议案</w:t>
      </w:r>
    </w:p>
    <w:p>
      <w:pPr>
        <w:spacing w:line="240" w:lineRule="auto" w:before="6"/>
        <w:rPr>
          <w:rFonts w:ascii="宋体" w:hAnsi="宋体" w:cs="宋体" w:eastAsia="宋体" w:hint="default"/>
          <w:sz w:val="21"/>
          <w:szCs w:val="21"/>
        </w:rPr>
      </w:pPr>
    </w:p>
    <w:p>
      <w:pPr>
        <w:pStyle w:val="BodyText"/>
        <w:spacing w:line="240" w:lineRule="auto"/>
        <w:ind w:right="1046"/>
        <w:jc w:val="left"/>
      </w:pPr>
      <w:r>
        <w:rPr/>
        <w:t>1、同意继续聘任信永中和会计师事务所做为公司</w:t>
      </w:r>
      <w:r>
        <w:rPr>
          <w:spacing w:val="-60"/>
        </w:rPr>
        <w:t> </w:t>
      </w:r>
      <w:r>
        <w:rPr/>
        <w:t>2008</w:t>
      </w:r>
      <w:r>
        <w:rPr>
          <w:spacing w:val="-60"/>
        </w:rPr>
        <w:t> </w:t>
      </w:r>
      <w:r>
        <w:rPr/>
        <w:t>年审计机构</w:t>
      </w:r>
    </w:p>
    <w:p>
      <w:pPr>
        <w:spacing w:line="240" w:lineRule="auto" w:before="8"/>
        <w:rPr>
          <w:rFonts w:ascii="宋体" w:hAnsi="宋体" w:cs="宋体" w:eastAsia="宋体" w:hint="default"/>
          <w:sz w:val="23"/>
          <w:szCs w:val="23"/>
        </w:rPr>
      </w:pPr>
    </w:p>
    <w:p>
      <w:pPr>
        <w:pStyle w:val="BodyText"/>
        <w:spacing w:line="240" w:lineRule="auto"/>
        <w:ind w:right="2886"/>
        <w:jc w:val="left"/>
      </w:pPr>
      <w:r>
        <w:rPr/>
        <w:t>2、同意支付信永中和会计师事务所</w:t>
      </w:r>
      <w:r>
        <w:rPr>
          <w:spacing w:val="-60"/>
        </w:rPr>
        <w:t> </w:t>
      </w:r>
      <w:r>
        <w:rPr/>
        <w:t>2007</w:t>
      </w:r>
      <w:r>
        <w:rPr>
          <w:spacing w:val="-60"/>
        </w:rPr>
        <w:t> </w:t>
      </w:r>
      <w:r>
        <w:rPr/>
        <w:t>年审计报酬</w:t>
      </w:r>
    </w:p>
    <w:p>
      <w:pPr>
        <w:spacing w:line="240" w:lineRule="auto" w:before="11"/>
        <w:rPr>
          <w:rFonts w:ascii="宋体" w:hAnsi="宋体" w:cs="宋体" w:eastAsia="宋体" w:hint="default"/>
          <w:sz w:val="25"/>
          <w:szCs w:val="25"/>
        </w:rPr>
      </w:pPr>
    </w:p>
    <w:p>
      <w:pPr>
        <w:pStyle w:val="BodyText"/>
        <w:spacing w:line="312" w:lineRule="exact"/>
        <w:ind w:right="169"/>
        <w:jc w:val="left"/>
      </w:pPr>
      <w:r>
        <w:rPr/>
        <w:t>九、</w:t>
      </w:r>
      <w:r>
        <w:rPr>
          <w:spacing w:val="-19"/>
        </w:rPr>
        <w:t> </w:t>
      </w:r>
      <w:r>
        <w:rPr>
          <w:spacing w:val="-3"/>
        </w:rPr>
        <w:t>审议通过了《关于</w:t>
      </w:r>
      <w:r>
        <w:rPr>
          <w:spacing w:val="-60"/>
        </w:rPr>
        <w:t> </w:t>
      </w:r>
      <w:r>
        <w:rPr/>
        <w:t>2007</w:t>
      </w:r>
      <w:r>
        <w:rPr>
          <w:spacing w:val="-60"/>
        </w:rPr>
        <w:t> </w:t>
      </w:r>
      <w:r>
        <w:rPr/>
        <w:t>年度日常关联交易执行情况以及</w:t>
      </w:r>
      <w:r>
        <w:rPr>
          <w:spacing w:val="-60"/>
        </w:rPr>
        <w:t> </w:t>
      </w:r>
      <w:r>
        <w:rPr/>
        <w:t>2008</w:t>
      </w:r>
      <w:r>
        <w:rPr>
          <w:spacing w:val="-60"/>
        </w:rPr>
        <w:t> </w:t>
      </w:r>
      <w:r>
        <w:rPr/>
        <w:t>年度日常关联交易预</w:t>
      </w:r>
      <w:r>
        <w:rPr/>
        <w:t> 计》的议案</w:t>
      </w:r>
    </w:p>
    <w:p>
      <w:pPr>
        <w:spacing w:line="240" w:lineRule="auto" w:before="9"/>
        <w:rPr>
          <w:rFonts w:ascii="宋体" w:hAnsi="宋体" w:cs="宋体" w:eastAsia="宋体" w:hint="default"/>
          <w:sz w:val="23"/>
          <w:szCs w:val="23"/>
        </w:rPr>
      </w:pPr>
    </w:p>
    <w:p>
      <w:pPr>
        <w:pStyle w:val="BodyText"/>
        <w:spacing w:line="312" w:lineRule="exact"/>
        <w:ind w:right="167"/>
        <w:jc w:val="left"/>
      </w:pPr>
      <w:r>
        <w:rPr>
          <w:spacing w:val="-3"/>
        </w:rPr>
        <w:t>十、审议通过了《关于向银行申请</w:t>
      </w:r>
      <w:r>
        <w:rPr>
          <w:spacing w:val="-58"/>
        </w:rPr>
        <w:t> </w:t>
      </w:r>
      <w:r>
        <w:rPr/>
        <w:t>2008</w:t>
      </w:r>
      <w:r>
        <w:rPr>
          <w:spacing w:val="-58"/>
        </w:rPr>
        <w:t> </w:t>
      </w:r>
      <w:r>
        <w:rPr/>
        <w:t>年综合授信额度及授权下属子公司使用并为其提</w:t>
      </w:r>
      <w:r>
        <w:rPr/>
        <w:t> 供担保》的议案</w:t>
      </w:r>
    </w:p>
    <w:p>
      <w:pPr>
        <w:spacing w:line="240" w:lineRule="auto" w:before="11"/>
        <w:rPr>
          <w:rFonts w:ascii="宋体" w:hAnsi="宋体" w:cs="宋体" w:eastAsia="宋体" w:hint="default"/>
          <w:sz w:val="23"/>
          <w:szCs w:val="23"/>
        </w:rPr>
      </w:pPr>
    </w:p>
    <w:p>
      <w:pPr>
        <w:pStyle w:val="BodyText"/>
        <w:spacing w:line="310" w:lineRule="exact"/>
        <w:ind w:right="166"/>
        <w:jc w:val="left"/>
      </w:pPr>
      <w:r>
        <w:rPr/>
        <w:t>1、审议通过关于向银行申请 2008</w:t>
      </w:r>
      <w:r>
        <w:rPr>
          <w:spacing w:val="-40"/>
        </w:rPr>
        <w:t> </w:t>
      </w:r>
      <w:r>
        <w:rPr/>
        <w:t>年综合授信额度及授权下属子公司使用并为其提供担</w:t>
      </w:r>
      <w:r>
        <w:rPr/>
        <w:t> 保的议案</w:t>
      </w:r>
    </w:p>
    <w:p>
      <w:pPr>
        <w:spacing w:line="240" w:lineRule="auto" w:before="6"/>
        <w:rPr>
          <w:rFonts w:ascii="宋体" w:hAnsi="宋体" w:cs="宋体" w:eastAsia="宋体" w:hint="default"/>
          <w:sz w:val="21"/>
          <w:szCs w:val="21"/>
        </w:rPr>
      </w:pPr>
    </w:p>
    <w:p>
      <w:pPr>
        <w:pStyle w:val="BodyText"/>
        <w:spacing w:line="240" w:lineRule="auto"/>
        <w:ind w:right="166"/>
        <w:jc w:val="left"/>
      </w:pPr>
      <w:r>
        <w:rPr/>
        <w:t>2、审议通过关于为因特殊业务模式导致资产负债率超过</w:t>
      </w:r>
      <w:r>
        <w:rPr>
          <w:spacing w:val="-60"/>
        </w:rPr>
        <w:t> </w:t>
      </w:r>
      <w:r>
        <w:rPr/>
        <w:t>70%的子公司提供担保的议案</w:t>
      </w:r>
    </w:p>
    <w:p>
      <w:pPr>
        <w:spacing w:after="0" w:line="240" w:lineRule="auto"/>
        <w:jc w:val="left"/>
        <w:sectPr>
          <w:pgSz w:w="11910" w:h="16840"/>
          <w:pgMar w:header="610" w:footer="764" w:top="1080" w:bottom="980" w:left="128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p>
      <w:pPr>
        <w:spacing w:line="884" w:lineRule="exact"/>
        <w:ind w:left="115"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140.9pt;height:44.25pt;mso-position-horizontal-relative:char;mso-position-vertical-relative:line" coordorigin="0,0" coordsize="2818,885">
            <v:shape style="position:absolute;left:0;top:0;width:2818;height:884" type="#_x0000_t75" stroked="false">
              <v:imagedata r:id="rId19" o:title=""/>
            </v:shape>
            <v:group style="position:absolute;left:106;top:721;width:2542;height:2" coordorigin="106,721" coordsize="2542,2">
              <v:shape style="position:absolute;left:106;top:721;width:2542;height:2" coordorigin="106,721" coordsize="2542,0" path="m106,721l2647,721e" filled="false" stroked="true" strokeweight=".25pt" strokecolor="#000000">
                <v:path arrowok="t"/>
              </v:shape>
            </v:group>
            <v:group style="position:absolute;left:2626;top:136;width:2;height:586" coordorigin="2626,136" coordsize="2,586">
              <v:shape style="position:absolute;left:2626;top:136;width:2;height:586" coordorigin="2626,136" coordsize="2,586" path="m2626,136l2627,721e" filled="false" stroked="true" strokeweight=".25pt" strokecolor="#000000">
                <v:path arrowok="t"/>
              </v:shape>
              <v:shape style="position:absolute;left:0;top:0;width:2818;height:885" type="#_x0000_t202" filled="false" stroked="false">
                <v:textbox inset="0,0,0,0">
                  <w:txbxContent>
                    <w:p>
                      <w:pPr>
                        <w:spacing w:before="185"/>
                        <w:ind w:left="170" w:right="0" w:firstLine="0"/>
                        <w:jc w:val="left"/>
                        <w:rPr>
                          <w:rFonts w:ascii="黑体" w:hAnsi="黑体" w:cs="黑体" w:eastAsia="黑体" w:hint="default"/>
                          <w:sz w:val="30"/>
                          <w:szCs w:val="30"/>
                        </w:rPr>
                      </w:pPr>
                      <w:r>
                        <w:rPr>
                          <w:rFonts w:ascii="黑体" w:hAnsi="黑体" w:cs="黑体" w:eastAsia="黑体" w:hint="default"/>
                          <w:b/>
                          <w:bCs/>
                          <w:sz w:val="30"/>
                          <w:szCs w:val="30"/>
                        </w:rPr>
                        <w:t>七、董事会报告</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7"/>
          <w:sz w:val="20"/>
          <w:szCs w:val="20"/>
        </w:rPr>
      </w:r>
    </w:p>
    <w:p>
      <w:pPr>
        <w:spacing w:line="240" w:lineRule="auto" w:before="0"/>
        <w:rPr>
          <w:rFonts w:ascii="宋体" w:hAnsi="宋体" w:cs="宋体" w:eastAsia="宋体" w:hint="default"/>
          <w:sz w:val="27"/>
          <w:szCs w:val="27"/>
        </w:rPr>
      </w:pPr>
    </w:p>
    <w:p>
      <w:pPr>
        <w:pStyle w:val="Heading2"/>
        <w:spacing w:line="240" w:lineRule="auto" w:before="13"/>
        <w:ind w:left="138" w:right="0"/>
        <w:jc w:val="both"/>
        <w:rPr>
          <w:b w:val="0"/>
          <w:bCs w:val="0"/>
        </w:rPr>
      </w:pPr>
      <w:r>
        <w:rPr/>
        <w:t>(一)经营情况回顾与展望</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2008</w:t>
      </w:r>
      <w:r>
        <w:rPr>
          <w:spacing w:val="-60"/>
        </w:rPr>
        <w:t> </w:t>
      </w:r>
      <w:r>
        <w:rPr/>
        <w:t>年是公司充满挑战的一年。</w:t>
      </w:r>
    </w:p>
    <w:p>
      <w:pPr>
        <w:spacing w:line="240" w:lineRule="auto" w:before="11"/>
        <w:rPr>
          <w:rFonts w:ascii="宋体" w:hAnsi="宋体" w:cs="宋体" w:eastAsia="宋体" w:hint="default"/>
          <w:sz w:val="23"/>
          <w:szCs w:val="23"/>
        </w:rPr>
      </w:pPr>
    </w:p>
    <w:p>
      <w:pPr>
        <w:pStyle w:val="BodyText"/>
        <w:spacing w:line="237" w:lineRule="auto"/>
        <w:ind w:right="87"/>
        <w:jc w:val="left"/>
      </w:pPr>
      <w:r>
        <w:rPr/>
        <w:t>在宏观经济形势下，一方面，虽然全年国民经济呈现平稳快速增长，然而受到国际金融</w:t>
      </w:r>
      <w:r>
        <w:rPr>
          <w:spacing w:val="-47"/>
        </w:rPr>
        <w:t> </w:t>
      </w:r>
      <w:r>
        <w:rPr>
          <w:spacing w:val="-47"/>
        </w:rPr>
      </w:r>
      <w:r>
        <w:rPr>
          <w:spacing w:val="-4"/>
        </w:rPr>
        <w:t>危机影响，各季度经济增速持续下滑。2008</w:t>
      </w:r>
      <w:r>
        <w:rPr>
          <w:spacing w:val="-58"/>
        </w:rPr>
        <w:t> </w:t>
      </w:r>
      <w:r>
        <w:rPr/>
        <w:t>年我国国内生产总值增长了</w:t>
      </w:r>
      <w:r>
        <w:rPr>
          <w:spacing w:val="-58"/>
        </w:rPr>
        <w:t> </w:t>
      </w:r>
      <w:r>
        <w:rPr/>
        <w:t>9%，</w:t>
      </w:r>
      <w:r>
        <w:rPr>
          <w:spacing w:val="-30"/>
        </w:rPr>
        <w:t> </w:t>
      </w:r>
      <w:r>
        <w:rPr/>
        <w:t>GDP</w:t>
      </w:r>
      <w:r>
        <w:rPr>
          <w:spacing w:val="-58"/>
        </w:rPr>
        <w:t> </w:t>
      </w:r>
      <w:r>
        <w:rPr/>
        <w:t>增速五</w:t>
      </w:r>
      <w:r>
        <w:rPr>
          <w:spacing w:val="-115"/>
        </w:rPr>
        <w:t> </w:t>
      </w:r>
      <w:r>
        <w:rPr>
          <w:spacing w:val="-115"/>
        </w:rPr>
      </w:r>
      <w:r>
        <w:rPr>
          <w:spacing w:val="-5"/>
        </w:rPr>
        <w:t>年来首次回到个位数，且</w:t>
      </w:r>
      <w:r>
        <w:rPr>
          <w:spacing w:val="-55"/>
        </w:rPr>
        <w:t> </w:t>
      </w:r>
      <w:r>
        <w:rPr/>
        <w:t>2008</w:t>
      </w:r>
      <w:r>
        <w:rPr>
          <w:spacing w:val="-55"/>
        </w:rPr>
        <w:t> </w:t>
      </w:r>
      <w:r>
        <w:rPr/>
        <w:t>年各季</w:t>
      </w:r>
      <w:r>
        <w:rPr>
          <w:spacing w:val="-55"/>
        </w:rPr>
        <w:t> </w:t>
      </w:r>
      <w:r>
        <w:rPr/>
        <w:t>GDP</w:t>
      </w:r>
      <w:r>
        <w:rPr>
          <w:spacing w:val="-55"/>
        </w:rPr>
        <w:t> </w:t>
      </w:r>
      <w:r>
        <w:rPr>
          <w:spacing w:val="-6"/>
        </w:rPr>
        <w:t>增长呈前高后低、逐季加速放慢的趋势。其中，</w:t>
      </w:r>
      <w:r>
        <w:rPr/>
        <w:t> 第四季度增速为</w:t>
      </w:r>
      <w:r>
        <w:rPr>
          <w:spacing w:val="-70"/>
        </w:rPr>
        <w:t> </w:t>
      </w:r>
      <w:r>
        <w:rPr/>
        <w:t>2001</w:t>
      </w:r>
      <w:r>
        <w:rPr>
          <w:spacing w:val="-70"/>
        </w:rPr>
        <w:t> </w:t>
      </w:r>
      <w:r>
        <w:rPr/>
        <w:t>年以来季度增幅新低。另一方面，国际金融危机持续蔓延、仍未见</w:t>
      </w:r>
      <w:r>
        <w:rPr/>
        <w:t> 底，国际市场需求继续萎缩，全球通货紧缩趋势明显，贸易保护主义抬头，外部经济环</w:t>
      </w:r>
      <w:r>
        <w:rPr>
          <w:spacing w:val="-47"/>
        </w:rPr>
        <w:t> </w:t>
      </w:r>
      <w:r>
        <w:rPr>
          <w:spacing w:val="-47"/>
        </w:rPr>
      </w:r>
      <w:r>
        <w:rPr/>
        <w:t>境不确定因素显著增多。此外，人民币持续升值，两税合一，新的劳动法实施，国内宏</w:t>
      </w:r>
      <w:r>
        <w:rPr>
          <w:spacing w:val="-47"/>
        </w:rPr>
        <w:t> </w:t>
      </w:r>
      <w:r>
        <w:rPr>
          <w:spacing w:val="-47"/>
        </w:rPr>
      </w:r>
      <w:r>
        <w:rPr/>
        <w:t>观调控不断深化，产业链加快向前端转移，这都显示着企业生存环境正发生重大变化。</w:t>
      </w:r>
      <w:r>
        <w:rPr>
          <w:spacing w:val="-47"/>
        </w:rPr>
        <w:t> </w:t>
      </w:r>
      <w:r>
        <w:rPr>
          <w:spacing w:val="-47"/>
        </w:rPr>
      </w:r>
      <w:r>
        <w:rPr/>
        <w:t>在这个关键路口，企业既承受着前所未有的巨大压力，也面临着千载难逢的发展良机。</w:t>
      </w:r>
      <w:r>
        <w:rPr>
          <w:spacing w:val="-47"/>
        </w:rPr>
        <w:t> </w:t>
      </w:r>
      <w:r>
        <w:rPr>
          <w:spacing w:val="-47"/>
        </w:rPr>
      </w:r>
      <w:r>
        <w:rPr/>
        <w:t>坚持科学发展观，加快转型提升，成为当前中国企业做大做强的必然选择。</w:t>
      </w:r>
    </w:p>
    <w:p>
      <w:pPr>
        <w:spacing w:line="240" w:lineRule="auto" w:before="8"/>
        <w:rPr>
          <w:rFonts w:ascii="宋体" w:hAnsi="宋体" w:cs="宋体" w:eastAsia="宋体" w:hint="default"/>
          <w:sz w:val="23"/>
          <w:szCs w:val="23"/>
        </w:rPr>
      </w:pPr>
    </w:p>
    <w:p>
      <w:pPr>
        <w:pStyle w:val="BodyText"/>
        <w:spacing w:line="312" w:lineRule="exact"/>
        <w:ind w:right="0"/>
        <w:jc w:val="both"/>
      </w:pPr>
      <w:r>
        <w:rPr/>
        <w:t>在</w:t>
      </w:r>
      <w:r>
        <w:rPr>
          <w:spacing w:val="-81"/>
        </w:rPr>
        <w:t> </w:t>
      </w:r>
      <w:r>
        <w:rPr/>
        <w:t>2008</w:t>
      </w:r>
      <w:r>
        <w:rPr>
          <w:spacing w:val="-81"/>
        </w:rPr>
        <w:t> </w:t>
      </w:r>
      <w:r>
        <w:rPr/>
        <w:t>年，抓住经济增长中带来的产业机会，不断优化产业发展模式，调整产业发展方</w:t>
      </w:r>
    </w:p>
    <w:p>
      <w:pPr>
        <w:pStyle w:val="BodyText"/>
        <w:spacing w:line="237" w:lineRule="auto" w:before="1"/>
        <w:ind w:right="220"/>
        <w:jc w:val="both"/>
      </w:pPr>
      <w:r>
        <w:rPr/>
        <w:t>向成为公司的工作重点。而随着</w:t>
      </w:r>
      <w:r>
        <w:rPr>
          <w:spacing w:val="-79"/>
        </w:rPr>
        <w:t> </w:t>
      </w:r>
      <w:r>
        <w:rPr/>
        <w:t>2008</w:t>
      </w:r>
      <w:r>
        <w:rPr>
          <w:spacing w:val="-79"/>
        </w:rPr>
        <w:t> </w:t>
      </w:r>
      <w:r>
        <w:rPr/>
        <w:t>年三、四季度经济增速显著放缓，经济环境不确定</w:t>
      </w:r>
      <w:r>
        <w:rPr/>
        <w:t> 性增多的局面出现，公司及时调整经营策略，通过加大资金回收力度等措施，在保证资</w:t>
      </w:r>
      <w:r>
        <w:rPr>
          <w:spacing w:val="-47"/>
        </w:rPr>
        <w:t> </w:t>
      </w:r>
      <w:r>
        <w:rPr>
          <w:spacing w:val="-47"/>
        </w:rPr>
      </w:r>
      <w:r>
        <w:rPr/>
        <w:t>产安全的前提下，促进公司</w:t>
      </w:r>
      <w:r>
        <w:rPr>
          <w:spacing w:val="-60"/>
        </w:rPr>
        <w:t> </w:t>
      </w:r>
      <w:r>
        <w:rPr/>
        <w:t>2008</w:t>
      </w:r>
      <w:r>
        <w:rPr>
          <w:spacing w:val="-60"/>
        </w:rPr>
        <w:t> </w:t>
      </w:r>
      <w:r>
        <w:rPr/>
        <w:t>年经营目标的实现。</w:t>
      </w:r>
    </w:p>
    <w:p>
      <w:pPr>
        <w:spacing w:line="240" w:lineRule="auto" w:before="10"/>
        <w:rPr>
          <w:rFonts w:ascii="宋体" w:hAnsi="宋体" w:cs="宋体" w:eastAsia="宋体" w:hint="default"/>
          <w:sz w:val="23"/>
          <w:szCs w:val="23"/>
        </w:rPr>
      </w:pPr>
    </w:p>
    <w:p>
      <w:pPr>
        <w:pStyle w:val="BodyText"/>
        <w:spacing w:line="237" w:lineRule="auto"/>
        <w:ind w:right="220"/>
        <w:jc w:val="both"/>
      </w:pPr>
      <w:r>
        <w:rPr/>
        <w:t>2008</w:t>
      </w:r>
      <w:r>
        <w:rPr>
          <w:spacing w:val="-40"/>
        </w:rPr>
        <w:t> </w:t>
      </w:r>
      <w:r>
        <w:rPr/>
        <w:t>年，公司一方面大力发展国家产业政策扶持的相关核心业务，对高亮度半导体照明</w:t>
      </w:r>
      <w:r>
        <w:rPr/>
        <w:t> 芯片、数字电视地面网络系统、新媒体等新兴业务加大投入，并通过设立新加坡研发中</w:t>
      </w:r>
      <w:r>
        <w:rPr>
          <w:spacing w:val="-47"/>
        </w:rPr>
        <w:t> </w:t>
      </w:r>
      <w:r>
        <w:rPr>
          <w:spacing w:val="-47"/>
        </w:rPr>
      </w:r>
      <w:r>
        <w:rPr/>
        <w:t>心、收购加拿大</w:t>
      </w:r>
      <w:r>
        <w:rPr>
          <w:spacing w:val="-40"/>
        </w:rPr>
        <w:t> </w:t>
      </w:r>
      <w:r>
        <w:rPr/>
        <w:t>Distech Controls</w:t>
      </w:r>
      <w:r>
        <w:rPr>
          <w:spacing w:val="-40"/>
        </w:rPr>
        <w:t> </w:t>
      </w:r>
      <w:r>
        <w:rPr/>
        <w:t>公司、收购新加坡</w:t>
      </w:r>
      <w:r>
        <w:rPr>
          <w:spacing w:val="-40"/>
        </w:rPr>
        <w:t> </w:t>
      </w:r>
      <w:r>
        <w:rPr/>
        <w:t>Tinggi</w:t>
      </w:r>
      <w:r>
        <w:rPr>
          <w:spacing w:val="-40"/>
        </w:rPr>
        <w:t> </w:t>
      </w:r>
      <w:r>
        <w:rPr/>
        <w:t>公司等举措积极实施国际</w:t>
      </w:r>
      <w:r>
        <w:rPr/>
        <w:t> 化战略。从整体经营来看，公司数字城市、数字电视系统、环保、建筑节能等业务由于</w:t>
      </w:r>
      <w:r>
        <w:rPr>
          <w:spacing w:val="-47"/>
        </w:rPr>
        <w:t> </w:t>
      </w:r>
      <w:r>
        <w:rPr>
          <w:spacing w:val="-47"/>
        </w:rPr>
      </w:r>
      <w:r>
        <w:rPr/>
        <w:t>受到我国政府经济刺激计划以及未来基础设施及环保产业加大投入的影响，呈现了较好</w:t>
      </w:r>
      <w:r>
        <w:rPr>
          <w:spacing w:val="-47"/>
        </w:rPr>
        <w:t> </w:t>
      </w:r>
      <w:r>
        <w:rPr>
          <w:spacing w:val="-47"/>
        </w:rPr>
      </w:r>
      <w:r>
        <w:rPr/>
        <w:t>的发展态势。另一方面，由于受到三、四季度国际经济环境恶化、国内外消费需求急剧</w:t>
      </w:r>
      <w:r>
        <w:rPr>
          <w:spacing w:val="-47"/>
        </w:rPr>
        <w:t> </w:t>
      </w:r>
      <w:r>
        <w:rPr>
          <w:spacing w:val="-47"/>
        </w:rPr>
      </w:r>
      <w:r>
        <w:rPr/>
        <w:t>下滑的影响，公司计算机产品业务收入出现下降局面，液晶电视等消费类电子产品出现</w:t>
      </w:r>
      <w:r>
        <w:rPr>
          <w:spacing w:val="-47"/>
        </w:rPr>
        <w:t> </w:t>
      </w:r>
      <w:r>
        <w:rPr>
          <w:spacing w:val="-47"/>
        </w:rPr>
      </w:r>
      <w:r>
        <w:rPr/>
        <w:t>了较大亏损，出口份额较大的集装箱检测产品等业务面临资金回款困难的压力，经营难</w:t>
      </w:r>
      <w:r>
        <w:rPr>
          <w:spacing w:val="-47"/>
        </w:rPr>
        <w:t> </w:t>
      </w:r>
      <w:r>
        <w:rPr>
          <w:spacing w:val="-47"/>
        </w:rPr>
      </w:r>
      <w:r>
        <w:rPr/>
        <w:t>度增大。面对国内外经济形势不明朗的局势，为此，公司加大了资金管理力度，积极回</w:t>
      </w:r>
      <w:r>
        <w:rPr>
          <w:spacing w:val="-47"/>
        </w:rPr>
        <w:t> </w:t>
      </w:r>
      <w:r>
        <w:rPr>
          <w:spacing w:val="-47"/>
        </w:rPr>
      </w:r>
      <w:r>
        <w:rPr/>
        <w:t>笼资金，保证了公司整体经营的安全。</w:t>
      </w:r>
    </w:p>
    <w:p>
      <w:pPr>
        <w:spacing w:line="240" w:lineRule="auto" w:before="1"/>
        <w:rPr>
          <w:rFonts w:ascii="宋体" w:hAnsi="宋体" w:cs="宋体" w:eastAsia="宋体" w:hint="default"/>
          <w:sz w:val="26"/>
          <w:szCs w:val="26"/>
        </w:rPr>
      </w:pPr>
    </w:p>
    <w:p>
      <w:pPr>
        <w:pStyle w:val="BodyText"/>
        <w:spacing w:line="310" w:lineRule="exact"/>
        <w:ind w:right="222"/>
        <w:jc w:val="both"/>
      </w:pPr>
      <w:r>
        <w:rPr/>
        <w:t>2008</w:t>
      </w:r>
      <w:r>
        <w:rPr>
          <w:spacing w:val="-57"/>
        </w:rPr>
        <w:t> </w:t>
      </w:r>
      <w:r>
        <w:rPr/>
        <w:t>年，公司全年实现主营业务收入</w:t>
      </w:r>
      <w:r>
        <w:rPr>
          <w:spacing w:val="-57"/>
        </w:rPr>
        <w:t> </w:t>
      </w:r>
      <w:r>
        <w:rPr/>
        <w:t>137.06</w:t>
      </w:r>
      <w:r>
        <w:rPr>
          <w:spacing w:val="-57"/>
        </w:rPr>
        <w:t> </w:t>
      </w:r>
      <w:r>
        <w:rPr/>
        <w:t>亿元，实现净利润</w:t>
      </w:r>
      <w:r>
        <w:rPr>
          <w:spacing w:val="-57"/>
        </w:rPr>
        <w:t> </w:t>
      </w:r>
      <w:r>
        <w:rPr/>
        <w:t>2.51</w:t>
      </w:r>
      <w:r>
        <w:rPr>
          <w:spacing w:val="-56"/>
        </w:rPr>
        <w:t> </w:t>
      </w:r>
      <w:r>
        <w:rPr/>
        <w:t>亿元，其中扣除非</w:t>
      </w:r>
      <w:r>
        <w:rPr/>
        <w:t> 经常性损益的净利润为</w:t>
      </w:r>
      <w:r>
        <w:rPr>
          <w:spacing w:val="-54"/>
        </w:rPr>
        <w:t> </w:t>
      </w:r>
      <w:r>
        <w:rPr/>
        <w:t>2.70</w:t>
      </w:r>
      <w:r>
        <w:rPr>
          <w:spacing w:val="-54"/>
        </w:rPr>
        <w:t> </w:t>
      </w:r>
      <w:r>
        <w:rPr>
          <w:spacing w:val="-5"/>
        </w:rPr>
        <w:t>亿元，同比增长</w:t>
      </w:r>
      <w:r>
        <w:rPr>
          <w:spacing w:val="-54"/>
        </w:rPr>
        <w:t> </w:t>
      </w:r>
      <w:r>
        <w:rPr>
          <w:spacing w:val="-4"/>
        </w:rPr>
        <w:t>17.24%。本年度，公司还实施了向老股东配</w:t>
      </w:r>
      <w:r>
        <w:rPr/>
        <w:t> 售股票的方案，净资产规模提升为</w:t>
      </w:r>
      <w:r>
        <w:rPr>
          <w:spacing w:val="-60"/>
        </w:rPr>
        <w:t> </w:t>
      </w:r>
      <w:r>
        <w:rPr/>
        <w:t>70.46</w:t>
      </w:r>
      <w:r>
        <w:rPr>
          <w:spacing w:val="-60"/>
        </w:rPr>
        <w:t> </w:t>
      </w:r>
      <w:r>
        <w:rPr/>
        <w:t>亿元，资产负债率降低为</w:t>
      </w:r>
      <w:r>
        <w:rPr>
          <w:spacing w:val="-60"/>
        </w:rPr>
        <w:t> </w:t>
      </w:r>
      <w:r>
        <w:rPr/>
        <w:t>53.32%。</w:t>
      </w:r>
    </w:p>
    <w:p>
      <w:pPr>
        <w:spacing w:line="240" w:lineRule="auto" w:before="6"/>
        <w:rPr>
          <w:rFonts w:ascii="宋体" w:hAnsi="宋体" w:cs="宋体" w:eastAsia="宋体" w:hint="default"/>
          <w:sz w:val="21"/>
          <w:szCs w:val="21"/>
        </w:rPr>
      </w:pPr>
    </w:p>
    <w:p>
      <w:pPr>
        <w:spacing w:line="475" w:lineRule="auto" w:before="0"/>
        <w:ind w:left="138" w:right="4237" w:firstLine="0"/>
        <w:jc w:val="left"/>
        <w:rPr>
          <w:rFonts w:ascii="宋体" w:hAnsi="宋体" w:cs="宋体" w:eastAsia="宋体" w:hint="default"/>
          <w:sz w:val="24"/>
          <w:szCs w:val="24"/>
        </w:rPr>
      </w:pPr>
      <w:r>
        <w:rPr>
          <w:rFonts w:ascii="宋体" w:hAnsi="宋体" w:cs="宋体" w:eastAsia="宋体" w:hint="default"/>
          <w:b/>
          <w:bCs/>
          <w:sz w:val="24"/>
          <w:szCs w:val="24"/>
        </w:rPr>
        <w:t>1．公司经营范围和业务构成</w:t>
      </w:r>
      <w:r>
        <w:rPr>
          <w:rFonts w:ascii="宋体" w:hAnsi="宋体" w:cs="宋体" w:eastAsia="宋体" w:hint="default"/>
          <w:b/>
          <w:bCs/>
          <w:spacing w:val="1"/>
          <w:w w:val="99"/>
          <w:sz w:val="24"/>
          <w:szCs w:val="24"/>
        </w:rPr>
        <w:t> </w:t>
      </w:r>
      <w:r>
        <w:rPr>
          <w:rFonts w:ascii="宋体" w:hAnsi="宋体" w:cs="宋体" w:eastAsia="宋体" w:hint="default"/>
          <w:b/>
          <w:bCs/>
          <w:sz w:val="24"/>
          <w:szCs w:val="24"/>
        </w:rPr>
        <w:t>(1)公司经营范围</w:t>
      </w:r>
      <w:r>
        <w:rPr>
          <w:rFonts w:ascii="宋体" w:hAnsi="宋体" w:cs="宋体" w:eastAsia="宋体" w:hint="default"/>
          <w:sz w:val="24"/>
          <w:szCs w:val="24"/>
        </w:rPr>
        <w:t>(经北京市工商行政管理局核准)</w:t>
      </w:r>
    </w:p>
    <w:p>
      <w:pPr>
        <w:pStyle w:val="BodyText"/>
        <w:spacing w:line="240" w:lineRule="auto" w:before="73"/>
        <w:ind w:right="0"/>
        <w:jc w:val="both"/>
      </w:pPr>
      <w:r>
        <w:rPr/>
        <w:t>互联网信息服务业务不含新闻、出版、医疗保健、药品和医疗器械等内容；对外派遣实</w:t>
      </w:r>
    </w:p>
    <w:p>
      <w:pPr>
        <w:spacing w:after="0" w:line="240"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left="238" w:right="107"/>
        <w:jc w:val="left"/>
      </w:pPr>
      <w:r>
        <w:rPr/>
        <w:t>施与出口自产成套设备相关的境外工程所需的劳务人员；商用密码产品生产；商用密码</w:t>
      </w:r>
      <w:r>
        <w:rPr>
          <w:spacing w:val="-47"/>
        </w:rPr>
        <w:t> </w:t>
      </w:r>
      <w:r>
        <w:rPr>
          <w:spacing w:val="-47"/>
        </w:rPr>
      </w:r>
      <w:r>
        <w:rPr/>
        <w:t>产品销售；计算机及周边设备的生产、销售、技术服务和维修；社会公共安全设备、交</w:t>
      </w:r>
      <w:r>
        <w:rPr>
          <w:spacing w:val="-47"/>
        </w:rPr>
        <w:t> </w:t>
      </w:r>
      <w:r>
        <w:rPr>
          <w:spacing w:val="-47"/>
        </w:rPr>
      </w:r>
      <w:r>
        <w:rPr/>
        <w:t>通工程设备、建筑智能化及市政工程机电设备、电力工程机电设备、节能、大气与工业</w:t>
      </w:r>
      <w:r>
        <w:rPr>
          <w:spacing w:val="-47"/>
        </w:rPr>
        <w:t> </w:t>
      </w:r>
      <w:r>
        <w:rPr>
          <w:spacing w:val="-47"/>
        </w:rPr>
      </w:r>
      <w:r>
        <w:rPr/>
        <w:t>污染控制、废弃物处理与综合利用的工程和设备的设计、生产、销售、承接工程安装、</w:t>
      </w:r>
      <w:r>
        <w:rPr>
          <w:spacing w:val="-47"/>
        </w:rPr>
        <w:t> </w:t>
      </w:r>
      <w:r>
        <w:rPr>
          <w:spacing w:val="-47"/>
        </w:rPr>
      </w:r>
      <w:r>
        <w:rPr/>
        <w:t>技术开发与服务；工业废水、生活污水、生活垃圾的处理；除尘脱硫；人工环境控制设</w:t>
      </w:r>
      <w:r>
        <w:rPr>
          <w:spacing w:val="-47"/>
        </w:rPr>
        <w:t> </w:t>
      </w:r>
      <w:r>
        <w:rPr>
          <w:spacing w:val="-47"/>
        </w:rPr>
      </w:r>
      <w:r>
        <w:rPr/>
        <w:t>备、通信电子产品、微电子集成电路、办公设备的生产、销售及工程安装；仪器仪表、</w:t>
      </w:r>
      <w:r>
        <w:rPr>
          <w:spacing w:val="-47"/>
        </w:rPr>
        <w:t> </w:t>
      </w:r>
      <w:r>
        <w:rPr>
          <w:spacing w:val="-47"/>
        </w:rPr>
      </w:r>
      <w:r>
        <w:rPr/>
        <w:t>光机电一体化设备的开发、生产、销售；消防产品的销售；高科技项目的咨询、高新技</w:t>
      </w:r>
      <w:r>
        <w:rPr>
          <w:spacing w:val="-47"/>
        </w:rPr>
        <w:t> </w:t>
      </w:r>
      <w:r>
        <w:rPr>
          <w:spacing w:val="-47"/>
        </w:rPr>
      </w:r>
      <w:r>
        <w:rPr/>
        <w:t>术的转让与服务；物业管理；进出口业务；机电安装工程施工总承包；建筑智能化、城</w:t>
      </w:r>
      <w:r>
        <w:rPr>
          <w:spacing w:val="-47"/>
        </w:rPr>
        <w:t> </w:t>
      </w:r>
      <w:r>
        <w:rPr>
          <w:spacing w:val="-47"/>
        </w:rPr>
      </w:r>
      <w:r>
        <w:rPr/>
        <w:t>市及道路照明、环保、电子工程转业承包；室内空气净化工程；计算机系统集成；建筑</w:t>
      </w:r>
      <w:r>
        <w:rPr>
          <w:spacing w:val="-47"/>
        </w:rPr>
        <w:t> </w:t>
      </w:r>
      <w:r>
        <w:rPr>
          <w:spacing w:val="-47"/>
        </w:rPr>
      </w:r>
      <w:r>
        <w:rPr>
          <w:spacing w:val="-1"/>
        </w:rPr>
        <w:t>智能化系统集成(不含消防子系统)专项工程设计；环境工程(废水)专项工程设计、咨询；</w:t>
      </w:r>
      <w:r>
        <w:rPr/>
        <w:t> </w:t>
      </w:r>
      <w:r>
        <w:rPr>
          <w:spacing w:val="-8"/>
        </w:rPr>
        <w:t>工业废水、生活污水环境保护设施运营；水景喷泉设计、制造、安装、调试；安防工程(设</w:t>
      </w:r>
      <w:r>
        <w:rPr>
          <w:spacing w:val="-82"/>
        </w:rPr>
        <w:t> </w:t>
      </w:r>
      <w:r>
        <w:rPr>
          <w:spacing w:val="-82"/>
        </w:rPr>
      </w:r>
      <w:r>
        <w:rPr/>
        <w:t>计、施工)；有线电视共用天线设计安装；广告发布与代理。</w:t>
      </w:r>
    </w:p>
    <w:p>
      <w:pPr>
        <w:spacing w:line="240" w:lineRule="auto" w:before="7"/>
        <w:rPr>
          <w:rFonts w:ascii="宋体" w:hAnsi="宋体" w:cs="宋体" w:eastAsia="宋体" w:hint="default"/>
          <w:sz w:val="23"/>
          <w:szCs w:val="23"/>
        </w:rPr>
      </w:pPr>
    </w:p>
    <w:p>
      <w:pPr>
        <w:pStyle w:val="Heading3"/>
        <w:spacing w:line="240" w:lineRule="auto"/>
        <w:ind w:left="238" w:right="107"/>
        <w:jc w:val="left"/>
        <w:rPr>
          <w:b w:val="0"/>
          <w:bCs w:val="0"/>
        </w:rPr>
      </w:pPr>
      <w:r>
        <w:rPr/>
        <w:t>(2)分行业、产品的销售收入构成</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0"/>
        <w:jc w:val="both"/>
      </w:pPr>
      <w:r>
        <w:rPr/>
        <w:t>目前，公司已搭建起计算机系统本部、应用信息系统本部、数字电视系统本部、能源环</w:t>
      </w:r>
      <w:r>
        <w:rPr>
          <w:spacing w:val="-47"/>
        </w:rPr>
        <w:t> </w:t>
      </w:r>
      <w:r>
        <w:rPr>
          <w:spacing w:val="-47"/>
        </w:rPr>
      </w:r>
      <w:r>
        <w:rPr/>
        <w:t>境本部四大业务平台，归纳分属信息产业和能源环境产业。2008</w:t>
      </w:r>
      <w:r>
        <w:rPr>
          <w:spacing w:val="-40"/>
        </w:rPr>
        <w:t> </w:t>
      </w:r>
      <w:r>
        <w:rPr/>
        <w:t>年度按照行业和应用领</w:t>
      </w:r>
      <w:r>
        <w:rPr/>
        <w:t> 域分类的经营收入构成是：</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650"/>
        <w:gridCol w:w="1266"/>
        <w:gridCol w:w="1180"/>
        <w:gridCol w:w="1567"/>
        <w:gridCol w:w="773"/>
        <w:gridCol w:w="1266"/>
        <w:gridCol w:w="716"/>
      </w:tblGrid>
      <w:tr>
        <w:trPr>
          <w:trHeight w:val="334" w:hRule="exact"/>
        </w:trPr>
        <w:tc>
          <w:tcPr>
            <w:tcW w:w="2650"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4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34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982"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65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2006</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26"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874" w:right="0"/>
              <w:jc w:val="left"/>
              <w:rPr>
                <w:rFonts w:ascii="宋体" w:hAnsi="宋体" w:cs="宋体" w:eastAsia="宋体" w:hint="default"/>
                <w:sz w:val="20"/>
                <w:szCs w:val="20"/>
              </w:rPr>
            </w:pPr>
            <w:r>
              <w:rPr>
                <w:rFonts w:ascii="宋体" w:hAnsi="宋体" w:cs="宋体" w:eastAsia="宋体" w:hint="default"/>
                <w:b/>
                <w:bCs/>
                <w:sz w:val="20"/>
                <w:szCs w:val="20"/>
              </w:rPr>
              <w:t>单位</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万元</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3" w:right="0"/>
              <w:jc w:val="left"/>
              <w:rPr>
                <w:rFonts w:ascii="宋体" w:hAnsi="宋体" w:cs="宋体" w:eastAsia="宋体" w:hint="default"/>
                <w:sz w:val="20"/>
                <w:szCs w:val="20"/>
              </w:rPr>
            </w:pPr>
            <w:r>
              <w:rPr>
                <w:rFonts w:ascii="宋体" w:hAnsi="宋体" w:cs="宋体" w:eastAsia="宋体" w:hint="default"/>
                <w:b/>
                <w:bCs/>
                <w:sz w:val="20"/>
                <w:szCs w:val="20"/>
              </w:rPr>
              <w:t>销售收入</w:t>
            </w:r>
            <w:r>
              <w:rPr>
                <w:rFonts w:ascii="宋体" w:hAnsi="宋体" w:cs="宋体" w:eastAsia="宋体" w:hint="default"/>
                <w:sz w:val="20"/>
                <w:szCs w:val="20"/>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80"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74" w:right="0"/>
              <w:jc w:val="left"/>
              <w:rPr>
                <w:rFonts w:ascii="宋体" w:hAnsi="宋体" w:cs="宋体" w:eastAsia="宋体" w:hint="default"/>
                <w:sz w:val="20"/>
                <w:szCs w:val="20"/>
              </w:rPr>
            </w:pPr>
            <w:r>
              <w:rPr>
                <w:rFonts w:ascii="宋体" w:hAnsi="宋体" w:cs="宋体" w:eastAsia="宋体" w:hint="default"/>
                <w:b/>
                <w:bCs/>
                <w:sz w:val="20"/>
                <w:szCs w:val="20"/>
              </w:rPr>
              <w:t>销售收入</w:t>
            </w:r>
            <w:r>
              <w:rPr>
                <w:rFonts w:ascii="宋体" w:hAnsi="宋体" w:cs="宋体" w:eastAsia="宋体" w:hint="default"/>
                <w:sz w:val="20"/>
                <w:szCs w:val="20"/>
              </w:rPr>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77"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3" w:right="0"/>
              <w:jc w:val="left"/>
              <w:rPr>
                <w:rFonts w:ascii="宋体" w:hAnsi="宋体" w:cs="宋体" w:eastAsia="宋体" w:hint="default"/>
                <w:sz w:val="20"/>
                <w:szCs w:val="20"/>
              </w:rPr>
            </w:pPr>
            <w:r>
              <w:rPr>
                <w:rFonts w:ascii="宋体" w:hAnsi="宋体" w:cs="宋体" w:eastAsia="宋体" w:hint="default"/>
                <w:b/>
                <w:bCs/>
                <w:sz w:val="20"/>
                <w:szCs w:val="20"/>
              </w:rPr>
              <w:t>销售收入</w:t>
            </w:r>
            <w:r>
              <w:rPr>
                <w:rFonts w:ascii="宋体" w:hAnsi="宋体" w:cs="宋体" w:eastAsia="宋体" w:hint="default"/>
                <w:sz w:val="20"/>
                <w:szCs w:val="20"/>
              </w:rPr>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39"/>
              <w:jc w:val="righ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r>
      <w:tr>
        <w:trPr>
          <w:trHeight w:val="328"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一．信息产业</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
        </w:tc>
        <w:tc>
          <w:tcPr>
            <w:tcW w:w="1180"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计算机</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358,929.89</w:t>
            </w:r>
            <w:r>
              <w:rPr>
                <w:rFonts w:ascii="Times New Roman"/>
                <w:spacing w:val="-1"/>
                <w:sz w:val="20"/>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26%</w:t>
            </w:r>
            <w:r>
              <w:rPr>
                <w:rFonts w:ascii="Times New Roman"/>
                <w:sz w:val="20"/>
              </w:rPr>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441,436.49</w:t>
            </w:r>
            <w:r>
              <w:rPr>
                <w:rFonts w:ascii="Times New Roman"/>
                <w:spacing w:val="-1"/>
                <w:sz w:val="20"/>
              </w:rPr>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32%</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Times New Roman" w:hAnsi="Times New Roman" w:cs="Times New Roman" w:eastAsia="Times New Roman" w:hint="default"/>
                <w:sz w:val="20"/>
                <w:szCs w:val="20"/>
              </w:rPr>
            </w:pPr>
            <w:r>
              <w:rPr>
                <w:rFonts w:ascii="Times New Roman"/>
                <w:b/>
                <w:spacing w:val="-1"/>
                <w:sz w:val="20"/>
              </w:rPr>
              <w:t>457,867.34</w:t>
            </w:r>
            <w:r>
              <w:rPr>
                <w:rFonts w:ascii="Times New Roman"/>
                <w:spacing w:val="-1"/>
                <w:sz w:val="20"/>
              </w:rPr>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6"/>
              <w:jc w:val="right"/>
              <w:rPr>
                <w:rFonts w:ascii="Times New Roman" w:hAnsi="Times New Roman" w:cs="Times New Roman" w:eastAsia="Times New Roman" w:hint="default"/>
                <w:sz w:val="20"/>
                <w:szCs w:val="20"/>
              </w:rPr>
            </w:pPr>
            <w:r>
              <w:rPr>
                <w:rFonts w:ascii="Times New Roman"/>
                <w:b/>
                <w:sz w:val="20"/>
              </w:rPr>
              <w:t>40%</w:t>
            </w:r>
            <w:r>
              <w:rPr>
                <w:rFonts w:ascii="Times New Roman"/>
                <w:sz w:val="20"/>
              </w:rPr>
            </w:r>
          </w:p>
        </w:tc>
      </w:tr>
      <w:tr>
        <w:trPr>
          <w:trHeight w:val="328"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应用信息</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
        </w:tc>
        <w:tc>
          <w:tcPr>
            <w:tcW w:w="1180"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数字城市与行业信息系统</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217,261.05</w:t>
            </w:r>
            <w:r>
              <w:rPr>
                <w:rFonts w:ascii="Times New Roman"/>
                <w:sz w:val="20"/>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16%</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194,853.12</w:t>
            </w:r>
            <w:r>
              <w:rPr>
                <w:rFonts w:ascii="Times New Roman"/>
                <w:sz w:val="20"/>
              </w:rPr>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14%</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155,581.86</w:t>
            </w:r>
            <w:r>
              <w:rPr>
                <w:rFonts w:ascii="Times New Roman"/>
                <w:sz w:val="20"/>
              </w:rPr>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14%</w:t>
            </w:r>
          </w:p>
        </w:tc>
      </w:tr>
      <w:tr>
        <w:trPr>
          <w:trHeight w:val="328"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安防系统</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243,912.54</w:t>
            </w:r>
            <w:r>
              <w:rPr>
                <w:rFonts w:ascii="Times New Roman"/>
                <w:sz w:val="20"/>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18%</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230,386.32</w:t>
            </w:r>
            <w:r>
              <w:rPr>
                <w:rFonts w:ascii="Times New Roman"/>
                <w:sz w:val="20"/>
              </w:rPr>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17%</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162,749.29</w:t>
            </w:r>
            <w:r>
              <w:rPr>
                <w:rFonts w:ascii="Times New Roman"/>
                <w:sz w:val="20"/>
              </w:rPr>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14%</w:t>
            </w:r>
          </w:p>
        </w:tc>
      </w:tr>
      <w:tr>
        <w:trPr>
          <w:trHeight w:val="326"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5"/>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461,173.59</w:t>
            </w:r>
            <w:r>
              <w:rPr>
                <w:rFonts w:ascii="Times New Roman"/>
                <w:spacing w:val="-1"/>
                <w:sz w:val="20"/>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34%</w:t>
            </w:r>
            <w:r>
              <w:rPr>
                <w:rFonts w:ascii="Times New Roman"/>
                <w:sz w:val="20"/>
              </w:rPr>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425,239.44</w:t>
            </w:r>
            <w:r>
              <w:rPr>
                <w:rFonts w:ascii="Times New Roman"/>
                <w:spacing w:val="-1"/>
                <w:sz w:val="20"/>
              </w:rPr>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31%</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318,331.15</w:t>
            </w:r>
            <w:r>
              <w:rPr>
                <w:rFonts w:ascii="Times New Roman"/>
                <w:spacing w:val="-1"/>
                <w:sz w:val="20"/>
              </w:rPr>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6"/>
              <w:jc w:val="right"/>
              <w:rPr>
                <w:rFonts w:ascii="Times New Roman" w:hAnsi="Times New Roman" w:cs="Times New Roman" w:eastAsia="Times New Roman" w:hint="default"/>
                <w:sz w:val="20"/>
                <w:szCs w:val="20"/>
              </w:rPr>
            </w:pPr>
            <w:r>
              <w:rPr>
                <w:rFonts w:ascii="Times New Roman"/>
                <w:b/>
                <w:sz w:val="20"/>
              </w:rPr>
              <w:t>28%</w:t>
            </w:r>
            <w:r>
              <w:rPr>
                <w:rFonts w:ascii="Times New Roman"/>
                <w:sz w:val="20"/>
              </w:rPr>
            </w:r>
          </w:p>
        </w:tc>
      </w:tr>
      <w:tr>
        <w:trPr>
          <w:trHeight w:val="328"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数字电视系统</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
        </w:tc>
        <w:tc>
          <w:tcPr>
            <w:tcW w:w="1180"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数字电视系统</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154,121.56</w:t>
            </w:r>
            <w:r>
              <w:rPr>
                <w:rFonts w:ascii="Times New Roman"/>
                <w:sz w:val="20"/>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11%</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120,368.35</w:t>
            </w:r>
            <w:r>
              <w:rPr>
                <w:rFonts w:ascii="Times New Roman"/>
                <w:sz w:val="20"/>
              </w:rPr>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z w:val="20"/>
              </w:rPr>
              <w:t>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52,979.37</w:t>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4%</w:t>
            </w:r>
          </w:p>
        </w:tc>
      </w:tr>
      <w:tr>
        <w:trPr>
          <w:trHeight w:val="328"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数字通信与装备制造</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87,259.97</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z w:val="20"/>
              </w:rPr>
              <w:t>6%</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80,892.65</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60,036.01</w:t>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z w:val="20"/>
              </w:rPr>
              <w:t>5%</w:t>
            </w:r>
          </w:p>
        </w:tc>
      </w:tr>
      <w:tr>
        <w:trPr>
          <w:trHeight w:val="326"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互联网应用与服务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39,075.01</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z w:val="20"/>
              </w:rPr>
              <w:t>3%</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32,590.19</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27,439.87</w:t>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z w:val="20"/>
              </w:rPr>
              <w:t>3%</w:t>
            </w:r>
          </w:p>
        </w:tc>
      </w:tr>
      <w:tr>
        <w:trPr>
          <w:trHeight w:val="328"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5"/>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280,456.54</w:t>
            </w:r>
            <w:r>
              <w:rPr>
                <w:rFonts w:ascii="Times New Roman"/>
                <w:spacing w:val="-1"/>
                <w:sz w:val="20"/>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20%</w:t>
            </w:r>
            <w:r>
              <w:rPr>
                <w:rFonts w:ascii="Times New Roman"/>
                <w:sz w:val="20"/>
              </w:rPr>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233,851.19</w:t>
            </w:r>
            <w:r>
              <w:rPr>
                <w:rFonts w:ascii="Times New Roman"/>
                <w:spacing w:val="-1"/>
                <w:sz w:val="20"/>
              </w:rPr>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17%</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140,455.25</w:t>
            </w:r>
            <w:r>
              <w:rPr>
                <w:rFonts w:ascii="Times New Roman"/>
                <w:spacing w:val="-1"/>
                <w:sz w:val="20"/>
              </w:rPr>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6"/>
              <w:jc w:val="right"/>
              <w:rPr>
                <w:rFonts w:ascii="Times New Roman" w:hAnsi="Times New Roman" w:cs="Times New Roman" w:eastAsia="Times New Roman" w:hint="default"/>
                <w:sz w:val="20"/>
                <w:szCs w:val="20"/>
              </w:rPr>
            </w:pPr>
            <w:r>
              <w:rPr>
                <w:rFonts w:ascii="Times New Roman"/>
                <w:b/>
                <w:sz w:val="20"/>
              </w:rPr>
              <w:t>12%</w:t>
            </w:r>
            <w:r>
              <w:rPr>
                <w:rFonts w:ascii="Times New Roman"/>
                <w:sz w:val="20"/>
              </w:rPr>
            </w:r>
          </w:p>
        </w:tc>
      </w:tr>
      <w:tr>
        <w:trPr>
          <w:trHeight w:val="326"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二、能源环境业</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
        </w:tc>
        <w:tc>
          <w:tcPr>
            <w:tcW w:w="1180"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环保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23,006.52</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z w:val="20"/>
              </w:rPr>
              <w:t>2%</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18,884.14</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36,382.55</w:t>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z w:val="20"/>
              </w:rPr>
              <w:t>4%</w:t>
            </w:r>
          </w:p>
        </w:tc>
      </w:tr>
      <w:tr>
        <w:trPr>
          <w:trHeight w:val="326"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建筑节能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240,767.82</w:t>
            </w:r>
            <w:r>
              <w:rPr>
                <w:rFonts w:ascii="Times New Roman"/>
                <w:sz w:val="20"/>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17%</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220,544.26</w:t>
            </w:r>
            <w:r>
              <w:rPr>
                <w:rFonts w:ascii="Times New Roman"/>
                <w:sz w:val="20"/>
              </w:rPr>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16%</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183,269.81</w:t>
            </w:r>
            <w:r>
              <w:rPr>
                <w:rFonts w:ascii="Times New Roman"/>
                <w:sz w:val="20"/>
              </w:rPr>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15%</w:t>
            </w:r>
          </w:p>
        </w:tc>
      </w:tr>
      <w:tr>
        <w:trPr>
          <w:trHeight w:val="328"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5"/>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263,774.34</w:t>
            </w:r>
            <w:r>
              <w:rPr>
                <w:rFonts w:ascii="Times New Roman"/>
                <w:spacing w:val="-1"/>
                <w:sz w:val="20"/>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19%</w:t>
            </w:r>
            <w:r>
              <w:rPr>
                <w:rFonts w:ascii="Times New Roman"/>
                <w:sz w:val="20"/>
              </w:rPr>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239,428.40</w:t>
            </w:r>
            <w:r>
              <w:rPr>
                <w:rFonts w:ascii="Times New Roman"/>
                <w:spacing w:val="-1"/>
                <w:sz w:val="20"/>
              </w:rPr>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17%</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219,652.36</w:t>
            </w:r>
            <w:r>
              <w:rPr>
                <w:rFonts w:ascii="Times New Roman"/>
                <w:spacing w:val="-1"/>
                <w:sz w:val="20"/>
              </w:rPr>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6"/>
              <w:jc w:val="right"/>
              <w:rPr>
                <w:rFonts w:ascii="Times New Roman" w:hAnsi="Times New Roman" w:cs="Times New Roman" w:eastAsia="Times New Roman" w:hint="default"/>
                <w:sz w:val="20"/>
                <w:szCs w:val="20"/>
              </w:rPr>
            </w:pPr>
            <w:r>
              <w:rPr>
                <w:rFonts w:ascii="Times New Roman"/>
                <w:b/>
                <w:sz w:val="20"/>
              </w:rPr>
              <w:t>19%</w:t>
            </w:r>
            <w:r>
              <w:rPr>
                <w:rFonts w:ascii="Times New Roman"/>
                <w:sz w:val="20"/>
              </w:rPr>
            </w:r>
          </w:p>
        </w:tc>
      </w:tr>
      <w:tr>
        <w:trPr>
          <w:trHeight w:val="326" w:hRule="exact"/>
        </w:trPr>
        <w:tc>
          <w:tcPr>
            <w:tcW w:w="265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三、科技园及其他</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6,312.31</w:t>
            </w:r>
            <w:r>
              <w:rPr>
                <w:rFonts w:ascii="Times New Roman"/>
                <w:spacing w:val="-1"/>
                <w:sz w:val="20"/>
              </w:rPr>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1%</w:t>
            </w:r>
            <w:r>
              <w:rPr>
                <w:rFonts w:ascii="Times New Roman"/>
                <w:sz w:val="20"/>
              </w:rPr>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b/>
                <w:spacing w:val="-1"/>
                <w:sz w:val="20"/>
              </w:rPr>
              <w:t>32,350.55</w:t>
            </w:r>
            <w:r>
              <w:rPr>
                <w:rFonts w:ascii="Times New Roman"/>
                <w:spacing w:val="-1"/>
                <w:sz w:val="20"/>
              </w:rPr>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3%</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6,853.48</w:t>
            </w:r>
            <w:r>
              <w:rPr>
                <w:rFonts w:ascii="Times New Roman"/>
                <w:spacing w:val="-1"/>
                <w:sz w:val="20"/>
              </w:rPr>
            </w:r>
          </w:p>
        </w:tc>
        <w:tc>
          <w:tcPr>
            <w:tcW w:w="7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6"/>
              <w:jc w:val="right"/>
              <w:rPr>
                <w:rFonts w:ascii="Times New Roman" w:hAnsi="Times New Roman" w:cs="Times New Roman" w:eastAsia="Times New Roman" w:hint="default"/>
                <w:sz w:val="20"/>
                <w:szCs w:val="20"/>
              </w:rPr>
            </w:pPr>
            <w:r>
              <w:rPr>
                <w:rFonts w:ascii="Times New Roman"/>
                <w:b/>
                <w:sz w:val="20"/>
              </w:rPr>
              <w:t>1%</w:t>
            </w:r>
            <w:r>
              <w:rPr>
                <w:rFonts w:ascii="Times New Roman"/>
                <w:sz w:val="20"/>
              </w:rPr>
            </w:r>
          </w:p>
        </w:tc>
      </w:tr>
      <w:tr>
        <w:trPr>
          <w:trHeight w:val="335" w:hRule="exact"/>
        </w:trPr>
        <w:tc>
          <w:tcPr>
            <w:tcW w:w="2650"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四、总计</w:t>
            </w:r>
            <w:r>
              <w:rPr>
                <w:rFonts w:ascii="宋体" w:hAnsi="宋体" w:cs="宋体" w:eastAsia="宋体" w:hint="default"/>
                <w:sz w:val="20"/>
                <w:szCs w:val="20"/>
              </w:rPr>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b/>
                <w:spacing w:val="-1"/>
                <w:sz w:val="20"/>
              </w:rPr>
              <w:t>1,370,646.67</w:t>
            </w:r>
            <w:r>
              <w:rPr>
                <w:rFonts w:ascii="Times New Roman"/>
                <w:spacing w:val="-1"/>
                <w:sz w:val="20"/>
              </w:rPr>
            </w:r>
          </w:p>
        </w:tc>
        <w:tc>
          <w:tcPr>
            <w:tcW w:w="11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100%</w:t>
            </w:r>
            <w:r>
              <w:rPr>
                <w:rFonts w:ascii="Times New Roman"/>
                <w:sz w:val="20"/>
              </w:rPr>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b/>
                <w:spacing w:val="-1"/>
                <w:sz w:val="20"/>
              </w:rPr>
              <w:t>1,372,306.07</w:t>
            </w:r>
            <w:r>
              <w:rPr>
                <w:rFonts w:ascii="Times New Roman"/>
                <w:spacing w:val="-1"/>
                <w:sz w:val="20"/>
              </w:rPr>
            </w:r>
          </w:p>
        </w:tc>
        <w:tc>
          <w:tcPr>
            <w:tcW w:w="7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100%</w:t>
            </w:r>
            <w:r>
              <w:rPr>
                <w:rFonts w:ascii="Times New Roman"/>
                <w:sz w:val="20"/>
              </w:rPr>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1,143,159.58</w:t>
            </w:r>
            <w:r>
              <w:rPr>
                <w:rFonts w:ascii="Times New Roman"/>
                <w:spacing w:val="-1"/>
                <w:sz w:val="20"/>
              </w:rPr>
            </w:r>
          </w:p>
        </w:tc>
        <w:tc>
          <w:tcPr>
            <w:tcW w:w="7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7"/>
              <w:jc w:val="right"/>
              <w:rPr>
                <w:rFonts w:ascii="Times New Roman" w:hAnsi="Times New Roman" w:cs="Times New Roman" w:eastAsia="Times New Roman" w:hint="default"/>
                <w:sz w:val="20"/>
                <w:szCs w:val="20"/>
              </w:rPr>
            </w:pPr>
            <w:r>
              <w:rPr>
                <w:rFonts w:ascii="Times New Roman"/>
                <w:b/>
                <w:sz w:val="20"/>
              </w:rPr>
              <w:t>100%</w:t>
            </w:r>
            <w:r>
              <w:rPr>
                <w:rFonts w:ascii="Times New Roman"/>
                <w:sz w:val="20"/>
              </w:rPr>
            </w:r>
          </w:p>
        </w:tc>
      </w:tr>
    </w:tbl>
    <w:p>
      <w:pPr>
        <w:spacing w:line="204" w:lineRule="exact" w:before="0"/>
        <w:ind w:left="238" w:right="107" w:firstLine="0"/>
        <w:jc w:val="left"/>
        <w:rPr>
          <w:rFonts w:ascii="宋体" w:hAnsi="宋体" w:cs="宋体" w:eastAsia="宋体" w:hint="default"/>
          <w:sz w:val="18"/>
          <w:szCs w:val="18"/>
        </w:rPr>
      </w:pPr>
      <w:r>
        <w:rPr>
          <w:rFonts w:ascii="宋体" w:hAnsi="宋体" w:cs="宋体" w:eastAsia="宋体" w:hint="default"/>
          <w:spacing w:val="-3"/>
          <w:sz w:val="18"/>
          <w:szCs w:val="18"/>
        </w:rPr>
        <w:t>注：2007</w:t>
      </w:r>
      <w:r>
        <w:rPr>
          <w:rFonts w:ascii="宋体" w:hAnsi="宋体" w:cs="宋体" w:eastAsia="宋体" w:hint="default"/>
          <w:spacing w:val="-71"/>
          <w:sz w:val="18"/>
          <w:szCs w:val="18"/>
        </w:rPr>
        <w:t> </w:t>
      </w:r>
      <w:r>
        <w:rPr>
          <w:rFonts w:ascii="宋体" w:hAnsi="宋体" w:cs="宋体" w:eastAsia="宋体" w:hint="default"/>
          <w:sz w:val="18"/>
          <w:szCs w:val="18"/>
        </w:rPr>
        <w:t>年公司对原环保产业中的蓄能业务进行调整，转入建筑节能产业领域进行核算。2008</w:t>
      </w:r>
      <w:r>
        <w:rPr>
          <w:rFonts w:ascii="宋体" w:hAnsi="宋体" w:cs="宋体" w:eastAsia="宋体" w:hint="default"/>
          <w:spacing w:val="-71"/>
          <w:sz w:val="18"/>
          <w:szCs w:val="18"/>
        </w:rPr>
        <w:t> </w:t>
      </w:r>
      <w:r>
        <w:rPr>
          <w:rFonts w:ascii="宋体" w:hAnsi="宋体" w:cs="宋体" w:eastAsia="宋体" w:hint="default"/>
          <w:sz w:val="18"/>
          <w:szCs w:val="18"/>
        </w:rPr>
        <w:t>年，因公司下属同方环</w:t>
      </w:r>
    </w:p>
    <w:p>
      <w:pPr>
        <w:spacing w:before="0"/>
        <w:ind w:left="238" w:right="107" w:firstLine="0"/>
        <w:jc w:val="left"/>
        <w:rPr>
          <w:rFonts w:ascii="宋体" w:hAnsi="宋体" w:cs="宋体" w:eastAsia="宋体" w:hint="default"/>
          <w:sz w:val="18"/>
          <w:szCs w:val="18"/>
        </w:rPr>
      </w:pPr>
      <w:r>
        <w:rPr>
          <w:rFonts w:ascii="宋体" w:hAnsi="宋体" w:cs="宋体" w:eastAsia="宋体" w:hint="default"/>
          <w:sz w:val="18"/>
          <w:szCs w:val="18"/>
        </w:rPr>
        <w:t>境股份有限公司不再纳入公司合并范围，为统一比较口径，公司在以往年度环保收入中相应剔除了同方环境股份有限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公司数据。</w:t>
      </w:r>
    </w:p>
    <w:p>
      <w:pPr>
        <w:spacing w:line="240" w:lineRule="auto" w:before="13"/>
        <w:rPr>
          <w:rFonts w:ascii="宋体" w:hAnsi="宋体" w:cs="宋体" w:eastAsia="宋体" w:hint="default"/>
          <w:sz w:val="22"/>
          <w:szCs w:val="22"/>
        </w:rPr>
      </w:pPr>
    </w:p>
    <w:p>
      <w:pPr>
        <w:pStyle w:val="BodyText"/>
        <w:spacing w:line="240" w:lineRule="auto"/>
        <w:ind w:left="238" w:right="107"/>
        <w:jc w:val="left"/>
      </w:pPr>
      <w:r>
        <w:rPr/>
        <w:t>2008</w:t>
      </w:r>
      <w:r>
        <w:rPr>
          <w:spacing w:val="-60"/>
        </w:rPr>
        <w:t> </w:t>
      </w:r>
      <w:r>
        <w:rPr/>
        <w:t>年度按照地区分类的经营收入构成是：</w:t>
      </w:r>
    </w:p>
    <w:p>
      <w:pPr>
        <w:spacing w:after="0" w:line="240" w:lineRule="auto"/>
        <w:jc w:val="left"/>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1900"/>
        <w:gridCol w:w="1436"/>
        <w:gridCol w:w="1288"/>
        <w:gridCol w:w="1350"/>
        <w:gridCol w:w="1115"/>
        <w:gridCol w:w="1318"/>
        <w:gridCol w:w="1011"/>
      </w:tblGrid>
      <w:tr>
        <w:trPr>
          <w:trHeight w:val="338" w:hRule="exact"/>
        </w:trPr>
        <w:tc>
          <w:tcPr>
            <w:tcW w:w="1900"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地区</w:t>
            </w:r>
            <w:r>
              <w:rPr>
                <w:rFonts w:ascii="宋体" w:hAnsi="宋体" w:cs="宋体" w:eastAsia="宋体" w:hint="default"/>
                <w:sz w:val="20"/>
                <w:szCs w:val="20"/>
              </w:rPr>
            </w:r>
          </w:p>
        </w:tc>
        <w:tc>
          <w:tcPr>
            <w:tcW w:w="27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46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329"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6"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2006</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26" w:hRule="exact"/>
        </w:trPr>
        <w:tc>
          <w:tcPr>
            <w:tcW w:w="190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sz w:val="20"/>
                <w:szCs w:val="20"/>
              </w:rPr>
              <w:t>单位：万元</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09" w:right="0"/>
              <w:jc w:val="left"/>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65" w:right="0"/>
              <w:jc w:val="left"/>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7"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49" w:right="0"/>
              <w:jc w:val="left"/>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011"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296"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r>
      <w:tr>
        <w:trPr>
          <w:trHeight w:val="328" w:hRule="exact"/>
        </w:trPr>
        <w:tc>
          <w:tcPr>
            <w:tcW w:w="190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国内市场</w:t>
            </w:r>
            <w:r>
              <w:rPr>
                <w:rFonts w:ascii="宋体" w:hAnsi="宋体" w:cs="宋体" w:eastAsia="宋体" w:hint="default"/>
                <w:sz w:val="20"/>
                <w:szCs w:val="20"/>
              </w:rPr>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1,146,548.23</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86.11%</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1,116,060.47</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81" w:right="0"/>
              <w:jc w:val="left"/>
              <w:rPr>
                <w:rFonts w:ascii="Times New Roman" w:hAnsi="Times New Roman" w:cs="Times New Roman" w:eastAsia="Times New Roman" w:hint="default"/>
                <w:sz w:val="20"/>
                <w:szCs w:val="20"/>
              </w:rPr>
            </w:pPr>
            <w:r>
              <w:rPr>
                <w:rFonts w:ascii="Times New Roman"/>
                <w:sz w:val="20"/>
              </w:rPr>
              <w:t>82.07%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1,021,901.23</w:t>
            </w:r>
          </w:p>
        </w:tc>
        <w:tc>
          <w:tcPr>
            <w:tcW w:w="10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89.99%</w:t>
            </w:r>
          </w:p>
        </w:tc>
      </w:tr>
      <w:tr>
        <w:trPr>
          <w:trHeight w:val="326" w:hRule="exact"/>
        </w:trPr>
        <w:tc>
          <w:tcPr>
            <w:tcW w:w="190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海外市场</w:t>
            </w:r>
            <w:r>
              <w:rPr>
                <w:rFonts w:ascii="宋体" w:hAnsi="宋体" w:cs="宋体" w:eastAsia="宋体" w:hint="default"/>
                <w:sz w:val="20"/>
                <w:szCs w:val="20"/>
              </w:rPr>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224,098.44</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13.89%</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256,245.60</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80" w:right="0"/>
              <w:jc w:val="left"/>
              <w:rPr>
                <w:rFonts w:ascii="Times New Roman" w:hAnsi="Times New Roman" w:cs="Times New Roman" w:eastAsia="Times New Roman" w:hint="default"/>
                <w:sz w:val="20"/>
                <w:szCs w:val="20"/>
              </w:rPr>
            </w:pPr>
            <w:r>
              <w:rPr>
                <w:rFonts w:ascii="Times New Roman"/>
                <w:sz w:val="20"/>
              </w:rPr>
              <w:t>17.93%</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121,258.35</w:t>
            </w:r>
          </w:p>
        </w:tc>
        <w:tc>
          <w:tcPr>
            <w:tcW w:w="10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10.01%</w:t>
            </w:r>
          </w:p>
        </w:tc>
      </w:tr>
      <w:tr>
        <w:trPr>
          <w:trHeight w:val="335" w:hRule="exact"/>
        </w:trPr>
        <w:tc>
          <w:tcPr>
            <w:tcW w:w="1900"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1,370,646.67</w:t>
            </w:r>
          </w:p>
        </w:tc>
        <w:tc>
          <w:tcPr>
            <w:tcW w:w="12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100.00%</w:t>
            </w:r>
          </w:p>
        </w:tc>
        <w:tc>
          <w:tcPr>
            <w:tcW w:w="1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1,372,306.07</w:t>
            </w:r>
          </w:p>
        </w:tc>
        <w:tc>
          <w:tcPr>
            <w:tcW w:w="11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282" w:right="0"/>
              <w:jc w:val="left"/>
              <w:rPr>
                <w:rFonts w:ascii="Times New Roman" w:hAnsi="Times New Roman" w:cs="Times New Roman" w:eastAsia="Times New Roman" w:hint="default"/>
                <w:sz w:val="20"/>
                <w:szCs w:val="20"/>
              </w:rPr>
            </w:pPr>
            <w:r>
              <w:rPr>
                <w:rFonts w:ascii="Times New Roman"/>
                <w:sz w:val="20"/>
              </w:rPr>
              <w:t>100.00%</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1,143,159.58</w:t>
            </w:r>
          </w:p>
        </w:tc>
        <w:tc>
          <w:tcPr>
            <w:tcW w:w="10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11"/>
        <w:rPr>
          <w:rFonts w:ascii="宋体" w:hAnsi="宋体" w:cs="宋体" w:eastAsia="宋体" w:hint="default"/>
          <w:sz w:val="15"/>
          <w:szCs w:val="15"/>
        </w:rPr>
      </w:pPr>
    </w:p>
    <w:p>
      <w:pPr>
        <w:pStyle w:val="Heading3"/>
        <w:spacing w:line="475" w:lineRule="auto" w:before="26"/>
        <w:ind w:left="238" w:right="7137"/>
        <w:jc w:val="left"/>
        <w:rPr>
          <w:b w:val="0"/>
          <w:bCs w:val="0"/>
        </w:rPr>
      </w:pPr>
      <w:r>
        <w:rPr/>
        <w:t>2．公司主营业务开展</w:t>
      </w:r>
      <w:r>
        <w:rPr>
          <w:w w:val="99"/>
        </w:rPr>
        <w:t> </w:t>
      </w:r>
      <w:r>
        <w:rPr/>
        <w:t>(1)信息产业</w:t>
      </w:r>
      <w:r>
        <w:rPr>
          <w:b w:val="0"/>
          <w:bCs w:val="0"/>
        </w:rPr>
      </w:r>
    </w:p>
    <w:p>
      <w:pPr>
        <w:pStyle w:val="BodyText"/>
        <w:spacing w:line="313" w:lineRule="exact" w:before="73"/>
        <w:ind w:left="238" w:right="0"/>
        <w:jc w:val="both"/>
      </w:pPr>
      <w:r>
        <w:rPr/>
        <w:t>2008</w:t>
      </w:r>
      <w:r>
        <w:rPr>
          <w:spacing w:val="-40"/>
        </w:rPr>
        <w:t> </w:t>
      </w:r>
      <w:r>
        <w:rPr/>
        <w:t>年，我国信息产业总体保持平稳发展态势，产业规模继续扩大，软件产业保持快速</w:t>
      </w:r>
    </w:p>
    <w:p>
      <w:pPr>
        <w:pStyle w:val="BodyText"/>
        <w:spacing w:line="312" w:lineRule="exact" w:before="29"/>
        <w:ind w:left="238" w:right="240"/>
        <w:jc w:val="both"/>
      </w:pPr>
      <w:r>
        <w:rPr/>
        <w:t>增长，同时受到宏观经济的影响呈现出产业增速前高后低的态势，虽然</w:t>
      </w:r>
      <w:r>
        <w:rPr>
          <w:spacing w:val="-79"/>
        </w:rPr>
        <w:t> </w:t>
      </w:r>
      <w:r>
        <w:rPr/>
        <w:t>2008</w:t>
      </w:r>
      <w:r>
        <w:rPr>
          <w:spacing w:val="-79"/>
        </w:rPr>
        <w:t> </w:t>
      </w:r>
      <w:r>
        <w:rPr/>
        <w:t>年上半年信</w:t>
      </w:r>
      <w:r>
        <w:rPr/>
        <w:t> 息产业效益增速一直保持</w:t>
      </w:r>
      <w:r>
        <w:rPr>
          <w:spacing w:val="-47"/>
        </w:rPr>
        <w:t> </w:t>
      </w:r>
      <w:r>
        <w:rPr>
          <w:spacing w:val="-4"/>
        </w:rPr>
        <w:t>20%以上的水平，而下半年起开始逐月回落，第四季度出现负增</w:t>
      </w:r>
      <w:r>
        <w:rPr>
          <w:spacing w:val="-118"/>
        </w:rPr>
        <w:t> </w:t>
      </w:r>
      <w:r>
        <w:rPr>
          <w:spacing w:val="-118"/>
        </w:rPr>
      </w:r>
      <w:r>
        <w:rPr/>
        <w:t>长。信息产业正面临着一次影响深远、意义重大的产业变局。</w:t>
      </w:r>
    </w:p>
    <w:p>
      <w:pPr>
        <w:spacing w:line="240" w:lineRule="auto" w:before="11"/>
        <w:rPr>
          <w:rFonts w:ascii="宋体" w:hAnsi="宋体" w:cs="宋体" w:eastAsia="宋体" w:hint="default"/>
          <w:sz w:val="23"/>
          <w:szCs w:val="23"/>
        </w:rPr>
      </w:pPr>
    </w:p>
    <w:p>
      <w:pPr>
        <w:pStyle w:val="BodyText"/>
        <w:spacing w:line="312" w:lineRule="exact"/>
        <w:ind w:left="238" w:right="240"/>
        <w:jc w:val="both"/>
      </w:pPr>
      <w:r>
        <w:rPr/>
        <w:t>面对复杂的产业环境变化和市场热点凸现带来的机遇，公司一方面调整发展战略，逐步</w:t>
      </w:r>
      <w:r>
        <w:rPr>
          <w:spacing w:val="-47"/>
        </w:rPr>
        <w:t> </w:t>
      </w:r>
      <w:r>
        <w:rPr>
          <w:spacing w:val="-47"/>
        </w:rPr>
      </w:r>
      <w:r>
        <w:rPr/>
        <w:t>实现从外延式增长向内涵式增长的转变，建立健全可持续成长模式，培育应对经济周期</w:t>
      </w:r>
      <w:r>
        <w:rPr>
          <w:spacing w:val="-47"/>
        </w:rPr>
        <w:t> </w:t>
      </w:r>
      <w:r>
        <w:rPr>
          <w:spacing w:val="-47"/>
        </w:rPr>
      </w:r>
      <w:r>
        <w:rPr/>
        <w:t>的核心竞争力；另一方面，公司通过加大研发力度，不断实施技术、产品和商业模式创</w:t>
      </w:r>
      <w:r>
        <w:rPr>
          <w:spacing w:val="-47"/>
        </w:rPr>
        <w:t> </w:t>
      </w:r>
      <w:r>
        <w:rPr>
          <w:spacing w:val="-47"/>
        </w:rPr>
      </w:r>
      <w:r>
        <w:rPr/>
        <w:t>新，并进一步优化产业结构，加快抢占新兴市场步伐，以实现做大做强。本年度内，公</w:t>
      </w:r>
      <w:r>
        <w:rPr>
          <w:spacing w:val="-47"/>
        </w:rPr>
        <w:t> </w:t>
      </w:r>
      <w:r>
        <w:rPr>
          <w:spacing w:val="-47"/>
        </w:rPr>
      </w:r>
      <w:r>
        <w:rPr/>
        <w:t>司在信息产业实现销售收入</w:t>
      </w:r>
      <w:r>
        <w:rPr>
          <w:spacing w:val="-60"/>
        </w:rPr>
        <w:t> </w:t>
      </w:r>
      <w:r>
        <w:rPr/>
        <w:t>110.06</w:t>
      </w:r>
      <w:r>
        <w:rPr>
          <w:spacing w:val="-60"/>
        </w:rPr>
        <w:t> </w:t>
      </w:r>
      <w:r>
        <w:rPr/>
        <w:t>亿元，主要产品和业务的经营情况是：</w:t>
      </w:r>
    </w:p>
    <w:p>
      <w:pPr>
        <w:spacing w:line="240" w:lineRule="auto" w:before="6"/>
        <w:rPr>
          <w:rFonts w:ascii="宋体" w:hAnsi="宋体" w:cs="宋体" w:eastAsia="宋体" w:hint="default"/>
          <w:sz w:val="21"/>
          <w:szCs w:val="21"/>
        </w:rPr>
      </w:pPr>
    </w:p>
    <w:p>
      <w:pPr>
        <w:pStyle w:val="BodyText"/>
        <w:spacing w:line="240" w:lineRule="auto"/>
        <w:ind w:left="238" w:right="0"/>
        <w:jc w:val="both"/>
      </w:pPr>
      <w:r>
        <w:rPr/>
        <w:t>①计算机产品</w:t>
      </w:r>
    </w:p>
    <w:p>
      <w:pPr>
        <w:spacing w:line="240" w:lineRule="auto" w:before="12"/>
        <w:rPr>
          <w:rFonts w:ascii="宋体" w:hAnsi="宋体" w:cs="宋体" w:eastAsia="宋体" w:hint="default"/>
          <w:sz w:val="25"/>
          <w:szCs w:val="25"/>
        </w:rPr>
      </w:pPr>
    </w:p>
    <w:p>
      <w:pPr>
        <w:pStyle w:val="BodyText"/>
        <w:spacing w:line="312" w:lineRule="exact"/>
        <w:ind w:left="238" w:right="240"/>
        <w:jc w:val="both"/>
      </w:pPr>
      <w:r>
        <w:rPr/>
        <w:t>2008</w:t>
      </w:r>
      <w:r>
        <w:rPr>
          <w:spacing w:val="-40"/>
        </w:rPr>
        <w:t> </w:t>
      </w:r>
      <w:r>
        <w:rPr/>
        <w:t>年，一方面计算机产品市场整体上仍保持了较高的发展速度，其中笔记本增长速度</w:t>
      </w:r>
      <w:r>
        <w:rPr/>
        <w:t> 远超台式机，成为带动市场的主要动因。另一方面，受到全球金融危机的影响，计算机</w:t>
      </w:r>
      <w:r>
        <w:rPr>
          <w:spacing w:val="-47"/>
        </w:rPr>
        <w:t> </w:t>
      </w:r>
      <w:r>
        <w:rPr>
          <w:spacing w:val="-47"/>
        </w:rPr>
      </w:r>
      <w:r>
        <w:rPr/>
        <w:t>产品需求在四季度后开始明显回落，同时笔记本价格不断下降也造成了台式机产品濒临</w:t>
      </w:r>
      <w:r>
        <w:rPr>
          <w:spacing w:val="-47"/>
        </w:rPr>
        <w:t> </w:t>
      </w:r>
      <w:r>
        <w:rPr>
          <w:spacing w:val="-47"/>
        </w:rPr>
      </w:r>
      <w:r>
        <w:rPr/>
        <w:t>负增长。根据工信部统计，2008 年 1-11 月我国计算机产业利润出现负增长，下降</w:t>
      </w:r>
      <w:r>
        <w:rPr>
          <w:spacing w:val="-40"/>
        </w:rPr>
        <w:t> </w:t>
      </w:r>
      <w:r>
        <w:rPr/>
        <w:t>0.7</w:t>
      </w:r>
      <w:r>
        <w:rPr/>
        <w:t> 个百分点。</w:t>
      </w:r>
    </w:p>
    <w:p>
      <w:pPr>
        <w:spacing w:line="240" w:lineRule="auto" w:before="11"/>
        <w:rPr>
          <w:rFonts w:ascii="宋体" w:hAnsi="宋体" w:cs="宋体" w:eastAsia="宋体" w:hint="default"/>
          <w:sz w:val="23"/>
          <w:szCs w:val="23"/>
        </w:rPr>
      </w:pPr>
    </w:p>
    <w:p>
      <w:pPr>
        <w:pStyle w:val="BodyText"/>
        <w:spacing w:line="312" w:lineRule="exact"/>
        <w:ind w:left="238" w:right="240"/>
        <w:jc w:val="both"/>
      </w:pPr>
      <w:r>
        <w:rPr/>
        <w:t>由于受到整体恶劣市场环境的影响，公司计算机产品出现了收入持续下滑的状况，尤其</w:t>
      </w:r>
      <w:r>
        <w:rPr>
          <w:spacing w:val="-47"/>
        </w:rPr>
        <w:t> </w:t>
      </w:r>
      <w:r>
        <w:rPr>
          <w:spacing w:val="-47"/>
        </w:rPr>
      </w:r>
      <w:r>
        <w:rPr/>
        <w:t>在进入第四季度之后，下滑增速明显放大。面对此种严峻市场形势，公司一方面继续坚</w:t>
      </w:r>
      <w:r>
        <w:rPr>
          <w:spacing w:val="-47"/>
        </w:rPr>
        <w:t> </w:t>
      </w:r>
      <w:r>
        <w:rPr>
          <w:spacing w:val="-47"/>
        </w:rPr>
      </w:r>
      <w:r>
        <w:rPr/>
        <w:t>持自主创新的经营理念，加大研发投入、部件优化和科技创新，响应不断变化的市场需</w:t>
      </w:r>
      <w:r>
        <w:rPr>
          <w:spacing w:val="-47"/>
        </w:rPr>
        <w:t> </w:t>
      </w:r>
      <w:r>
        <w:rPr>
          <w:spacing w:val="-47"/>
        </w:rPr>
      </w:r>
      <w:r>
        <w:rPr/>
        <w:t>求，设计推出了一系列具有特色和竞争力的新品；另一方面，公司不断转换经营思路和</w:t>
      </w:r>
      <w:r>
        <w:rPr>
          <w:spacing w:val="-47"/>
        </w:rPr>
        <w:t> </w:t>
      </w:r>
      <w:r>
        <w:rPr>
          <w:spacing w:val="-47"/>
        </w:rPr>
      </w:r>
      <w:r>
        <w:rPr/>
        <w:t>工作重点，调整产品销售和管理策略，探索和成熟互联网、电视购物等新兴销售模式，</w:t>
      </w:r>
      <w:r>
        <w:rPr>
          <w:spacing w:val="-47"/>
        </w:rPr>
        <w:t> </w:t>
      </w:r>
      <w:r>
        <w:rPr>
          <w:spacing w:val="-47"/>
        </w:rPr>
      </w:r>
      <w:r>
        <w:rPr/>
        <w:t>加大对笔记本产品的投入和推广力度，通过新产品的推广、新渠道的开辟和内部管理效</w:t>
      </w:r>
      <w:r>
        <w:rPr>
          <w:spacing w:val="-47"/>
        </w:rPr>
        <w:t> </w:t>
      </w:r>
      <w:r>
        <w:rPr>
          <w:spacing w:val="-47"/>
        </w:rPr>
      </w:r>
      <w:r>
        <w:rPr/>
        <w:t>率的不断提高，实现了整体盈利水平的持续提升。2008</w:t>
      </w:r>
      <w:r>
        <w:rPr>
          <w:spacing w:val="-40"/>
        </w:rPr>
        <w:t> </w:t>
      </w:r>
      <w:r>
        <w:rPr/>
        <w:t>年，公司计算机产品的毛利率从</w:t>
      </w:r>
      <w:r>
        <w:rPr/>
        <w:t> 2007</w:t>
      </w:r>
      <w:r>
        <w:rPr>
          <w:spacing w:val="-60"/>
        </w:rPr>
        <w:t> </w:t>
      </w:r>
      <w:r>
        <w:rPr/>
        <w:t>年度的</w:t>
      </w:r>
      <w:r>
        <w:rPr>
          <w:spacing w:val="-60"/>
        </w:rPr>
        <w:t> </w:t>
      </w:r>
      <w:r>
        <w:rPr/>
        <w:t>5.98%提高到</w:t>
      </w:r>
      <w:r>
        <w:rPr>
          <w:spacing w:val="-60"/>
        </w:rPr>
        <w:t> </w:t>
      </w:r>
      <w:r>
        <w:rPr/>
        <w:t>7.81%。</w:t>
      </w:r>
    </w:p>
    <w:p>
      <w:pPr>
        <w:spacing w:line="240" w:lineRule="auto" w:before="6"/>
        <w:rPr>
          <w:rFonts w:ascii="宋体" w:hAnsi="宋体" w:cs="宋体" w:eastAsia="宋体" w:hint="default"/>
          <w:sz w:val="24"/>
          <w:szCs w:val="24"/>
        </w:rPr>
      </w:pPr>
    </w:p>
    <w:tbl>
      <w:tblPr>
        <w:tblW w:w="0" w:type="auto"/>
        <w:jc w:val="left"/>
        <w:tblInd w:w="1713" w:type="dxa"/>
        <w:tblLayout w:type="fixed"/>
        <w:tblCellMar>
          <w:top w:w="0" w:type="dxa"/>
          <w:left w:w="0" w:type="dxa"/>
          <w:bottom w:w="0" w:type="dxa"/>
          <w:right w:w="0" w:type="dxa"/>
        </w:tblCellMar>
        <w:tblLook w:val="01E0"/>
      </w:tblPr>
      <w:tblGrid>
        <w:gridCol w:w="2020"/>
        <w:gridCol w:w="1420"/>
        <w:gridCol w:w="1481"/>
        <w:gridCol w:w="1299"/>
      </w:tblGrid>
      <w:tr>
        <w:trPr>
          <w:trHeight w:val="340"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79" w:lineRule="exact"/>
              <w:ind w:left="39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40"/>
              <w:ind w:left="429" w:right="0"/>
              <w:jc w:val="left"/>
              <w:rPr>
                <w:rFonts w:ascii="Times New Roman" w:hAnsi="Times New Roman" w:cs="Times New Roman" w:eastAsia="Times New Roman" w:hint="default"/>
                <w:sz w:val="21"/>
                <w:szCs w:val="21"/>
              </w:rPr>
            </w:pPr>
            <w:r>
              <w:rPr>
                <w:rFonts w:ascii="Times New Roman"/>
                <w:b/>
                <w:sz w:val="21"/>
              </w:rPr>
              <w:t>2006</w:t>
            </w:r>
            <w:r>
              <w:rPr>
                <w:rFonts w:ascii="Times New Roman"/>
                <w:sz w:val="21"/>
              </w:rPr>
            </w:r>
          </w:p>
        </w:tc>
      </w:tr>
      <w:tr>
        <w:trPr>
          <w:trHeight w:val="331"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5"/>
              <w:jc w:val="right"/>
              <w:rPr>
                <w:rFonts w:ascii="宋体" w:hAnsi="宋体" w:cs="宋体" w:eastAsia="宋体" w:hint="default"/>
                <w:sz w:val="21"/>
                <w:szCs w:val="21"/>
              </w:rPr>
            </w:pPr>
            <w:r>
              <w:rPr>
                <w:rFonts w:ascii="宋体"/>
                <w:spacing w:val="-1"/>
                <w:sz w:val="21"/>
              </w:rPr>
              <w:t>358,929.89</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441,436.49</w:t>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61" w:lineRule="exact"/>
              <w:ind w:right="89"/>
              <w:jc w:val="right"/>
              <w:rPr>
                <w:rFonts w:ascii="宋体" w:hAnsi="宋体" w:cs="宋体" w:eastAsia="宋体" w:hint="default"/>
                <w:sz w:val="21"/>
                <w:szCs w:val="21"/>
              </w:rPr>
            </w:pPr>
            <w:r>
              <w:rPr>
                <w:rFonts w:ascii="宋体"/>
                <w:spacing w:val="-1"/>
                <w:sz w:val="21"/>
              </w:rPr>
              <w:t>457,867.34</w:t>
            </w:r>
          </w:p>
        </w:tc>
      </w:tr>
      <w:tr>
        <w:trPr>
          <w:trHeight w:val="338"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7.81%</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5.98%</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61" w:lineRule="exact"/>
              <w:ind w:right="91"/>
              <w:jc w:val="right"/>
              <w:rPr>
                <w:rFonts w:ascii="宋体" w:hAnsi="宋体" w:cs="宋体" w:eastAsia="宋体" w:hint="default"/>
                <w:sz w:val="21"/>
                <w:szCs w:val="21"/>
              </w:rPr>
            </w:pPr>
            <w:r>
              <w:rPr>
                <w:rFonts w:ascii="宋体"/>
                <w:spacing w:val="-1"/>
                <w:sz w:val="21"/>
              </w:rPr>
              <w:t>4.07%</w:t>
            </w:r>
          </w:p>
        </w:tc>
      </w:tr>
    </w:tbl>
    <w:p>
      <w:pPr>
        <w:spacing w:after="0" w:line="261" w:lineRule="exact"/>
        <w:jc w:val="right"/>
        <w:rPr>
          <w:rFonts w:ascii="宋体" w:hAnsi="宋体" w:cs="宋体" w:eastAsia="宋体" w:hint="default"/>
          <w:sz w:val="21"/>
          <w:szCs w:val="21"/>
        </w:rPr>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20"/>
        <w:jc w:val="both"/>
      </w:pPr>
      <w:r>
        <w:rPr/>
        <w:t>在商用电脑领域，公司积极调整产品结构，大力发展具有公司核心技术、核心解决方案</w:t>
      </w:r>
      <w:r>
        <w:rPr>
          <w:spacing w:val="-47"/>
        </w:rPr>
        <w:t> </w:t>
      </w:r>
      <w:r>
        <w:rPr>
          <w:spacing w:val="-47"/>
        </w:rPr>
      </w:r>
      <w:r>
        <w:rPr/>
        <w:t>的中高端商业电脑，针对中小企业等新兴行业市场，立足公司自主的计算机安全技术平</w:t>
      </w:r>
      <w:r>
        <w:rPr>
          <w:spacing w:val="-47"/>
        </w:rPr>
        <w:t> </w:t>
      </w:r>
      <w:r>
        <w:rPr>
          <w:spacing w:val="-47"/>
        </w:rPr>
      </w:r>
      <w:r>
        <w:rPr/>
        <w:t>台，不断推动新产品的应用，并通过具有特色的核心技术和核心产品的提供，带动其他</w:t>
      </w:r>
      <w:r>
        <w:rPr>
          <w:spacing w:val="-47"/>
        </w:rPr>
        <w:t> </w:t>
      </w:r>
      <w:r>
        <w:rPr>
          <w:spacing w:val="-47"/>
        </w:rPr>
      </w:r>
      <w:r>
        <w:rPr>
          <w:spacing w:val="-6"/>
        </w:rPr>
        <w:t>产品的销售。本年度，公司在</w:t>
      </w:r>
      <w:r>
        <w:rPr>
          <w:spacing w:val="-62"/>
        </w:rPr>
        <w:t> </w:t>
      </w:r>
      <w:r>
        <w:rPr/>
        <w:t>TST</w:t>
      </w:r>
      <w:r>
        <w:rPr>
          <w:spacing w:val="-62"/>
        </w:rPr>
        <w:t> </w:t>
      </w:r>
      <w:r>
        <w:rPr>
          <w:spacing w:val="-3"/>
        </w:rPr>
        <w:t>安全技术平台的基础上，推出了基于</w:t>
      </w:r>
      <w:r>
        <w:rPr>
          <w:spacing w:val="-62"/>
        </w:rPr>
        <w:t> </w:t>
      </w:r>
      <w:r>
        <w:rPr/>
        <w:t>TST</w:t>
      </w:r>
      <w:r>
        <w:rPr>
          <w:spacing w:val="-62"/>
        </w:rPr>
        <w:t> </w:t>
      </w:r>
      <w:r>
        <w:rPr/>
        <w:t>技术的超扬</w:t>
      </w:r>
      <w:r>
        <w:rPr>
          <w:spacing w:val="-62"/>
        </w:rPr>
        <w:t> </w:t>
      </w:r>
      <w:r>
        <w:rPr/>
        <w:t>S</w:t>
      </w:r>
      <w:r>
        <w:rPr/>
        <w:t> 系列商用零售电脑、财务专用电脑、金融电脑等特色产品，具备双硬盘备份、电源断电</w:t>
      </w:r>
      <w:r>
        <w:rPr>
          <w:spacing w:val="-47"/>
        </w:rPr>
        <w:t> </w:t>
      </w:r>
      <w:r>
        <w:rPr>
          <w:spacing w:val="-47"/>
        </w:rPr>
      </w:r>
      <w:r>
        <w:rPr>
          <w:spacing w:val="-2"/>
        </w:rPr>
        <w:t>保护、计算机刷卡消费等多种功能，能够切实满足企业需要。本年度，公司还发布了“E</w:t>
      </w:r>
      <w:r>
        <w:rPr>
          <w:spacing w:val="-82"/>
        </w:rPr>
        <w:t> </w:t>
      </w:r>
      <w:r>
        <w:rPr>
          <w:spacing w:val="-82"/>
        </w:rPr>
      </w:r>
      <w:r>
        <w:rPr/>
        <w:t>达无忧”电脑自我维护与远程服务技术平台，并联合英特尔开发基于 Intel AMT</w:t>
      </w:r>
      <w:r>
        <w:rPr>
          <w:spacing w:val="-40"/>
        </w:rPr>
        <w:t> </w:t>
      </w:r>
      <w:r>
        <w:rPr/>
        <w:t>主动管</w:t>
      </w:r>
      <w:r>
        <w:rPr/>
        <w:t> </w:t>
      </w:r>
      <w:r>
        <w:rPr>
          <w:spacing w:val="-5"/>
        </w:rPr>
        <w:t>理技术与公司“E</w:t>
      </w:r>
      <w:r>
        <w:rPr>
          <w:spacing w:val="-34"/>
        </w:rPr>
        <w:t> </w:t>
      </w:r>
      <w:r>
        <w:rPr>
          <w:spacing w:val="-3"/>
        </w:rPr>
        <w:t>达无忧”管理技术的专门用于中小企业的可服务计算机系统，通过远程</w:t>
      </w:r>
      <w:r>
        <w:rPr>
          <w:spacing w:val="-115"/>
        </w:rPr>
        <w:t> </w:t>
      </w:r>
      <w:r>
        <w:rPr>
          <w:spacing w:val="-115"/>
        </w:rPr>
      </w:r>
      <w:r>
        <w:rPr/>
        <w:t>帮助中小企业进行电脑维护。2008</w:t>
      </w:r>
      <w:r>
        <w:rPr>
          <w:spacing w:val="-40"/>
        </w:rPr>
        <w:t> </w:t>
      </w:r>
      <w:r>
        <w:rPr/>
        <w:t>年，公司还在商业电脑领域大力开拓海外市场，相继</w:t>
      </w:r>
      <w:r>
        <w:rPr/>
        <w:t> 中标巴西汽车电子公司电脑采购项目、津巴布韦税务局电脑采购项目。</w:t>
      </w:r>
    </w:p>
    <w:p>
      <w:pPr>
        <w:spacing w:line="240" w:lineRule="auto" w:before="1"/>
        <w:rPr>
          <w:rFonts w:ascii="宋体" w:hAnsi="宋体" w:cs="宋体" w:eastAsia="宋体" w:hint="default"/>
          <w:sz w:val="26"/>
          <w:szCs w:val="26"/>
        </w:rPr>
      </w:pPr>
    </w:p>
    <w:p>
      <w:pPr>
        <w:pStyle w:val="BodyText"/>
        <w:spacing w:line="312" w:lineRule="exact"/>
        <w:ind w:right="220"/>
        <w:jc w:val="both"/>
      </w:pPr>
      <w:r>
        <w:rPr/>
        <w:t>在家用电脑领域，随着电脑的不断普及，我国</w:t>
      </w:r>
      <w:r>
        <w:rPr>
          <w:spacing w:val="-79"/>
        </w:rPr>
        <w:t> </w:t>
      </w:r>
      <w:r>
        <w:rPr/>
        <w:t>PC</w:t>
      </w:r>
      <w:r>
        <w:rPr>
          <w:spacing w:val="-79"/>
        </w:rPr>
        <w:t> </w:t>
      </w:r>
      <w:r>
        <w:rPr/>
        <w:t>市场已经逐步结束快速发展的阶段，开</w:t>
      </w:r>
      <w:r>
        <w:rPr/>
        <w:t> 始进入更加成熟的发展阶段，然而随着新兴技术的不断普及和应用以及大尺寸液晶面板</w:t>
      </w:r>
      <w:r>
        <w:rPr>
          <w:spacing w:val="-47"/>
        </w:rPr>
        <w:t> </w:t>
      </w:r>
      <w:r>
        <w:rPr>
          <w:spacing w:val="-47"/>
        </w:rPr>
      </w:r>
      <w:r>
        <w:rPr/>
        <w:t>等产品价格的快速下降，电脑产品的进一步升级换代、功能完善、与其他家庭娱乐工具</w:t>
      </w:r>
      <w:r>
        <w:rPr>
          <w:spacing w:val="-47"/>
        </w:rPr>
        <w:t> </w:t>
      </w:r>
      <w:r>
        <w:rPr>
          <w:spacing w:val="-47"/>
        </w:rPr>
      </w:r>
      <w:r>
        <w:rPr/>
        <w:t>的不断融合协作和个性化体现成为消费者的关注重点。为此，公司始终关注用户和市场</w:t>
      </w:r>
      <w:r>
        <w:rPr>
          <w:spacing w:val="-47"/>
        </w:rPr>
        <w:t> </w:t>
      </w:r>
      <w:r>
        <w:rPr>
          <w:spacing w:val="-47"/>
        </w:rPr>
      </w:r>
      <w:r>
        <w:rPr/>
        <w:t>需求的变化与潮流趋势，通过创新科技和贴心应用不断满足用户日益升级的个性时尚需</w:t>
      </w:r>
      <w:r>
        <w:rPr>
          <w:spacing w:val="-47"/>
        </w:rPr>
        <w:t> </w:t>
      </w:r>
      <w:r>
        <w:rPr>
          <w:spacing w:val="-47"/>
        </w:rPr>
      </w:r>
      <w:r>
        <w:rPr/>
        <w:t>求，本年度公司相继推出了高清专业系列电脑、液晶电视电脑产品等系列新品，其中，</w:t>
      </w:r>
      <w:r>
        <w:rPr>
          <w:spacing w:val="-47"/>
        </w:rPr>
        <w:t> </w:t>
      </w:r>
      <w:r>
        <w:rPr>
          <w:spacing w:val="-47"/>
        </w:rPr>
      </w:r>
      <w:r>
        <w:rPr/>
        <w:t>公司联手英特尔全球首发了配备</w:t>
      </w:r>
      <w:r>
        <w:rPr>
          <w:spacing w:val="9"/>
        </w:rPr>
        <w:t> </w:t>
      </w:r>
      <w:r>
        <w:rPr/>
        <w:t>45nm</w:t>
      </w:r>
      <w:r>
        <w:rPr>
          <w:spacing w:val="9"/>
        </w:rPr>
        <w:t> </w:t>
      </w:r>
      <w:r>
        <w:rPr/>
        <w:t>双核</w:t>
      </w:r>
      <w:r>
        <w:rPr>
          <w:spacing w:val="9"/>
        </w:rPr>
        <w:t> </w:t>
      </w:r>
      <w:r>
        <w:rPr/>
        <w:t>E7200</w:t>
      </w:r>
      <w:r>
        <w:rPr>
          <w:spacing w:val="8"/>
        </w:rPr>
        <w:t> </w:t>
      </w:r>
      <w:r>
        <w:rPr/>
        <w:t>CPU</w:t>
      </w:r>
      <w:r>
        <w:rPr>
          <w:spacing w:val="9"/>
        </w:rPr>
        <w:t> </w:t>
      </w:r>
      <w:r>
        <w:rPr/>
        <w:t>的两款液晶电视电脑新品</w:t>
      </w:r>
      <w:r>
        <w:rPr>
          <w:spacing w:val="9"/>
        </w:rPr>
        <w:t> </w:t>
      </w:r>
      <w:r>
        <w:rPr/>
        <w:t>CoCo</w:t>
      </w:r>
      <w:r>
        <w:rPr>
          <w:spacing w:val="-118"/>
        </w:rPr>
        <w:t> </w:t>
      </w:r>
      <w:r>
        <w:rPr>
          <w:spacing w:val="-118"/>
        </w:rPr>
      </w:r>
      <w:r>
        <w:rPr/>
        <w:t>M3160</w:t>
      </w:r>
      <w:r>
        <w:rPr>
          <w:spacing w:val="-53"/>
        </w:rPr>
        <w:t> </w:t>
      </w:r>
      <w:r>
        <w:rPr/>
        <w:t>和真爱</w:t>
      </w:r>
      <w:r>
        <w:rPr>
          <w:spacing w:val="-53"/>
        </w:rPr>
        <w:t> </w:t>
      </w:r>
      <w:r>
        <w:rPr/>
        <w:t>S8370，在独立的液晶电视功能之外，E7200</w:t>
      </w:r>
      <w:r>
        <w:rPr>
          <w:spacing w:val="-53"/>
        </w:rPr>
        <w:t> </w:t>
      </w:r>
      <w:r>
        <w:rPr/>
        <w:t>的加盟使整机具有更强大的数</w:t>
      </w:r>
      <w:r>
        <w:rPr/>
        <w:t> 据处理功能和更低功耗，为消费者带来了出色的运算能力与全新的视觉体验。本年度，</w:t>
      </w:r>
      <w:r>
        <w:rPr>
          <w:spacing w:val="-47"/>
        </w:rPr>
        <w:t> </w:t>
      </w:r>
      <w:r>
        <w:rPr>
          <w:spacing w:val="-47"/>
        </w:rPr>
      </w:r>
      <w:r>
        <w:rPr/>
        <w:t>公司多款家用电脑产品还获得众多奖项，其中，CoCo M2160－B009</w:t>
      </w:r>
      <w:r>
        <w:rPr>
          <w:spacing w:val="-40"/>
        </w:rPr>
        <w:t> </w:t>
      </w:r>
      <w:r>
        <w:rPr/>
        <w:t>计算机获得中关村在</w:t>
      </w:r>
      <w:r>
        <w:rPr/>
        <w:t> 线评选的“08</w:t>
      </w:r>
      <w:r>
        <w:rPr>
          <w:spacing w:val="-40"/>
        </w:rPr>
        <w:t> </w:t>
      </w:r>
      <w:r>
        <w:rPr>
          <w:spacing w:val="-12"/>
        </w:rPr>
        <w:t>年最佳产品奖”，真爱</w:t>
      </w:r>
      <w:r>
        <w:rPr>
          <w:spacing w:val="-40"/>
        </w:rPr>
        <w:t> </w:t>
      </w:r>
      <w:r>
        <w:rPr/>
        <w:t>V9520</w:t>
      </w:r>
      <w:r>
        <w:rPr>
          <w:spacing w:val="-40"/>
        </w:rPr>
        <w:t> </w:t>
      </w:r>
      <w:r>
        <w:rPr/>
        <w:t>获得消费电子商讯评选的“2008</w:t>
      </w:r>
      <w:r>
        <w:rPr>
          <w:spacing w:val="-40"/>
        </w:rPr>
        <w:t> </w:t>
      </w:r>
      <w:r>
        <w:rPr/>
        <w:t>年年度最佳</w:t>
      </w:r>
      <w:r>
        <w:rPr/>
        <w:t> 台式电脑”奖。</w:t>
      </w:r>
    </w:p>
    <w:p>
      <w:pPr>
        <w:spacing w:line="240" w:lineRule="auto" w:before="11"/>
        <w:rPr>
          <w:rFonts w:ascii="宋体" w:hAnsi="宋体" w:cs="宋体" w:eastAsia="宋体" w:hint="default"/>
          <w:sz w:val="23"/>
          <w:szCs w:val="23"/>
        </w:rPr>
      </w:pPr>
    </w:p>
    <w:p>
      <w:pPr>
        <w:pStyle w:val="BodyText"/>
        <w:spacing w:line="312" w:lineRule="exact"/>
        <w:ind w:right="220"/>
        <w:jc w:val="both"/>
      </w:pPr>
      <w:r>
        <w:rPr/>
        <w:t>在笔记本产品领域，随着产品价格的下降，笔记本电脑已经逐渐取代台式机成为推动计</w:t>
      </w:r>
      <w:r>
        <w:rPr>
          <w:spacing w:val="-47"/>
        </w:rPr>
        <w:t> </w:t>
      </w:r>
      <w:r>
        <w:rPr>
          <w:spacing w:val="-47"/>
        </w:rPr>
      </w:r>
      <w:r>
        <w:rPr/>
        <w:t>算机市场的主力。据工信部统计，2008 年我国笔记本产量占台式机比重达</w:t>
      </w:r>
      <w:r>
        <w:rPr>
          <w:spacing w:val="-40"/>
        </w:rPr>
        <w:t> </w:t>
      </w:r>
      <w:r>
        <w:rPr/>
        <w:t>79.5%，比上</w:t>
      </w:r>
      <w:r>
        <w:rPr/>
        <w:t> 年同期提高</w:t>
      </w:r>
      <w:r>
        <w:rPr>
          <w:spacing w:val="-60"/>
        </w:rPr>
        <w:t> </w:t>
      </w:r>
      <w:r>
        <w:rPr/>
        <w:t>7.7</w:t>
      </w:r>
      <w:r>
        <w:rPr>
          <w:spacing w:val="-60"/>
        </w:rPr>
        <w:t> </w:t>
      </w:r>
      <w:r>
        <w:rPr>
          <w:spacing w:val="-3"/>
        </w:rPr>
        <w:t>个百分点，而根据</w:t>
      </w:r>
      <w:r>
        <w:rPr>
          <w:spacing w:val="-60"/>
        </w:rPr>
        <w:t> </w:t>
      </w:r>
      <w:r>
        <w:rPr/>
        <w:t>IDC</w:t>
      </w:r>
      <w:r>
        <w:rPr>
          <w:spacing w:val="-60"/>
        </w:rPr>
        <w:t> </w:t>
      </w:r>
      <w:r>
        <w:rPr>
          <w:spacing w:val="-3"/>
        </w:rPr>
        <w:t>发布的数据，在</w:t>
      </w:r>
      <w:r>
        <w:rPr>
          <w:spacing w:val="-60"/>
        </w:rPr>
        <w:t> </w:t>
      </w:r>
      <w:r>
        <w:rPr/>
        <w:t>2008</w:t>
      </w:r>
      <w:r>
        <w:rPr>
          <w:spacing w:val="-60"/>
        </w:rPr>
        <w:t> </w:t>
      </w:r>
      <w:r>
        <w:rPr/>
        <w:t>年第三季度全球笔记本出货</w:t>
      </w:r>
      <w:r>
        <w:rPr/>
        <w:t> 量已超过台式机，这也是历史上笔记本出货量首次超过台式机出货量。同时，随着全球</w:t>
      </w:r>
      <w:r>
        <w:rPr>
          <w:spacing w:val="-47"/>
        </w:rPr>
        <w:t> </w:t>
      </w:r>
      <w:r>
        <w:rPr>
          <w:spacing w:val="-47"/>
        </w:rPr>
      </w:r>
      <w:r>
        <w:rPr/>
        <w:t>金融风暴影响，消费市场需求下降，消费者对笔记本采购价格更加敏感，超便携笔记本</w:t>
      </w:r>
      <w:r>
        <w:rPr>
          <w:spacing w:val="-47"/>
        </w:rPr>
        <w:t> </w:t>
      </w:r>
      <w:r>
        <w:rPr>
          <w:spacing w:val="-47"/>
        </w:rPr>
      </w:r>
      <w:r>
        <w:rPr/>
        <w:t>以其较低的价格和便携性逐渐成为市场热点。针对这一市场变化形势，公司加大了对笔</w:t>
      </w:r>
      <w:r>
        <w:rPr>
          <w:spacing w:val="-47"/>
        </w:rPr>
        <w:t> </w:t>
      </w:r>
      <w:r>
        <w:rPr>
          <w:spacing w:val="-47"/>
        </w:rPr>
      </w:r>
      <w:r>
        <w:rPr/>
        <w:t>记本产品的投入力度，不断推出更多个性化产品，提升自身竞争力，扩大市场份额。其</w:t>
      </w:r>
      <w:r>
        <w:rPr>
          <w:spacing w:val="-47"/>
        </w:rPr>
        <w:t> </w:t>
      </w:r>
      <w:r>
        <w:rPr>
          <w:spacing w:val="-47"/>
        </w:rPr>
      </w:r>
      <w:r>
        <w:rPr/>
        <w:t>中本年度，公司大力推出了 imini</w:t>
      </w:r>
      <w:r>
        <w:rPr>
          <w:spacing w:val="-40"/>
        </w:rPr>
        <w:t> </w:t>
      </w:r>
      <w:r>
        <w:rPr/>
        <w:t>系列超便携笔记本产品，该系列笔记本产品可提供全</w:t>
      </w:r>
      <w:r>
        <w:rPr/>
        <w:t> 球首创的自由定制外观服务，让每个用户都能随心所欲定制彩绘外壳，实现了笔记本电</w:t>
      </w:r>
      <w:r>
        <w:rPr>
          <w:spacing w:val="-47"/>
        </w:rPr>
        <w:t> </w:t>
      </w:r>
      <w:r>
        <w:rPr>
          <w:spacing w:val="-47"/>
        </w:rPr>
      </w:r>
      <w:r>
        <w:rPr/>
        <w:t>脑产品的消费品化和时尚化。此外，该系列产品还注重人性化和应用功能，配备了一键</w:t>
      </w:r>
      <w:r>
        <w:rPr>
          <w:spacing w:val="-47"/>
        </w:rPr>
        <w:t> </w:t>
      </w:r>
      <w:r>
        <w:rPr>
          <w:spacing w:val="-47"/>
        </w:rPr>
      </w:r>
      <w:r>
        <w:rPr>
          <w:spacing w:val="-12"/>
        </w:rPr>
        <w:t>急救、智能滚轮设备、关机</w:t>
      </w:r>
      <w:r>
        <w:rPr>
          <w:spacing w:val="-59"/>
        </w:rPr>
        <w:t> </w:t>
      </w:r>
      <w:r>
        <w:rPr/>
        <w:t>USB</w:t>
      </w:r>
      <w:r>
        <w:rPr>
          <w:spacing w:val="-59"/>
        </w:rPr>
        <w:t> </w:t>
      </w:r>
      <w:r>
        <w:rPr>
          <w:spacing w:val="-5"/>
        </w:rPr>
        <w:t>充电等功能，突破了超便携笔记本功能单一的局面。imini</w:t>
      </w:r>
      <w:r>
        <w:rPr/>
        <w:t> 笔记本产品还获得了</w:t>
      </w:r>
      <w:r>
        <w:rPr>
          <w:spacing w:val="-60"/>
        </w:rPr>
        <w:t> </w:t>
      </w:r>
      <w:r>
        <w:rPr/>
        <w:t>IT168</w:t>
      </w:r>
      <w:r>
        <w:rPr>
          <w:spacing w:val="-60"/>
        </w:rPr>
        <w:t> </w:t>
      </w:r>
      <w:r>
        <w:rPr/>
        <w:t>评选的“08</w:t>
      </w:r>
      <w:r>
        <w:rPr>
          <w:spacing w:val="-60"/>
        </w:rPr>
        <w:t> </w:t>
      </w:r>
      <w:r>
        <w:rPr>
          <w:spacing w:val="-12"/>
        </w:rPr>
        <w:t>年度笔记本产品奖”。</w:t>
      </w:r>
    </w:p>
    <w:p>
      <w:pPr>
        <w:spacing w:line="240" w:lineRule="auto" w:before="6"/>
        <w:rPr>
          <w:rFonts w:ascii="宋体" w:hAnsi="宋体" w:cs="宋体" w:eastAsia="宋体" w:hint="default"/>
          <w:sz w:val="21"/>
          <w:szCs w:val="21"/>
        </w:rPr>
      </w:pPr>
    </w:p>
    <w:p>
      <w:pPr>
        <w:pStyle w:val="BodyText"/>
        <w:spacing w:line="240" w:lineRule="auto"/>
        <w:ind w:right="0"/>
        <w:jc w:val="both"/>
      </w:pPr>
      <w:r>
        <w:rPr/>
        <w:t>②应用信息系统</w:t>
      </w:r>
    </w:p>
    <w:p>
      <w:pPr>
        <w:spacing w:line="240" w:lineRule="auto" w:before="11"/>
        <w:rPr>
          <w:rFonts w:ascii="宋体" w:hAnsi="宋体" w:cs="宋体" w:eastAsia="宋体" w:hint="default"/>
          <w:sz w:val="23"/>
          <w:szCs w:val="23"/>
        </w:rPr>
      </w:pPr>
    </w:p>
    <w:p>
      <w:pPr>
        <w:pStyle w:val="BodyText"/>
        <w:spacing w:line="237" w:lineRule="auto"/>
        <w:ind w:right="86"/>
        <w:jc w:val="left"/>
      </w:pPr>
      <w:r>
        <w:rPr/>
        <w:t>2008</w:t>
      </w:r>
      <w:r>
        <w:rPr>
          <w:spacing w:val="-56"/>
        </w:rPr>
        <w:t> </w:t>
      </w:r>
      <w:r>
        <w:rPr>
          <w:spacing w:val="-3"/>
        </w:rPr>
        <w:t>年，奥运会的成功召开推动了我国城市信息化建设的持续发展，引发了</w:t>
      </w:r>
      <w:r>
        <w:rPr>
          <w:spacing w:val="-56"/>
        </w:rPr>
        <w:t> </w:t>
      </w:r>
      <w:r>
        <w:rPr/>
        <w:t>IT</w:t>
      </w:r>
      <w:r>
        <w:rPr>
          <w:spacing w:val="-56"/>
        </w:rPr>
        <w:t> </w:t>
      </w:r>
      <w:r>
        <w:rPr>
          <w:spacing w:val="-8"/>
        </w:rPr>
        <w:t>产品、服</w:t>
      </w:r>
      <w:r>
        <w:rPr>
          <w:spacing w:val="-110"/>
        </w:rPr>
        <w:t> </w:t>
      </w:r>
      <w:r>
        <w:rPr>
          <w:spacing w:val="-110"/>
        </w:rPr>
      </w:r>
      <w:r>
        <w:rPr/>
        <w:t>务行业新一轮的市场热潮，而南方冰雪灾害和汶川地震等一系列突发性灾害事件的发生</w:t>
      </w:r>
      <w:r>
        <w:rPr>
          <w:spacing w:val="-47"/>
        </w:rPr>
        <w:t> </w:t>
      </w:r>
      <w:r>
        <w:rPr>
          <w:spacing w:val="-47"/>
        </w:rPr>
      </w:r>
      <w:r>
        <w:rPr>
          <w:spacing w:val="-2"/>
        </w:rPr>
        <w:t>也为城市信息化建设提出了更为严峻的命题，如何利用信息化手段把灾害程度降到最低，</w:t>
      </w:r>
      <w:r>
        <w:rPr>
          <w:spacing w:val="-82"/>
        </w:rPr>
        <w:t> </w:t>
      </w:r>
      <w:r>
        <w:rPr>
          <w:spacing w:val="-82"/>
        </w:rPr>
      </w:r>
      <w:r>
        <w:rPr/>
        <w:t>最大效益的发挥城市综合协调能力成为城市管理者最为关心的问题。</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37" w:lineRule="auto" w:before="28"/>
        <w:ind w:right="220"/>
        <w:jc w:val="both"/>
      </w:pPr>
      <w:r>
        <w:rPr/>
        <w:t>面对我国信息化的发展趋势，公司在应用信息产业领域，持续专注于数字城市的应用信</w:t>
      </w:r>
      <w:r>
        <w:rPr>
          <w:spacing w:val="-47"/>
        </w:rPr>
        <w:t> </w:t>
      </w:r>
      <w:r>
        <w:rPr>
          <w:spacing w:val="-47"/>
        </w:rPr>
      </w:r>
      <w:r>
        <w:rPr/>
        <w:t>息系统和安防系统，重点面向数字城市的智能楼宇、智能社区、电子政务、电子商务、</w:t>
      </w:r>
      <w:r>
        <w:rPr>
          <w:spacing w:val="-47"/>
        </w:rPr>
        <w:t> </w:t>
      </w:r>
      <w:r>
        <w:rPr>
          <w:spacing w:val="-47"/>
        </w:rPr>
      </w:r>
      <w:r>
        <w:rPr/>
        <w:t>城市安防、城市消防、智能交通、智能市政、城市应急、RFID</w:t>
      </w:r>
      <w:r>
        <w:rPr>
          <w:spacing w:val="-40"/>
        </w:rPr>
        <w:t> </w:t>
      </w:r>
      <w:r>
        <w:rPr/>
        <w:t>应用等业务领域提供产品</w:t>
      </w:r>
      <w:r>
        <w:rPr/>
        <w:t> 与服务。</w:t>
      </w:r>
    </w:p>
    <w:p>
      <w:pPr>
        <w:spacing w:line="240" w:lineRule="auto" w:before="8"/>
        <w:rPr>
          <w:rFonts w:ascii="宋体" w:hAnsi="宋体" w:cs="宋体" w:eastAsia="宋体" w:hint="default"/>
          <w:sz w:val="23"/>
          <w:szCs w:val="23"/>
        </w:rPr>
      </w:pPr>
    </w:p>
    <w:p>
      <w:pPr>
        <w:pStyle w:val="BodyText"/>
        <w:spacing w:line="240" w:lineRule="auto"/>
        <w:ind w:right="213"/>
        <w:jc w:val="left"/>
      </w:pPr>
      <w:r>
        <w:rPr/>
        <w:t>A．数字城市与行业信息系统</w:t>
      </w:r>
    </w:p>
    <w:p>
      <w:pPr>
        <w:spacing w:line="240" w:lineRule="auto" w:before="11"/>
        <w:rPr>
          <w:rFonts w:ascii="宋体" w:hAnsi="宋体" w:cs="宋体" w:eastAsia="宋体" w:hint="default"/>
          <w:sz w:val="23"/>
          <w:szCs w:val="23"/>
        </w:rPr>
      </w:pPr>
    </w:p>
    <w:p>
      <w:pPr>
        <w:pStyle w:val="BodyText"/>
        <w:spacing w:line="237" w:lineRule="auto"/>
        <w:ind w:right="86"/>
        <w:jc w:val="left"/>
      </w:pPr>
      <w:r>
        <w:rPr/>
        <w:t>近年来，我国城市信息化建设步伐明显加快，为此公司不断围绕数字城市、软件与行业</w:t>
      </w:r>
      <w:r>
        <w:rPr>
          <w:spacing w:val="-47"/>
        </w:rPr>
        <w:t> </w:t>
      </w:r>
      <w:r>
        <w:rPr>
          <w:spacing w:val="-47"/>
        </w:rPr>
      </w:r>
      <w:r>
        <w:rPr/>
        <w:t>信息化两大目标市场，一方面，通过人才引进、资源整合、开展国际合作等方式，依托</w:t>
      </w:r>
      <w:r>
        <w:rPr>
          <w:spacing w:val="-47"/>
        </w:rPr>
        <w:t> </w:t>
      </w:r>
      <w:r>
        <w:rPr>
          <w:spacing w:val="-47"/>
        </w:rPr>
      </w:r>
      <w:r>
        <w:rPr/>
        <w:t>具有自主知识产权的 ezONE</w:t>
      </w:r>
      <w:r>
        <w:rPr>
          <w:spacing w:val="-40"/>
        </w:rPr>
        <w:t> </w:t>
      </w:r>
      <w:r>
        <w:rPr/>
        <w:t>业务基础软件平台，开发适应城市信息化建设的各类行业应</w:t>
      </w:r>
      <w:r>
        <w:rPr/>
        <w:t> </w:t>
      </w:r>
      <w:r>
        <w:rPr>
          <w:spacing w:val="-2"/>
        </w:rPr>
        <w:t>用套件和相关硬件产品，加大自主核心技术软硬件产品的销售比重，不断扩大市场份额；</w:t>
      </w:r>
      <w:r>
        <w:rPr>
          <w:spacing w:val="-82"/>
        </w:rPr>
        <w:t> </w:t>
      </w:r>
      <w:r>
        <w:rPr>
          <w:spacing w:val="-82"/>
        </w:rPr>
      </w:r>
      <w:r>
        <w:rPr/>
        <w:t>另一方面，公司凭借行业积累和专业化优势，关注市场未来发展方向，加大了对前沿技</w:t>
      </w:r>
      <w:r>
        <w:rPr>
          <w:spacing w:val="-47"/>
        </w:rPr>
        <w:t> </w:t>
      </w:r>
      <w:r>
        <w:rPr>
          <w:spacing w:val="-47"/>
        </w:rPr>
      </w:r>
      <w:r>
        <w:rPr/>
        <w:t>术和原创技术的投入，培养新的业务增长点，以进一步提升提高自身创新能力和核心竞</w:t>
      </w:r>
      <w:r>
        <w:rPr>
          <w:spacing w:val="-47"/>
        </w:rPr>
        <w:t> </w:t>
      </w:r>
      <w:r>
        <w:rPr>
          <w:spacing w:val="-47"/>
        </w:rPr>
      </w:r>
      <w:r>
        <w:rPr/>
        <w:t>争力。2008</w:t>
      </w:r>
      <w:r>
        <w:rPr>
          <w:spacing w:val="-40"/>
        </w:rPr>
        <w:t> </w:t>
      </w:r>
      <w:r>
        <w:rPr/>
        <w:t>年，公司数字城市与行业信息系统产业实现了快速增长，收入规模和利润水</w:t>
      </w:r>
      <w:r>
        <w:rPr/>
        <w:t> 平均得到了提升。</w:t>
      </w:r>
    </w:p>
    <w:p>
      <w:pPr>
        <w:spacing w:line="240" w:lineRule="auto" w:before="8"/>
        <w:rPr>
          <w:rFonts w:ascii="宋体" w:hAnsi="宋体" w:cs="宋体" w:eastAsia="宋体" w:hint="default"/>
          <w:sz w:val="26"/>
          <w:szCs w:val="26"/>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39"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b/>
                <w:sz w:val="21"/>
              </w:rPr>
              <w:t>2008</w:t>
            </w:r>
            <w:r>
              <w:rPr>
                <w:rFonts w:ascii="宋体"/>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2"/>
              <w:jc w:val="center"/>
              <w:rPr>
                <w:rFonts w:ascii="宋体" w:hAnsi="宋体" w:cs="宋体" w:eastAsia="宋体" w:hint="default"/>
                <w:sz w:val="21"/>
                <w:szCs w:val="21"/>
              </w:rPr>
            </w:pPr>
            <w:r>
              <w:rPr>
                <w:rFonts w:ascii="宋体"/>
                <w:b/>
                <w:sz w:val="21"/>
              </w:rPr>
              <w:t>2007</w:t>
            </w:r>
            <w:r>
              <w:rPr>
                <w:rFonts w:ascii="宋体"/>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64" w:lineRule="exact"/>
              <w:ind w:left="426" w:right="0"/>
              <w:jc w:val="left"/>
              <w:rPr>
                <w:rFonts w:ascii="宋体" w:hAnsi="宋体" w:cs="宋体" w:eastAsia="宋体" w:hint="default"/>
                <w:sz w:val="21"/>
                <w:szCs w:val="21"/>
              </w:rPr>
            </w:pPr>
            <w:r>
              <w:rPr>
                <w:rFonts w:ascii="宋体"/>
                <w:b/>
                <w:sz w:val="21"/>
              </w:rPr>
              <w:t>2006</w:t>
            </w:r>
            <w:r>
              <w:rPr>
                <w:rFonts w:ascii="宋体"/>
                <w:sz w:val="21"/>
              </w:rPr>
            </w:r>
          </w:p>
        </w:tc>
      </w:tr>
      <w:tr>
        <w:trPr>
          <w:trHeight w:val="332"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5"/>
              <w:jc w:val="right"/>
              <w:rPr>
                <w:rFonts w:ascii="宋体" w:hAnsi="宋体" w:cs="宋体" w:eastAsia="宋体" w:hint="default"/>
                <w:sz w:val="21"/>
                <w:szCs w:val="21"/>
              </w:rPr>
            </w:pPr>
            <w:r>
              <w:rPr>
                <w:rFonts w:ascii="宋体"/>
                <w:spacing w:val="-1"/>
                <w:sz w:val="21"/>
              </w:rPr>
              <w:t>217,261.05</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194,853.12</w:t>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61" w:lineRule="exact"/>
              <w:ind w:right="89"/>
              <w:jc w:val="right"/>
              <w:rPr>
                <w:rFonts w:ascii="宋体" w:hAnsi="宋体" w:cs="宋体" w:eastAsia="宋体" w:hint="default"/>
                <w:sz w:val="21"/>
                <w:szCs w:val="21"/>
              </w:rPr>
            </w:pPr>
            <w:r>
              <w:rPr>
                <w:rFonts w:ascii="宋体"/>
                <w:spacing w:val="-1"/>
                <w:sz w:val="21"/>
              </w:rPr>
              <w:t>155,581.86</w:t>
            </w:r>
          </w:p>
        </w:tc>
      </w:tr>
      <w:tr>
        <w:trPr>
          <w:trHeight w:val="338"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21.61%</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18.27%</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61" w:lineRule="exact"/>
              <w:ind w:right="90"/>
              <w:jc w:val="right"/>
              <w:rPr>
                <w:rFonts w:ascii="宋体" w:hAnsi="宋体" w:cs="宋体" w:eastAsia="宋体" w:hint="default"/>
                <w:sz w:val="21"/>
                <w:szCs w:val="21"/>
              </w:rPr>
            </w:pPr>
            <w:r>
              <w:rPr>
                <w:rFonts w:ascii="宋体"/>
                <w:spacing w:val="-1"/>
                <w:sz w:val="21"/>
              </w:rPr>
              <w:t>21.43%</w:t>
            </w:r>
          </w:p>
        </w:tc>
      </w:tr>
    </w:tbl>
    <w:p>
      <w:pPr>
        <w:spacing w:line="240" w:lineRule="auto" w:before="10"/>
        <w:rPr>
          <w:rFonts w:ascii="宋体" w:hAnsi="宋体" w:cs="宋体" w:eastAsia="宋体" w:hint="default"/>
          <w:sz w:val="18"/>
          <w:szCs w:val="18"/>
        </w:rPr>
      </w:pPr>
    </w:p>
    <w:p>
      <w:pPr>
        <w:pStyle w:val="BodyText"/>
        <w:spacing w:line="240" w:lineRule="auto" w:before="26"/>
        <w:ind w:right="213"/>
        <w:jc w:val="left"/>
      </w:pPr>
      <w:r>
        <w:rPr/>
        <w:t>■数字城市</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在数字城市领域，公司坚持技术创新、产品创新的发展思路，确立了完善产品功能，提</w:t>
      </w:r>
      <w:r>
        <w:rPr>
          <w:spacing w:val="-47"/>
        </w:rPr>
        <w:t> </w:t>
      </w:r>
      <w:r>
        <w:rPr>
          <w:spacing w:val="-47"/>
        </w:rPr>
      </w:r>
      <w:r>
        <w:rPr/>
        <w:t>升服务质量，带动数字城市整体产业链的发展，通过“工程产品化”策略和国际化战略</w:t>
      </w:r>
      <w:r>
        <w:rPr>
          <w:spacing w:val="-47"/>
        </w:rPr>
        <w:t> </w:t>
      </w:r>
      <w:r>
        <w:rPr>
          <w:spacing w:val="-47"/>
        </w:rPr>
      </w:r>
      <w:r>
        <w:rPr/>
        <w:t>的深入实施，构建了示范工程推动产品应用、产品创新提升工程价值、区域渠道和海外</w:t>
      </w:r>
      <w:r>
        <w:rPr>
          <w:spacing w:val="-47"/>
        </w:rPr>
        <w:t> </w:t>
      </w:r>
      <w:r>
        <w:rPr>
          <w:spacing w:val="-47"/>
        </w:rPr>
      </w:r>
      <w:r>
        <w:rPr/>
        <w:t>中心协同作业的运营体系，进一步扩大了市场份额和影响力。</w:t>
      </w:r>
    </w:p>
    <w:p>
      <w:pPr>
        <w:spacing w:line="240" w:lineRule="auto" w:before="11"/>
        <w:rPr>
          <w:rFonts w:ascii="宋体" w:hAnsi="宋体" w:cs="宋体" w:eastAsia="宋体" w:hint="default"/>
          <w:sz w:val="23"/>
          <w:szCs w:val="23"/>
        </w:rPr>
      </w:pPr>
    </w:p>
    <w:p>
      <w:pPr>
        <w:pStyle w:val="BodyText"/>
        <w:spacing w:line="237" w:lineRule="auto"/>
        <w:ind w:right="86"/>
        <w:jc w:val="left"/>
      </w:pPr>
      <w:r>
        <w:rPr/>
        <w:t>在工程承接方面，2008</w:t>
      </w:r>
      <w:r>
        <w:rPr>
          <w:spacing w:val="-40"/>
        </w:rPr>
        <w:t> </w:t>
      </w:r>
      <w:r>
        <w:rPr/>
        <w:t>年，作为在智能建筑、轨道交通智能化和城市能源智能化三大领</w:t>
      </w:r>
      <w:r>
        <w:rPr/>
        <w:t> 域的领军企业，公司积极参与奥运建设，通过卓越的技术和科学的组织安排，保证了众</w:t>
      </w:r>
      <w:r>
        <w:rPr>
          <w:spacing w:val="-47"/>
        </w:rPr>
        <w:t> </w:t>
      </w:r>
      <w:r>
        <w:rPr>
          <w:spacing w:val="-47"/>
        </w:rPr>
      </w:r>
      <w:r>
        <w:rPr/>
        <w:t>多奥运工程的顺利实施，并凭借在奥运场馆和重点要害技防工程建设和维护工作中的突</w:t>
      </w:r>
      <w:r>
        <w:rPr>
          <w:spacing w:val="-47"/>
        </w:rPr>
        <w:t> </w:t>
      </w:r>
      <w:r>
        <w:rPr>
          <w:spacing w:val="-47"/>
        </w:rPr>
      </w:r>
      <w:r>
        <w:rPr/>
        <w:t>出表现，获得了 AAA</w:t>
      </w:r>
      <w:r>
        <w:rPr>
          <w:spacing w:val="-41"/>
        </w:rPr>
        <w:t> </w:t>
      </w:r>
      <w:r>
        <w:rPr/>
        <w:t>优秀诚信企业的荣誉称号和奥组委的表彰。本年度，公司还相继承</w:t>
      </w:r>
      <w:r>
        <w:rPr/>
        <w:t> 接了天津地铁</w:t>
      </w:r>
      <w:r>
        <w:rPr>
          <w:spacing w:val="-40"/>
        </w:rPr>
        <w:t> </w:t>
      </w:r>
      <w:r>
        <w:rPr/>
        <w:t>2、3</w:t>
      </w:r>
      <w:r>
        <w:rPr>
          <w:spacing w:val="-40"/>
        </w:rPr>
        <w:t> </w:t>
      </w:r>
      <w:r>
        <w:rPr/>
        <w:t>号线综合监控系统工程、广州市轨道交通</w:t>
      </w:r>
      <w:r>
        <w:rPr>
          <w:spacing w:val="-40"/>
        </w:rPr>
        <w:t> </w:t>
      </w:r>
      <w:r>
        <w:rPr/>
        <w:t>2、8</w:t>
      </w:r>
      <w:r>
        <w:rPr>
          <w:spacing w:val="-40"/>
        </w:rPr>
        <w:t> </w:t>
      </w:r>
      <w:r>
        <w:rPr/>
        <w:t>号线延长线环境与设</w:t>
      </w:r>
      <w:r>
        <w:rPr/>
        <w:t> </w:t>
      </w:r>
      <w:r>
        <w:rPr>
          <w:spacing w:val="-2"/>
        </w:rPr>
        <w:t>备监控系统项目、新疆天富热电集团热电联产项目、齐齐哈尔市中心城区热网改造工程、</w:t>
      </w:r>
      <w:r>
        <w:rPr>
          <w:spacing w:val="-82"/>
        </w:rPr>
        <w:t> </w:t>
      </w:r>
      <w:r>
        <w:rPr>
          <w:spacing w:val="-82"/>
        </w:rPr>
      </w:r>
      <w:r>
        <w:rPr/>
        <w:t>祈州市热网监控工程、大唐国际呼和浩特喜来登酒店弱电工程、潍坊奥体中心体育场智</w:t>
      </w:r>
      <w:r>
        <w:rPr>
          <w:spacing w:val="-47"/>
        </w:rPr>
        <w:t> </w:t>
      </w:r>
      <w:r>
        <w:rPr>
          <w:spacing w:val="-47"/>
        </w:rPr>
      </w:r>
      <w:r>
        <w:rPr/>
        <w:t>能化系统工程、唐山市丰南区平安城市监控项目工程、北京南站能源站自动控制系统施</w:t>
      </w:r>
      <w:r>
        <w:rPr>
          <w:spacing w:val="-47"/>
        </w:rPr>
        <w:t> </w:t>
      </w:r>
      <w:r>
        <w:rPr>
          <w:spacing w:val="-47"/>
        </w:rPr>
      </w:r>
      <w:r>
        <w:rPr/>
        <w:t>工项目等多个大型工程项目。其中，公司中标的天津地铁</w:t>
      </w:r>
      <w:r>
        <w:rPr>
          <w:spacing w:val="-67"/>
        </w:rPr>
        <w:t> </w:t>
      </w:r>
      <w:r>
        <w:rPr>
          <w:spacing w:val="-5"/>
        </w:rPr>
        <w:t>2、3</w:t>
      </w:r>
      <w:r>
        <w:rPr>
          <w:spacing w:val="-67"/>
        </w:rPr>
        <w:t> </w:t>
      </w:r>
      <w:r>
        <w:rPr/>
        <w:t>号线综合监控系统工程项</w:t>
      </w:r>
      <w:r>
        <w:rPr/>
        <w:t> 目金额达</w:t>
      </w:r>
      <w:r>
        <w:rPr>
          <w:spacing w:val="-51"/>
        </w:rPr>
        <w:t> </w:t>
      </w:r>
      <w:r>
        <w:rPr/>
        <w:t>1.8</w:t>
      </w:r>
      <w:r>
        <w:rPr>
          <w:spacing w:val="-51"/>
        </w:rPr>
        <w:t> </w:t>
      </w:r>
      <w:r>
        <w:rPr/>
        <w:t>亿元，包括天津地铁</w:t>
      </w:r>
      <w:r>
        <w:rPr>
          <w:spacing w:val="-51"/>
        </w:rPr>
        <w:t> </w:t>
      </w:r>
      <w:r>
        <w:rPr/>
        <w:t>2、3</w:t>
      </w:r>
      <w:r>
        <w:rPr>
          <w:spacing w:val="-51"/>
        </w:rPr>
        <w:t> </w:t>
      </w:r>
      <w:r>
        <w:rPr/>
        <w:t>号线</w:t>
      </w:r>
      <w:r>
        <w:rPr>
          <w:spacing w:val="-51"/>
        </w:rPr>
        <w:t> </w:t>
      </w:r>
      <w:r>
        <w:rPr/>
        <w:t>44</w:t>
      </w:r>
      <w:r>
        <w:rPr>
          <w:spacing w:val="-51"/>
        </w:rPr>
        <w:t> </w:t>
      </w:r>
      <w:r>
        <w:rPr/>
        <w:t>个车站、1</w:t>
      </w:r>
      <w:r>
        <w:rPr>
          <w:spacing w:val="-51"/>
        </w:rPr>
        <w:t> </w:t>
      </w:r>
      <w:r>
        <w:rPr/>
        <w:t>个控制中心、2</w:t>
      </w:r>
      <w:r>
        <w:rPr>
          <w:spacing w:val="-51"/>
        </w:rPr>
        <w:t> </w:t>
      </w:r>
      <w:r>
        <w:rPr/>
        <w:t>个车辆段、2</w:t>
      </w:r>
      <w:r>
        <w:rPr/>
        <w:t> 个停车场的综合监控系统，涉及线路全长约</w:t>
      </w:r>
      <w:r>
        <w:rPr>
          <w:spacing w:val="-70"/>
        </w:rPr>
        <w:t> </w:t>
      </w:r>
      <w:r>
        <w:rPr/>
        <w:t>52</w:t>
      </w:r>
      <w:r>
        <w:rPr>
          <w:spacing w:val="-70"/>
        </w:rPr>
        <w:t> </w:t>
      </w:r>
      <w:r>
        <w:rPr/>
        <w:t>公里，是天津市重点工程，系迄今为止国</w:t>
      </w:r>
      <w:r>
        <w:rPr/>
        <w:t> 内轨道交通综合监控系统建设中规模最大的项目之一，该项目的承接进一步的巩固了公</w:t>
      </w:r>
      <w:r>
        <w:rPr>
          <w:spacing w:val="-47"/>
        </w:rPr>
        <w:t> </w:t>
      </w:r>
      <w:r>
        <w:rPr>
          <w:spacing w:val="-47"/>
        </w:rPr>
      </w:r>
      <w:r>
        <w:rPr/>
        <w:t>司在全国轨道交通行业的领先地位。</w:t>
      </w:r>
    </w:p>
    <w:p>
      <w:pPr>
        <w:spacing w:line="240" w:lineRule="auto" w:before="8"/>
        <w:rPr>
          <w:rFonts w:ascii="宋体" w:hAnsi="宋体" w:cs="宋体" w:eastAsia="宋体" w:hint="default"/>
          <w:sz w:val="23"/>
          <w:szCs w:val="23"/>
        </w:rPr>
      </w:pPr>
    </w:p>
    <w:p>
      <w:pPr>
        <w:pStyle w:val="BodyText"/>
        <w:spacing w:line="240" w:lineRule="auto"/>
        <w:ind w:right="213"/>
        <w:jc w:val="left"/>
      </w:pPr>
      <w:r>
        <w:rPr/>
        <w:t>在产品推广和研发方面，公司一方面凭借公司在控制技术和空调技术两方面的积累和优</w:t>
      </w:r>
    </w:p>
    <w:p>
      <w:pPr>
        <w:spacing w:after="0" w:line="240"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t>势，进行技术融合，推出了更加节能的高端智能楼控产品；另一方面则依托 ezONE</w:t>
      </w:r>
      <w:r>
        <w:rPr>
          <w:spacing w:val="-40"/>
        </w:rPr>
        <w:t> </w:t>
      </w:r>
      <w:r>
        <w:rPr/>
        <w:t>基础</w:t>
      </w:r>
      <w:r>
        <w:rPr/>
        <w:t> 软件业务平台，结合市场需求与项目实施经验，完善和创新行业应用，不断提升技术水</w:t>
      </w:r>
      <w:r>
        <w:rPr>
          <w:spacing w:val="-47"/>
        </w:rPr>
        <w:t> </w:t>
      </w:r>
      <w:r>
        <w:rPr>
          <w:spacing w:val="-47"/>
        </w:rPr>
      </w:r>
      <w:r>
        <w:rPr/>
        <w:t>平。同时，公司还通过区域中心建设和合作伙伴的发展，融合链条服务体系，开拓了市</w:t>
      </w:r>
      <w:r>
        <w:rPr>
          <w:spacing w:val="-47"/>
        </w:rPr>
        <w:t> </w:t>
      </w:r>
      <w:r>
        <w:rPr>
          <w:spacing w:val="-47"/>
        </w:rPr>
      </w:r>
      <w:r>
        <w:rPr>
          <w:spacing w:val="-7"/>
        </w:rPr>
        <w:t>场。2008</w:t>
      </w:r>
      <w:r>
        <w:rPr>
          <w:spacing w:val="-63"/>
        </w:rPr>
        <w:t> </w:t>
      </w:r>
      <w:r>
        <w:rPr>
          <w:spacing w:val="-4"/>
        </w:rPr>
        <w:t>年，在硬件产品方面，公司推出了采用当今主流的</w:t>
      </w:r>
      <w:r>
        <w:rPr>
          <w:spacing w:val="-63"/>
        </w:rPr>
        <w:t> </w:t>
      </w:r>
      <w:r>
        <w:rPr/>
        <w:t>LonWorks</w:t>
      </w:r>
      <w:r>
        <w:rPr>
          <w:spacing w:val="-63"/>
        </w:rPr>
        <w:t> </w:t>
      </w:r>
      <w:r>
        <w:rPr/>
        <w:t>技术的开放型控制</w:t>
      </w:r>
      <w:r>
        <w:rPr>
          <w:spacing w:val="-1"/>
        </w:rPr>
        <w:t> </w:t>
      </w:r>
      <w:r>
        <w:rPr/>
        <w:t>产品 Techcon09 系统和适用于楼宇、厂房、热网等领域的空调、温度、湿度</w:t>
      </w:r>
      <w:r>
        <w:rPr>
          <w:spacing w:val="-42"/>
        </w:rPr>
        <w:t> </w:t>
      </w:r>
      <w:r>
        <w:rPr/>
        <w:t>Techcon04</w:t>
      </w:r>
      <w:r>
        <w:rPr/>
        <w:t> 控制系统，其中 Techcon09</w:t>
      </w:r>
      <w:r>
        <w:rPr>
          <w:spacing w:val="-40"/>
        </w:rPr>
        <w:t> </w:t>
      </w:r>
      <w:r>
        <w:rPr/>
        <w:t>系统采用全开放系统架构，能够充分解决包括楼宇、工业信</w:t>
      </w:r>
      <w:r>
        <w:rPr/>
        <w:t> 号、照明控制等多系统复杂控制。本年度，公司的 Techcon</w:t>
      </w:r>
      <w:r>
        <w:rPr>
          <w:spacing w:val="-40"/>
        </w:rPr>
        <w:t> </w:t>
      </w:r>
      <w:r>
        <w:rPr/>
        <w:t>系列楼宇控制产品还成功应</w:t>
      </w:r>
      <w:r>
        <w:rPr/>
        <w:t> 用于宁夏国际会展中心、青岛数码科技中心、咸宁温泉国际酒店、重庆市南川区人民医</w:t>
      </w:r>
      <w:r>
        <w:rPr>
          <w:spacing w:val="-47"/>
        </w:rPr>
        <w:t> </w:t>
      </w:r>
      <w:r>
        <w:rPr>
          <w:spacing w:val="-47"/>
        </w:rPr>
      </w:r>
      <w:r>
        <w:rPr>
          <w:spacing w:val="-10"/>
        </w:rPr>
        <w:t>院等项目。在软件产品方面，公司在</w:t>
      </w:r>
      <w:r>
        <w:rPr>
          <w:spacing w:val="-56"/>
        </w:rPr>
        <w:t> </w:t>
      </w:r>
      <w:r>
        <w:rPr/>
        <w:t>ezONE</w:t>
      </w:r>
      <w:r>
        <w:rPr>
          <w:spacing w:val="-56"/>
        </w:rPr>
        <w:t> </w:t>
      </w:r>
      <w:r>
        <w:rPr>
          <w:spacing w:val="-5"/>
        </w:rPr>
        <w:t>易众软件平台基础之上，又相继推出了</w:t>
      </w:r>
      <w:r>
        <w:rPr>
          <w:spacing w:val="-56"/>
        </w:rPr>
        <w:t> </w:t>
      </w:r>
      <w:r>
        <w:rPr/>
        <w:t>ezWRMS</w:t>
      </w:r>
      <w:r>
        <w:rPr>
          <w:spacing w:val="-111"/>
        </w:rPr>
        <w:t> </w:t>
      </w:r>
      <w:r>
        <w:rPr>
          <w:spacing w:val="-111"/>
        </w:rPr>
      </w:r>
      <w:r>
        <w:rPr/>
        <w:t>水资源管理套件、ezOA</w:t>
      </w:r>
      <w:r>
        <w:rPr>
          <w:spacing w:val="-70"/>
        </w:rPr>
        <w:t> </w:t>
      </w:r>
      <w:r>
        <w:rPr/>
        <w:t>协同办公在线运营(SaaS)系统、ezBI</w:t>
      </w:r>
      <w:r>
        <w:rPr>
          <w:spacing w:val="-70"/>
        </w:rPr>
        <w:t> </w:t>
      </w:r>
      <w:r>
        <w:rPr/>
        <w:t>商业智能系统等行业应用套</w:t>
      </w:r>
      <w:r>
        <w:rPr/>
        <w:t> </w:t>
      </w:r>
      <w:r>
        <w:rPr>
          <w:spacing w:val="-22"/>
        </w:rPr>
        <w:t>件。本年度，公司的</w:t>
      </w:r>
      <w:r>
        <w:rPr>
          <w:spacing w:val="-60"/>
        </w:rPr>
        <w:t> </w:t>
      </w:r>
      <w:r>
        <w:rPr/>
        <w:t>ezONE</w:t>
      </w:r>
      <w:r>
        <w:rPr>
          <w:spacing w:val="-60"/>
        </w:rPr>
        <w:t> </w:t>
      </w:r>
      <w:r>
        <w:rPr>
          <w:spacing w:val="-4"/>
        </w:rPr>
        <w:t>业务基础平台还被列入国家应急业务推荐采购产品清单，ezIBS</w:t>
      </w:r>
      <w:r>
        <w:rPr>
          <w:spacing w:val="-117"/>
        </w:rPr>
        <w:t> </w:t>
      </w:r>
      <w:r>
        <w:rPr>
          <w:spacing w:val="-117"/>
        </w:rPr>
      </w:r>
      <w:r>
        <w:rPr>
          <w:spacing w:val="-2"/>
        </w:rPr>
        <w:t>智能建筑系统获得建筑行业协会颁发的产品推荐奖，并成功应用于最高人民检察院项目、</w:t>
      </w:r>
      <w:r>
        <w:rPr>
          <w:spacing w:val="-1"/>
        </w:rPr>
        <w:t> </w:t>
      </w:r>
      <w:r>
        <w:rPr/>
        <w:t>温州欧洲城项目等大型项目，公司的 ezFAS</w:t>
      </w:r>
      <w:r>
        <w:rPr>
          <w:spacing w:val="-41"/>
        </w:rPr>
        <w:t> </w:t>
      </w:r>
      <w:r>
        <w:rPr/>
        <w:t>城市消防远程监控系统则获得了中国建筑业</w:t>
      </w:r>
      <w:r>
        <w:rPr/>
        <w:t> </w:t>
      </w:r>
      <w:r>
        <w:rPr>
          <w:spacing w:val="-3"/>
        </w:rPr>
        <w:t>协会“2008</w:t>
      </w:r>
      <w:r>
        <w:rPr>
          <w:spacing w:val="-58"/>
        </w:rPr>
        <w:t> </w:t>
      </w:r>
      <w:r>
        <w:rPr>
          <w:spacing w:val="-8"/>
        </w:rPr>
        <w:t>年度智能建筑优质产品称号”，ezHMI</w:t>
      </w:r>
      <w:r>
        <w:rPr>
          <w:spacing w:val="-58"/>
        </w:rPr>
        <w:t> </w:t>
      </w:r>
      <w:r>
        <w:rPr/>
        <w:t>组态软件工具及</w:t>
      </w:r>
      <w:r>
        <w:rPr>
          <w:spacing w:val="-58"/>
        </w:rPr>
        <w:t> </w:t>
      </w:r>
      <w:r>
        <w:rPr/>
        <w:t>M2M</w:t>
      </w:r>
      <w:r>
        <w:rPr>
          <w:spacing w:val="-58"/>
        </w:rPr>
        <w:t> </w:t>
      </w:r>
      <w:r>
        <w:rPr/>
        <w:t>管控系统获得北京</w:t>
      </w:r>
      <w:r>
        <w:rPr>
          <w:spacing w:val="-116"/>
        </w:rPr>
        <w:t> </w:t>
      </w:r>
      <w:r>
        <w:rPr>
          <w:spacing w:val="-116"/>
        </w:rPr>
      </w:r>
      <w:r>
        <w:rPr/>
        <w:t>市科委</w:t>
      </w:r>
      <w:r>
        <w:rPr>
          <w:spacing w:val="-60"/>
        </w:rPr>
        <w:t> </w:t>
      </w:r>
      <w:r>
        <w:rPr/>
        <w:t>2008</w:t>
      </w:r>
      <w:r>
        <w:rPr>
          <w:spacing w:val="-60"/>
        </w:rPr>
        <w:t> </w:t>
      </w:r>
      <w:r>
        <w:rPr/>
        <w:t>年度北京市科学技术奖。</w:t>
      </w:r>
    </w:p>
    <w:p>
      <w:pPr>
        <w:spacing w:line="240" w:lineRule="auto" w:before="11"/>
        <w:rPr>
          <w:rFonts w:ascii="宋体" w:hAnsi="宋体" w:cs="宋体" w:eastAsia="宋体" w:hint="default"/>
          <w:sz w:val="23"/>
          <w:szCs w:val="23"/>
        </w:rPr>
      </w:pPr>
    </w:p>
    <w:p>
      <w:pPr>
        <w:pStyle w:val="BodyText"/>
        <w:spacing w:line="237" w:lineRule="auto"/>
        <w:ind w:right="86"/>
        <w:jc w:val="left"/>
      </w:pPr>
      <w:r>
        <w:rPr>
          <w:spacing w:val="-2"/>
        </w:rPr>
        <w:t>在海外市场拓展方面，公司积极实施“走出去、引进来”的国际化战略，通过国际并购、</w:t>
      </w:r>
      <w:r>
        <w:rPr>
          <w:spacing w:val="-85"/>
        </w:rPr>
        <w:t> </w:t>
      </w:r>
      <w:r>
        <w:rPr>
          <w:spacing w:val="-85"/>
        </w:rPr>
      </w:r>
      <w:r>
        <w:rPr/>
        <w:t>吸引国际资本和引进国际优秀人才等方式，不但引进了国外的先进技术和管理经验，提</w:t>
      </w:r>
      <w:r>
        <w:rPr>
          <w:spacing w:val="-47"/>
        </w:rPr>
        <w:t> </w:t>
      </w:r>
      <w:r>
        <w:rPr>
          <w:spacing w:val="-47"/>
        </w:rPr>
      </w:r>
      <w:r>
        <w:rPr/>
        <w:t>升了自身的技术能力，而且还实现了与国际合作伙伴从技术、产品到管理、开发等各方</w:t>
      </w:r>
      <w:r>
        <w:rPr>
          <w:spacing w:val="-47"/>
        </w:rPr>
        <w:t> </w:t>
      </w:r>
      <w:r>
        <w:rPr>
          <w:spacing w:val="-47"/>
        </w:rPr>
      </w:r>
      <w:r>
        <w:rPr/>
        <w:t>面的融合，进一步开拓了海外市场。本年度，公司成功并购了知名自控产品公司加拿大</w:t>
      </w:r>
      <w:r>
        <w:rPr>
          <w:spacing w:val="-47"/>
        </w:rPr>
        <w:t> </w:t>
      </w:r>
      <w:r>
        <w:rPr>
          <w:spacing w:val="-47"/>
        </w:rPr>
      </w:r>
      <w:r>
        <w:rPr/>
        <w:t>Distech Controls 公司</w:t>
      </w:r>
      <w:r>
        <w:rPr>
          <w:spacing w:val="-40"/>
        </w:rPr>
        <w:t> </w:t>
      </w:r>
      <w:r>
        <w:rPr/>
        <w:t>60%的股权，并已搭建了包括负责海外研发和产品国际化的新加</w:t>
      </w:r>
      <w:r>
        <w:rPr/>
        <w:t> 坡亚太研发中心，以及面向东南亚、中东地区市场的新加坡科诺威德公司和面向北美、</w:t>
      </w:r>
      <w:r>
        <w:rPr>
          <w:spacing w:val="-47"/>
        </w:rPr>
        <w:t> </w:t>
      </w:r>
      <w:r>
        <w:rPr>
          <w:spacing w:val="-47"/>
        </w:rPr>
      </w:r>
      <w:r>
        <w:rPr/>
        <w:t>欧洲市场的加拿大</w:t>
      </w:r>
      <w:r>
        <w:rPr>
          <w:spacing w:val="-57"/>
        </w:rPr>
        <w:t> </w:t>
      </w:r>
      <w:r>
        <w:rPr/>
        <w:t>Distech</w:t>
      </w:r>
      <w:r>
        <w:rPr>
          <w:spacing w:val="-57"/>
        </w:rPr>
        <w:t> </w:t>
      </w:r>
      <w:r>
        <w:rPr/>
        <w:t>公司在内的国际化产业布局。2008</w:t>
      </w:r>
      <w:r>
        <w:rPr>
          <w:spacing w:val="-57"/>
        </w:rPr>
        <w:t> </w:t>
      </w:r>
      <w:r>
        <w:rPr/>
        <w:t>年，加拿大</w:t>
      </w:r>
      <w:r>
        <w:rPr>
          <w:spacing w:val="-57"/>
        </w:rPr>
        <w:t> </w:t>
      </w:r>
      <w:r>
        <w:rPr/>
        <w:t>Distech</w:t>
      </w:r>
      <w:r>
        <w:rPr>
          <w:spacing w:val="-54"/>
        </w:rPr>
        <w:t> </w:t>
      </w:r>
      <w:r>
        <w:rPr/>
        <w:t>公司</w:t>
      </w:r>
      <w:r>
        <w:rPr/>
        <w:t> 成功实施了英国巴克莱银行项目，为其 300</w:t>
      </w:r>
      <w:r>
        <w:rPr>
          <w:spacing w:val="-41"/>
        </w:rPr>
        <w:t> </w:t>
      </w:r>
      <w:r>
        <w:rPr/>
        <w:t>余家分行提供控制产品，并将在未来年度持</w:t>
      </w:r>
      <w:r>
        <w:rPr/>
        <w:t> 续为其其他分行提供相关产品。Distech</w:t>
      </w:r>
      <w:r>
        <w:rPr>
          <w:spacing w:val="-38"/>
        </w:rPr>
        <w:t> </w:t>
      </w:r>
      <w:r>
        <w:rPr>
          <w:spacing w:val="-6"/>
        </w:rPr>
        <w:t>公司还成功成为麦当劳“全球指定供应商”，为</w:t>
      </w:r>
      <w:r>
        <w:rPr>
          <w:spacing w:val="-117"/>
        </w:rPr>
        <w:t> </w:t>
      </w:r>
      <w:r>
        <w:rPr>
          <w:spacing w:val="-117"/>
        </w:rPr>
      </w:r>
      <w:r>
        <w:rPr/>
        <w:t>其门店建设提供相关控制产品。报告期内，公司还在其他海外市场开拓方面获得进展，</w:t>
      </w:r>
      <w:r>
        <w:rPr>
          <w:spacing w:val="-47"/>
        </w:rPr>
        <w:t> </w:t>
      </w:r>
      <w:r>
        <w:rPr>
          <w:spacing w:val="-47"/>
        </w:rPr>
      </w:r>
      <w:r>
        <w:rPr/>
        <w:t>相继承接了安哥拉本格拉市体育场弱电系统、伊朗德黑兰地铁东延线控制系统等工程项</w:t>
      </w:r>
      <w:r>
        <w:rPr>
          <w:spacing w:val="-47"/>
        </w:rPr>
        <w:t> </w:t>
      </w:r>
      <w:r>
        <w:rPr>
          <w:spacing w:val="-47"/>
        </w:rPr>
      </w:r>
      <w:r>
        <w:rPr/>
        <w:t>目，其中安哥拉本格拉市体育场为第一届非洲杯足球赛的主要比赛场地之一，目前公司</w:t>
      </w:r>
      <w:r>
        <w:rPr>
          <w:spacing w:val="-47"/>
        </w:rPr>
        <w:t> </w:t>
      </w:r>
      <w:r>
        <w:rPr>
          <w:spacing w:val="-47"/>
        </w:rPr>
      </w:r>
      <w:r>
        <w:rPr/>
        <w:t>设计的该项目系统方案已经通过业主审查。</w:t>
      </w:r>
    </w:p>
    <w:p>
      <w:pPr>
        <w:spacing w:line="240" w:lineRule="auto" w:before="8"/>
        <w:rPr>
          <w:rFonts w:ascii="宋体" w:hAnsi="宋体" w:cs="宋体" w:eastAsia="宋体" w:hint="default"/>
          <w:sz w:val="23"/>
          <w:szCs w:val="23"/>
        </w:rPr>
      </w:pPr>
    </w:p>
    <w:p>
      <w:pPr>
        <w:pStyle w:val="BodyText"/>
        <w:spacing w:line="240" w:lineRule="auto"/>
        <w:ind w:right="213"/>
        <w:jc w:val="left"/>
      </w:pPr>
      <w:r>
        <w:rPr/>
        <w:t>■软件与行业信息化</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在软件与行业信息化领域，公司一直专注于电子政务、电子商务领域的软硬件产品销售</w:t>
      </w:r>
      <w:r>
        <w:rPr>
          <w:spacing w:val="-47"/>
        </w:rPr>
        <w:t> </w:t>
      </w:r>
      <w:r>
        <w:rPr>
          <w:spacing w:val="-47"/>
        </w:rPr>
      </w:r>
      <w:r>
        <w:rPr/>
        <w:t>和技术服务，并依托在政务数据资源产业开发、政务行业应急系统开发、政府信息化网</w:t>
      </w:r>
      <w:r>
        <w:rPr>
          <w:spacing w:val="-47"/>
        </w:rPr>
        <w:t> </w:t>
      </w:r>
      <w:r>
        <w:rPr>
          <w:spacing w:val="-47"/>
        </w:rPr>
      </w:r>
      <w:r>
        <w:rPr/>
        <w:t>络建设以及身份识别、电信运营、金融交易、防伪及物流等领域的核心技术，把握市场</w:t>
      </w:r>
      <w:r>
        <w:rPr>
          <w:spacing w:val="-47"/>
        </w:rPr>
        <w:t> </w:t>
      </w:r>
      <w:r>
        <w:rPr>
          <w:spacing w:val="-47"/>
        </w:rPr>
      </w:r>
      <w:r>
        <w:rPr/>
        <w:t>机遇，通过技术创新和产品创新来不断增强竞争力。</w:t>
      </w:r>
    </w:p>
    <w:p>
      <w:pPr>
        <w:spacing w:line="240" w:lineRule="auto" w:before="10"/>
        <w:rPr>
          <w:rFonts w:ascii="宋体" w:hAnsi="宋体" w:cs="宋体" w:eastAsia="宋体" w:hint="default"/>
          <w:sz w:val="23"/>
          <w:szCs w:val="23"/>
        </w:rPr>
      </w:pPr>
    </w:p>
    <w:p>
      <w:pPr>
        <w:pStyle w:val="BodyText"/>
        <w:spacing w:line="237" w:lineRule="auto"/>
        <w:ind w:right="84"/>
        <w:jc w:val="left"/>
      </w:pPr>
      <w:r>
        <w:rPr/>
        <w:t>在电子政务领域，公司继续坚持面向政府领域，以应用软件开发为核心，以信息化网络</w:t>
      </w:r>
      <w:r>
        <w:rPr>
          <w:spacing w:val="-47"/>
        </w:rPr>
        <w:t> </w:t>
      </w:r>
      <w:r>
        <w:rPr>
          <w:spacing w:val="-47"/>
        </w:rPr>
      </w:r>
      <w:r>
        <w:rPr/>
        <w:t>建设为基础，构筑产品、工程、服务三位一体的发展模式，并依托</w:t>
      </w:r>
      <w:r>
        <w:rPr>
          <w:spacing w:val="-79"/>
        </w:rPr>
        <w:t> </w:t>
      </w:r>
      <w:r>
        <w:rPr/>
        <w:t>ezONE</w:t>
      </w:r>
      <w:r>
        <w:rPr>
          <w:spacing w:val="-79"/>
        </w:rPr>
        <w:t> </w:t>
      </w:r>
      <w:r>
        <w:rPr/>
        <w:t>基础软件平台、</w:t>
      </w:r>
      <w:r>
        <w:rPr/>
        <w:t> 基于元数据的数据集中采集处理平台系统、国家应急平台地方应用综合系统软件等自主</w:t>
      </w:r>
      <w:r>
        <w:rPr>
          <w:spacing w:val="-47"/>
        </w:rPr>
        <w:t> </w:t>
      </w:r>
      <w:r>
        <w:rPr>
          <w:spacing w:val="-47"/>
        </w:rPr>
      </w:r>
      <w:r>
        <w:rPr/>
        <w:t>技术，形成了数据资源依据、应急系统建设等核心业务。应急系统体系建设是国家在未</w:t>
      </w:r>
      <w:r>
        <w:rPr>
          <w:spacing w:val="-47"/>
        </w:rPr>
        <w:t> </w:t>
      </w:r>
      <w:r>
        <w:rPr>
          <w:spacing w:val="-47"/>
        </w:rPr>
      </w:r>
      <w:r>
        <w:rPr/>
        <w:t>来几年重点建设项目，是一个有着巨大成长潜力的产业，目前公司通过与清华大学公共</w:t>
      </w:r>
      <w:r>
        <w:rPr>
          <w:spacing w:val="-47"/>
        </w:rPr>
        <w:t> </w:t>
      </w:r>
      <w:r>
        <w:rPr>
          <w:spacing w:val="-47"/>
        </w:rPr>
      </w:r>
      <w:r>
        <w:rPr>
          <w:spacing w:val="-2"/>
        </w:rPr>
        <w:t>安全中心的全面合作，已经在应用软件产品开发、市场推进等方面已经取得突破性进展。</w:t>
      </w:r>
      <w:r>
        <w:rPr>
          <w:spacing w:val="-82"/>
        </w:rPr>
        <w:t> </w:t>
      </w:r>
      <w:r>
        <w:rPr>
          <w:spacing w:val="-82"/>
        </w:rPr>
      </w:r>
      <w:r>
        <w:rPr/>
        <w:t>本年度，公司先后中标了重庆(长寿)化工园区在线监测系统项目、新疆昌吉州人民政府</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103"/>
        <w:jc w:val="both"/>
      </w:pPr>
      <w:r>
        <w:rPr/>
        <w:t>应急视频会议中心集成项目、长沙高新区麓谷城市综合管理信息平台一期工程等多个应</w:t>
      </w:r>
      <w:r>
        <w:rPr>
          <w:spacing w:val="-47"/>
        </w:rPr>
        <w:t> </w:t>
      </w:r>
      <w:r>
        <w:rPr>
          <w:spacing w:val="-47"/>
        </w:rPr>
      </w:r>
      <w:r>
        <w:rPr/>
        <w:t>急系统项目，并为新疆克拉玛依市政府应急体系方案进行了总体规划与设计，将先进的</w:t>
      </w:r>
      <w:r>
        <w:rPr>
          <w:spacing w:val="-47"/>
        </w:rPr>
        <w:t> </w:t>
      </w:r>
      <w:r>
        <w:rPr>
          <w:spacing w:val="-47"/>
        </w:rPr>
      </w:r>
      <w:r>
        <w:rPr/>
        <w:t>公共安全技术、科学的应急管理理念融入到克拉玛依市应急方案中。2008</w:t>
      </w:r>
      <w:r>
        <w:rPr>
          <w:spacing w:val="-40"/>
        </w:rPr>
        <w:t> </w:t>
      </w:r>
      <w:r>
        <w:rPr/>
        <w:t>年，公司为北</w:t>
      </w:r>
      <w:r>
        <w:rPr/>
        <w:t> 京市统计局自主开发的大集中方式统计核心业务系统还荣获了北京市优秀统计科研成果</w:t>
      </w:r>
      <w:r>
        <w:rPr>
          <w:spacing w:val="-47"/>
        </w:rPr>
        <w:t> </w:t>
      </w:r>
      <w:r>
        <w:rPr>
          <w:spacing w:val="-47"/>
        </w:rPr>
      </w:r>
      <w:r>
        <w:rPr/>
        <w:t>评比信息技术类一等奖和全国优秀统计科研成果评比信息技术类二等奖，并先后承担了</w:t>
      </w:r>
      <w:r>
        <w:rPr>
          <w:spacing w:val="-47"/>
        </w:rPr>
        <w:t> </w:t>
      </w:r>
      <w:r>
        <w:rPr>
          <w:spacing w:val="-47"/>
        </w:rPr>
      </w:r>
      <w:r>
        <w:rPr/>
        <w:t>北京市第二次全国经济普查数据开发处理项目、中国银行统计报表平台项目、北京教育</w:t>
      </w:r>
      <w:r>
        <w:rPr>
          <w:spacing w:val="-47"/>
        </w:rPr>
        <w:t> </w:t>
      </w:r>
      <w:r>
        <w:rPr>
          <w:spacing w:val="-47"/>
        </w:rPr>
      </w:r>
      <w:r>
        <w:rPr/>
        <w:t>考试中会考远程电子巡查系统项目等项目。</w:t>
      </w:r>
    </w:p>
    <w:p>
      <w:pPr>
        <w:spacing w:line="240" w:lineRule="auto" w:before="11"/>
        <w:rPr>
          <w:rFonts w:ascii="宋体" w:hAnsi="宋体" w:cs="宋体" w:eastAsia="宋体" w:hint="default"/>
          <w:sz w:val="23"/>
          <w:szCs w:val="23"/>
        </w:rPr>
      </w:pPr>
    </w:p>
    <w:p>
      <w:pPr>
        <w:pStyle w:val="BodyText"/>
        <w:spacing w:line="237" w:lineRule="auto"/>
        <w:ind w:right="89"/>
        <w:jc w:val="left"/>
      </w:pPr>
      <w:r>
        <w:rPr>
          <w:spacing w:val="-2"/>
        </w:rPr>
        <w:t>在电子商务领域，公司继续围绕“芯片－读卡头－读卡器－系统集成软件”的产业链条，</w:t>
      </w:r>
      <w:r>
        <w:rPr>
          <w:spacing w:val="-84"/>
        </w:rPr>
        <w:t> </w:t>
      </w:r>
      <w:r>
        <w:rPr>
          <w:spacing w:val="-84"/>
        </w:rPr>
      </w:r>
      <w:r>
        <w:rPr/>
        <w:t>不断推动</w:t>
      </w:r>
      <w:r>
        <w:rPr>
          <w:spacing w:val="-71"/>
        </w:rPr>
        <w:t> </w:t>
      </w:r>
      <w:r>
        <w:rPr/>
        <w:t>RFID</w:t>
      </w:r>
      <w:r>
        <w:rPr>
          <w:spacing w:val="-71"/>
        </w:rPr>
        <w:t> </w:t>
      </w:r>
      <w:r>
        <w:rPr/>
        <w:t>芯片设计、智能卡芯片设计、银浆印刷天线纸质封装、重离子微孔防伪技</w:t>
      </w:r>
      <w:r>
        <w:rPr/>
        <w:t> 术等技术水平的提高和应用，并着力开发身份识别、票务、物流、防伪、电信运营等行</w:t>
      </w:r>
      <w:r>
        <w:rPr>
          <w:spacing w:val="-47"/>
        </w:rPr>
        <w:t> </w:t>
      </w:r>
      <w:r>
        <w:rPr>
          <w:spacing w:val="-47"/>
        </w:rPr>
      </w:r>
      <w:r>
        <w:rPr>
          <w:spacing w:val="-5"/>
        </w:rPr>
        <w:t>业市场。2008</w:t>
      </w:r>
      <w:r>
        <w:rPr>
          <w:spacing w:val="-60"/>
        </w:rPr>
        <w:t> </w:t>
      </w:r>
      <w:r>
        <w:rPr>
          <w:spacing w:val="-3"/>
        </w:rPr>
        <w:t>年，公司成功的完成了奥运会和残奥会</w:t>
      </w:r>
      <w:r>
        <w:rPr>
          <w:spacing w:val="-60"/>
        </w:rPr>
        <w:t> </w:t>
      </w:r>
      <w:r>
        <w:rPr/>
        <w:t>RFID</w:t>
      </w:r>
      <w:r>
        <w:rPr>
          <w:spacing w:val="-60"/>
        </w:rPr>
        <w:t> </w:t>
      </w:r>
      <w:r>
        <w:rPr>
          <w:spacing w:val="-4"/>
        </w:rPr>
        <w:t>电子门票项目，为奥运会和残</w:t>
      </w:r>
      <w:r>
        <w:rPr>
          <w:spacing w:val="-117"/>
        </w:rPr>
        <w:t> </w:t>
      </w:r>
      <w:r>
        <w:rPr>
          <w:spacing w:val="-117"/>
        </w:rPr>
      </w:r>
      <w:r>
        <w:rPr/>
        <w:t>奥会提供全部门票</w:t>
      </w:r>
      <w:r>
        <w:rPr>
          <w:spacing w:val="-58"/>
        </w:rPr>
        <w:t> </w:t>
      </w:r>
      <w:r>
        <w:rPr/>
        <w:t>1400</w:t>
      </w:r>
      <w:r>
        <w:rPr>
          <w:spacing w:val="-58"/>
        </w:rPr>
        <w:t> </w:t>
      </w:r>
      <w:r>
        <w:rPr>
          <w:spacing w:val="-3"/>
        </w:rPr>
        <w:t>多万张、近千台三类门票查验终端以及</w:t>
      </w:r>
      <w:r>
        <w:rPr>
          <w:spacing w:val="-58"/>
        </w:rPr>
        <w:t> </w:t>
      </w:r>
      <w:r>
        <w:rPr/>
        <w:t>RFID</w:t>
      </w:r>
      <w:r>
        <w:rPr>
          <w:spacing w:val="-58"/>
        </w:rPr>
        <w:t> </w:t>
      </w:r>
      <w:r>
        <w:rPr/>
        <w:t>电子门票系统软件，</w:t>
      </w:r>
      <w:r>
        <w:rPr/>
        <w:t> 实现了奥运期间设备运行</w:t>
      </w:r>
      <w:r>
        <w:rPr>
          <w:spacing w:val="-57"/>
        </w:rPr>
        <w:t> </w:t>
      </w:r>
      <w:r>
        <w:rPr/>
        <w:t>1000</w:t>
      </w:r>
      <w:r>
        <w:rPr>
          <w:spacing w:val="-57"/>
        </w:rPr>
        <w:t> </w:t>
      </w:r>
      <w:r>
        <w:rPr>
          <w:spacing w:val="-4"/>
        </w:rPr>
        <w:t>小时无事故、电子票证合格率</w:t>
      </w:r>
      <w:r>
        <w:rPr>
          <w:spacing w:val="-57"/>
        </w:rPr>
        <w:t> </w:t>
      </w:r>
      <w:r>
        <w:rPr>
          <w:spacing w:val="-4"/>
        </w:rPr>
        <w:t>99.9999%，并获得了北京奥</w:t>
      </w:r>
      <w:r>
        <w:rPr>
          <w:spacing w:val="-114"/>
        </w:rPr>
        <w:t> </w:t>
      </w:r>
      <w:r>
        <w:rPr>
          <w:spacing w:val="-114"/>
        </w:rPr>
      </w:r>
      <w:r>
        <w:rPr>
          <w:spacing w:val="-5"/>
        </w:rPr>
        <w:t>组委颁发的“北京奥运会残奥会特别荣誉奖”。此外，公司的重离子微孔防伪技术还应用</w:t>
      </w:r>
      <w:r>
        <w:rPr>
          <w:spacing w:val="-87"/>
        </w:rPr>
        <w:t> </w:t>
      </w:r>
      <w:r>
        <w:rPr>
          <w:spacing w:val="-87"/>
        </w:rPr>
      </w:r>
      <w:r>
        <w:rPr/>
        <w:t>于奥运上岗保安人员证件和奥运专用车证件卡项目中。奥运电子门票的成功应用，进一</w:t>
      </w:r>
      <w:r>
        <w:rPr>
          <w:spacing w:val="-47"/>
        </w:rPr>
        <w:t> </w:t>
      </w:r>
      <w:r>
        <w:rPr>
          <w:spacing w:val="-47"/>
        </w:rPr>
      </w:r>
      <w:r>
        <w:rPr/>
        <w:t>步提升了公司的品牌影响力，带动了公司相关产品的推广应用。本年度，公司还承接了</w:t>
      </w:r>
      <w:r>
        <w:rPr>
          <w:spacing w:val="-47"/>
        </w:rPr>
        <w:t> </w:t>
      </w:r>
      <w:r>
        <w:rPr>
          <w:spacing w:val="-47"/>
        </w:rPr>
      </w:r>
      <w:r>
        <w:rPr/>
        <w:t>全国大学生</w:t>
      </w:r>
      <w:r>
        <w:rPr>
          <w:spacing w:val="-67"/>
        </w:rPr>
        <w:t> </w:t>
      </w:r>
      <w:r>
        <w:rPr/>
        <w:t>RFID</w:t>
      </w:r>
      <w:r>
        <w:rPr>
          <w:spacing w:val="-67"/>
        </w:rPr>
        <w:t> </w:t>
      </w:r>
      <w:r>
        <w:rPr/>
        <w:t>防伪购票证项目、葡萄牙里斯本地铁电子票项目、葡萄牙</w:t>
      </w:r>
      <w:r>
        <w:rPr>
          <w:spacing w:val="-67"/>
        </w:rPr>
        <w:t> </w:t>
      </w:r>
      <w:r>
        <w:rPr/>
        <w:t>Porto</w:t>
      </w:r>
      <w:r>
        <w:rPr>
          <w:spacing w:val="-67"/>
        </w:rPr>
        <w:t> </w:t>
      </w:r>
      <w:r>
        <w:rPr/>
        <w:t>博物馆</w:t>
      </w:r>
      <w:r>
        <w:rPr/>
        <w:t> </w:t>
      </w:r>
      <w:r>
        <w:rPr>
          <w:spacing w:val="-3"/>
        </w:rPr>
        <w:t>门票项目等电子票务项目。在智能卡芯片方面，公司加大了公交一卡通芯片、SIM</w:t>
      </w:r>
      <w:r>
        <w:rPr>
          <w:spacing w:val="-57"/>
        </w:rPr>
        <w:t> </w:t>
      </w:r>
      <w:r>
        <w:rPr/>
        <w:t>卡芯片</w:t>
      </w:r>
      <w:r>
        <w:rPr>
          <w:spacing w:val="-113"/>
        </w:rPr>
        <w:t> </w:t>
      </w:r>
      <w:r>
        <w:rPr>
          <w:spacing w:val="-113"/>
        </w:rPr>
      </w:r>
      <w:r>
        <w:rPr/>
        <w:t>以及读卡头芯片的市场推广力度，其中，本年度公司的非接触式 CPU</w:t>
      </w:r>
      <w:r>
        <w:rPr>
          <w:spacing w:val="-40"/>
        </w:rPr>
        <w:t> </w:t>
      </w:r>
      <w:r>
        <w:rPr/>
        <w:t>芯片成应用于沈阳</w:t>
      </w:r>
      <w:r>
        <w:rPr/>
        <w:t> 公交一卡通项目和京津城际铁路快通卡项目中，公司研发的</w:t>
      </w:r>
      <w:r>
        <w:rPr>
          <w:spacing w:val="-60"/>
        </w:rPr>
        <w:t> </w:t>
      </w:r>
      <w:r>
        <w:rPr/>
        <w:t>TYPE</w:t>
      </w:r>
      <w:r>
        <w:rPr>
          <w:spacing w:val="-39"/>
        </w:rPr>
        <w:t> </w:t>
      </w:r>
      <w:r>
        <w:rPr/>
        <w:t>B</w:t>
      </w:r>
      <w:r>
        <w:rPr>
          <w:spacing w:val="-62"/>
        </w:rPr>
        <w:t> </w:t>
      </w:r>
      <w:r>
        <w:rPr/>
        <w:t>读卡头芯片在第二代</w:t>
      </w:r>
      <w:r>
        <w:rPr/>
        <w:t> 居民身份证读写机具市场占有了较高的市场份额，此外公司还成功实现 SIM</w:t>
      </w:r>
      <w:r>
        <w:rPr>
          <w:spacing w:val="-61"/>
        </w:rPr>
        <w:t> </w:t>
      </w:r>
      <w:r>
        <w:rPr/>
        <w:t>卡芯片的大</w:t>
      </w:r>
      <w:r>
        <w:rPr>
          <w:spacing w:val="-1"/>
        </w:rPr>
        <w:t> </w:t>
      </w:r>
      <w:r>
        <w:rPr/>
        <w:t>批量供货，成为国内</w:t>
      </w:r>
      <w:r>
        <w:rPr>
          <w:spacing w:val="-60"/>
        </w:rPr>
        <w:t> </w:t>
      </w:r>
      <w:r>
        <w:rPr/>
        <w:t>SIM</w:t>
      </w:r>
      <w:r>
        <w:rPr>
          <w:spacing w:val="-60"/>
        </w:rPr>
        <w:t> </w:t>
      </w:r>
      <w:r>
        <w:rPr/>
        <w:t>卡芯片出货量最大的厂商。</w:t>
      </w:r>
    </w:p>
    <w:p>
      <w:pPr>
        <w:spacing w:line="240" w:lineRule="auto" w:before="8"/>
        <w:rPr>
          <w:rFonts w:ascii="宋体" w:hAnsi="宋体" w:cs="宋体" w:eastAsia="宋体" w:hint="default"/>
          <w:sz w:val="23"/>
          <w:szCs w:val="23"/>
        </w:rPr>
      </w:pPr>
    </w:p>
    <w:p>
      <w:pPr>
        <w:pStyle w:val="BodyText"/>
        <w:spacing w:line="240" w:lineRule="auto"/>
        <w:ind w:right="0"/>
        <w:jc w:val="both"/>
      </w:pPr>
      <w:r>
        <w:rPr/>
        <w:t>B.安防系统</w:t>
      </w:r>
    </w:p>
    <w:p>
      <w:pPr>
        <w:spacing w:line="240" w:lineRule="auto" w:before="9"/>
        <w:rPr>
          <w:rFonts w:ascii="宋体" w:hAnsi="宋体" w:cs="宋体" w:eastAsia="宋体" w:hint="default"/>
          <w:sz w:val="23"/>
          <w:szCs w:val="23"/>
        </w:rPr>
      </w:pPr>
    </w:p>
    <w:p>
      <w:pPr>
        <w:pStyle w:val="BodyText"/>
        <w:spacing w:line="237" w:lineRule="auto"/>
        <w:ind w:right="220"/>
        <w:jc w:val="both"/>
      </w:pPr>
      <w:r>
        <w:rPr/>
        <w:t>在安防系统领域，一方面，当前全球安全形势依然严峻，安检市场需求逐渐扩大，为公</w:t>
      </w:r>
      <w:r>
        <w:rPr>
          <w:spacing w:val="-47"/>
        </w:rPr>
        <w:t> </w:t>
      </w:r>
      <w:r>
        <w:rPr>
          <w:spacing w:val="-47"/>
        </w:rPr>
      </w:r>
      <w:r>
        <w:rPr/>
        <w:t>司的业务发展提供了市场机遇；另一方面，由于受到全球金融危机的影响，各国政府采</w:t>
      </w:r>
      <w:r>
        <w:rPr>
          <w:spacing w:val="-47"/>
        </w:rPr>
        <w:t> </w:t>
      </w:r>
      <w:r>
        <w:rPr>
          <w:spacing w:val="-47"/>
        </w:rPr>
      </w:r>
      <w:r>
        <w:rPr/>
        <w:t>购力有所下降，并纷纷通过设置贸易壁垒来支持本国的产品销售，同时国际竞争对手取</w:t>
      </w:r>
      <w:r>
        <w:rPr>
          <w:spacing w:val="-47"/>
        </w:rPr>
        <w:t> </w:t>
      </w:r>
      <w:r>
        <w:rPr>
          <w:spacing w:val="-47"/>
        </w:rPr>
      </w:r>
      <w:r>
        <w:rPr/>
        <w:t>低价措施促进销售，市场竞争日趋激烈。面对挑战与机遇，公司继续坚持以辐射成像技</w:t>
      </w:r>
      <w:r>
        <w:rPr>
          <w:spacing w:val="-47"/>
        </w:rPr>
        <w:t> </w:t>
      </w:r>
      <w:r>
        <w:rPr>
          <w:spacing w:val="-47"/>
        </w:rPr>
      </w:r>
      <w:r>
        <w:rPr/>
        <w:t>术为核心，通过不断实施技术创新，进一步提高产品技术含量和丰富产品线，增强核心</w:t>
      </w:r>
      <w:r>
        <w:rPr>
          <w:spacing w:val="-47"/>
        </w:rPr>
        <w:t> </w:t>
      </w:r>
      <w:r>
        <w:rPr>
          <w:spacing w:val="-47"/>
        </w:rPr>
      </w:r>
      <w:r>
        <w:rPr/>
        <w:t>竞争能力，为客户提供自主知识产权的高科技安检产品。2008</w:t>
      </w:r>
      <w:r>
        <w:rPr>
          <w:spacing w:val="-40"/>
        </w:rPr>
        <w:t> </w:t>
      </w:r>
      <w:r>
        <w:rPr/>
        <w:t>年，公司的安防系统业务</w:t>
      </w:r>
      <w:r>
        <w:rPr/>
        <w:t> 继续实现了收入规模和利润的快速增长，保持了市场的龙头地位。</w:t>
      </w:r>
    </w:p>
    <w:p>
      <w:pPr>
        <w:spacing w:line="240" w:lineRule="auto" w:before="7"/>
        <w:rPr>
          <w:rFonts w:ascii="宋体" w:hAnsi="宋体" w:cs="宋体" w:eastAsia="宋体" w:hint="default"/>
          <w:sz w:val="26"/>
          <w:szCs w:val="26"/>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40"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b/>
                <w:sz w:val="21"/>
              </w:rPr>
              <w:t>2008</w:t>
            </w:r>
            <w:r>
              <w:rPr>
                <w:rFonts w:ascii="宋体"/>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2"/>
              <w:jc w:val="center"/>
              <w:rPr>
                <w:rFonts w:ascii="宋体" w:hAnsi="宋体" w:cs="宋体" w:eastAsia="宋体" w:hint="default"/>
                <w:sz w:val="21"/>
                <w:szCs w:val="21"/>
              </w:rPr>
            </w:pPr>
            <w:r>
              <w:rPr>
                <w:rFonts w:ascii="宋体"/>
                <w:b/>
                <w:sz w:val="21"/>
              </w:rPr>
              <w:t>2007</w:t>
            </w:r>
            <w:r>
              <w:rPr>
                <w:rFonts w:ascii="宋体"/>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64" w:lineRule="exact"/>
              <w:ind w:left="426" w:right="0"/>
              <w:jc w:val="left"/>
              <w:rPr>
                <w:rFonts w:ascii="宋体" w:hAnsi="宋体" w:cs="宋体" w:eastAsia="宋体" w:hint="default"/>
                <w:sz w:val="21"/>
                <w:szCs w:val="21"/>
              </w:rPr>
            </w:pPr>
            <w:r>
              <w:rPr>
                <w:rFonts w:ascii="宋体"/>
                <w:b/>
                <w:sz w:val="21"/>
              </w:rPr>
              <w:t>2006</w:t>
            </w:r>
            <w:r>
              <w:rPr>
                <w:rFonts w:ascii="宋体"/>
                <w:sz w:val="21"/>
              </w:rPr>
            </w:r>
          </w:p>
        </w:tc>
      </w:tr>
      <w:tr>
        <w:trPr>
          <w:trHeight w:val="331"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5"/>
              <w:jc w:val="right"/>
              <w:rPr>
                <w:rFonts w:ascii="宋体" w:hAnsi="宋体" w:cs="宋体" w:eastAsia="宋体" w:hint="default"/>
                <w:sz w:val="21"/>
                <w:szCs w:val="21"/>
              </w:rPr>
            </w:pPr>
            <w:r>
              <w:rPr>
                <w:rFonts w:ascii="宋体"/>
                <w:spacing w:val="-1"/>
                <w:sz w:val="21"/>
              </w:rPr>
              <w:t>243,912.54</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230,386.32</w:t>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61" w:lineRule="exact"/>
              <w:ind w:right="89"/>
              <w:jc w:val="right"/>
              <w:rPr>
                <w:rFonts w:ascii="宋体" w:hAnsi="宋体" w:cs="宋体" w:eastAsia="宋体" w:hint="default"/>
                <w:sz w:val="21"/>
                <w:szCs w:val="21"/>
              </w:rPr>
            </w:pPr>
            <w:r>
              <w:rPr>
                <w:rFonts w:ascii="宋体"/>
                <w:spacing w:val="-1"/>
                <w:sz w:val="21"/>
              </w:rPr>
              <w:t>162,749.29</w:t>
            </w:r>
          </w:p>
        </w:tc>
      </w:tr>
      <w:tr>
        <w:trPr>
          <w:trHeight w:val="338"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25.86%</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27.42%</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61" w:lineRule="exact"/>
              <w:ind w:right="90"/>
              <w:jc w:val="right"/>
              <w:rPr>
                <w:rFonts w:ascii="宋体" w:hAnsi="宋体" w:cs="宋体" w:eastAsia="宋体" w:hint="default"/>
                <w:sz w:val="21"/>
                <w:szCs w:val="21"/>
              </w:rPr>
            </w:pPr>
            <w:r>
              <w:rPr>
                <w:rFonts w:ascii="宋体"/>
                <w:spacing w:val="-1"/>
                <w:sz w:val="21"/>
              </w:rPr>
              <w:t>25.68%</w:t>
            </w:r>
          </w:p>
        </w:tc>
      </w:tr>
    </w:tbl>
    <w:p>
      <w:pPr>
        <w:spacing w:line="240" w:lineRule="auto" w:before="10"/>
        <w:rPr>
          <w:rFonts w:ascii="宋体" w:hAnsi="宋体" w:cs="宋体" w:eastAsia="宋体" w:hint="default"/>
          <w:sz w:val="18"/>
          <w:szCs w:val="18"/>
        </w:rPr>
      </w:pPr>
    </w:p>
    <w:p>
      <w:pPr>
        <w:pStyle w:val="BodyText"/>
        <w:spacing w:line="237" w:lineRule="auto" w:before="28"/>
        <w:ind w:right="220"/>
        <w:jc w:val="both"/>
      </w:pPr>
      <w:r>
        <w:rPr/>
        <w:t>在海外市场领域，公司继续获得了良好的销售业绩，海外市场份额继续提高。全年签署</w:t>
      </w:r>
      <w:r>
        <w:rPr>
          <w:spacing w:val="-47"/>
        </w:rPr>
        <w:t> </w:t>
      </w:r>
      <w:r>
        <w:rPr>
          <w:spacing w:val="-47"/>
        </w:rPr>
      </w:r>
      <w:r>
        <w:rPr/>
        <w:t>大型集装箱检查设备</w:t>
      </w:r>
      <w:r>
        <w:rPr>
          <w:spacing w:val="-70"/>
        </w:rPr>
        <w:t> </w:t>
      </w:r>
      <w:r>
        <w:rPr/>
        <w:t>91</w:t>
      </w:r>
      <w:r>
        <w:rPr>
          <w:spacing w:val="-70"/>
        </w:rPr>
        <w:t> </w:t>
      </w:r>
      <w:r>
        <w:rPr/>
        <w:t>套，小型检查设备</w:t>
      </w:r>
      <w:r>
        <w:rPr>
          <w:spacing w:val="-70"/>
        </w:rPr>
        <w:t> </w:t>
      </w:r>
      <w:r>
        <w:rPr/>
        <w:t>178</w:t>
      </w:r>
      <w:r>
        <w:rPr>
          <w:spacing w:val="-70"/>
        </w:rPr>
        <w:t> </w:t>
      </w:r>
      <w:r>
        <w:rPr/>
        <w:t>套。本年度，针对市场的不利因素，公司</w:t>
      </w:r>
      <w:r>
        <w:rPr/>
        <w:t> 制定了开发潜力市场的销售策略，实现了对匈牙利、南非、秘鲁、智利、巴拿马、格鲁</w:t>
      </w:r>
      <w:r>
        <w:rPr>
          <w:spacing w:val="-47"/>
        </w:rPr>
        <w:t> </w:t>
      </w:r>
      <w:r>
        <w:rPr>
          <w:spacing w:val="-47"/>
        </w:rPr>
      </w:r>
      <w:r>
        <w:rPr/>
        <w:t>吉亚、塞内加尔等新兴市场的销售。截至本报告期末，海外客户国由</w:t>
      </w:r>
      <w:r>
        <w:rPr>
          <w:spacing w:val="-40"/>
        </w:rPr>
        <w:t> </w:t>
      </w:r>
      <w:r>
        <w:rPr/>
        <w:t>2007</w:t>
      </w:r>
      <w:r>
        <w:rPr>
          <w:spacing w:val="-40"/>
        </w:rPr>
        <w:t> </w:t>
      </w:r>
      <w:r>
        <w:rPr/>
        <w:t>年的</w:t>
      </w:r>
      <w:r>
        <w:rPr>
          <w:spacing w:val="-40"/>
        </w:rPr>
        <w:t> </w:t>
      </w:r>
      <w:r>
        <w:rPr/>
        <w:t>67</w:t>
      </w:r>
      <w:r>
        <w:rPr>
          <w:spacing w:val="-40"/>
        </w:rPr>
        <w:t> </w:t>
      </w:r>
      <w:r>
        <w:rPr/>
        <w:t>个增</w:t>
      </w:r>
    </w:p>
    <w:p>
      <w:pPr>
        <w:pStyle w:val="BodyText"/>
        <w:spacing w:line="311" w:lineRule="exact"/>
        <w:ind w:right="0"/>
        <w:jc w:val="both"/>
      </w:pPr>
      <w:r>
        <w:rPr/>
        <w:t>加到</w:t>
      </w:r>
      <w:r>
        <w:rPr>
          <w:spacing w:val="-40"/>
        </w:rPr>
        <w:t> </w:t>
      </w:r>
      <w:r>
        <w:rPr/>
        <w:t>88</w:t>
      </w:r>
      <w:r>
        <w:rPr>
          <w:spacing w:val="-40"/>
        </w:rPr>
        <w:t> </w:t>
      </w:r>
      <w:r>
        <w:rPr/>
        <w:t>个国家和地区，新开发了</w:t>
      </w:r>
      <w:r>
        <w:rPr>
          <w:spacing w:val="-40"/>
        </w:rPr>
        <w:t> </w:t>
      </w:r>
      <w:r>
        <w:rPr/>
        <w:t>21</w:t>
      </w:r>
      <w:r>
        <w:rPr>
          <w:spacing w:val="-40"/>
        </w:rPr>
        <w:t> </w:t>
      </w:r>
      <w:r>
        <w:rPr/>
        <w:t>个国家和地区。在项目执行过程中，面对各国政府</w:t>
      </w:r>
    </w:p>
    <w:p>
      <w:pPr>
        <w:spacing w:after="0" w:line="311" w:lineRule="exact"/>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20"/>
        <w:jc w:val="both"/>
      </w:pPr>
      <w:r>
        <w:rPr/>
        <w:t>由于财政危机而拖延付款以及部分项目执行地政局动荡的恶劣市场形势，公司一方面通</w:t>
      </w:r>
      <w:r>
        <w:rPr>
          <w:spacing w:val="-47"/>
        </w:rPr>
        <w:t> </w:t>
      </w:r>
      <w:r>
        <w:rPr>
          <w:spacing w:val="-47"/>
        </w:rPr>
      </w:r>
      <w:r>
        <w:rPr/>
        <w:t>过不断攻克技术难关，提升产品功能和质量，确保项目的顺利实施；另一方面有效组织</w:t>
      </w:r>
      <w:r>
        <w:rPr>
          <w:spacing w:val="-47"/>
        </w:rPr>
        <w:t> </w:t>
      </w:r>
      <w:r>
        <w:rPr>
          <w:spacing w:val="-47"/>
        </w:rPr>
      </w:r>
      <w:r>
        <w:rPr/>
        <w:t>团队，提高工程实施效率，确保项目人员安全，并成功完成了土耳其、迪拜、以色列、</w:t>
      </w:r>
      <w:r>
        <w:rPr>
          <w:spacing w:val="-47"/>
        </w:rPr>
        <w:t> </w:t>
      </w:r>
      <w:r>
        <w:rPr>
          <w:spacing w:val="-47"/>
        </w:rPr>
      </w:r>
      <w:r>
        <w:rPr/>
        <w:t>韩国、匈牙利、叙利亚、也门、安哥拉等项目的实施。其中在巴基斯坦项目的实施过程</w:t>
      </w:r>
      <w:r>
        <w:rPr>
          <w:spacing w:val="-47"/>
        </w:rPr>
        <w:t> </w:t>
      </w:r>
      <w:r>
        <w:rPr>
          <w:spacing w:val="-47"/>
        </w:rPr>
      </w:r>
      <w:r>
        <w:rPr/>
        <w:t>中，公司员工在当地动乱中仍坚守岗位，成功完成了三套集装箱检查系统设备的安装调</w:t>
      </w:r>
      <w:r>
        <w:rPr>
          <w:spacing w:val="-47"/>
        </w:rPr>
        <w:t> </w:t>
      </w:r>
      <w:r>
        <w:rPr>
          <w:spacing w:val="-47"/>
        </w:rPr>
      </w:r>
      <w:r>
        <w:rPr/>
        <w:t>试工作。</w:t>
      </w:r>
    </w:p>
    <w:p>
      <w:pPr>
        <w:spacing w:line="240" w:lineRule="auto" w:before="11"/>
        <w:rPr>
          <w:rFonts w:ascii="宋体" w:hAnsi="宋体" w:cs="宋体" w:eastAsia="宋体" w:hint="default"/>
          <w:sz w:val="23"/>
          <w:szCs w:val="23"/>
        </w:rPr>
      </w:pPr>
    </w:p>
    <w:p>
      <w:pPr>
        <w:pStyle w:val="BodyText"/>
        <w:spacing w:line="237" w:lineRule="auto"/>
        <w:ind w:right="185"/>
        <w:jc w:val="both"/>
      </w:pPr>
      <w:r>
        <w:rPr/>
        <w:t>在国内市场领域，公司利用北京奥运会的市场机遇，加大了对奥运安保、民航、铁路等</w:t>
      </w:r>
      <w:r>
        <w:rPr>
          <w:spacing w:val="-47"/>
        </w:rPr>
        <w:t> </w:t>
      </w:r>
      <w:r>
        <w:rPr>
          <w:spacing w:val="-47"/>
        </w:rPr>
      </w:r>
      <w:r>
        <w:rPr/>
        <w:t>目标市场的销售力度，成功实现了近</w:t>
      </w:r>
      <w:r>
        <w:rPr>
          <w:spacing w:val="-66"/>
        </w:rPr>
        <w:t> </w:t>
      </w:r>
      <w:r>
        <w:rPr/>
        <w:t>1400</w:t>
      </w:r>
      <w:r>
        <w:rPr>
          <w:spacing w:val="-66"/>
        </w:rPr>
        <w:t> </w:t>
      </w:r>
      <w:r>
        <w:rPr>
          <w:spacing w:val="-4"/>
        </w:rPr>
        <w:t>套小型设备、12</w:t>
      </w:r>
      <w:r>
        <w:rPr>
          <w:spacing w:val="-66"/>
        </w:rPr>
        <w:t> </w:t>
      </w:r>
      <w:r>
        <w:rPr>
          <w:spacing w:val="-4"/>
        </w:rPr>
        <w:t>套大型设备的销售。其中，作</w:t>
      </w:r>
      <w:r>
        <w:rPr/>
        <w:t> 为北京奥运会的安检设备提供商，公司继</w:t>
      </w:r>
      <w:r>
        <w:rPr>
          <w:spacing w:val="-60"/>
        </w:rPr>
        <w:t> </w:t>
      </w:r>
      <w:r>
        <w:rPr/>
        <w:t>2007</w:t>
      </w:r>
      <w:r>
        <w:rPr>
          <w:spacing w:val="-60"/>
        </w:rPr>
        <w:t> </w:t>
      </w:r>
      <w:r>
        <w:rPr/>
        <w:t>年以租赁形式为奥运会提供安检设备后，</w:t>
      </w:r>
      <w:r>
        <w:rPr/>
        <w:t> 又为奥运会提供了包括了基于离子迁移技术的便携式痕量爆炸物探测仪、双能双视角集</w:t>
      </w:r>
      <w:r>
        <w:rPr>
          <w:spacing w:val="-47"/>
        </w:rPr>
        <w:t> </w:t>
      </w:r>
      <w:r>
        <w:rPr>
          <w:spacing w:val="-47"/>
        </w:rPr>
      </w:r>
      <w:r>
        <w:rPr/>
        <w:t>装箱车辆检查系统等类型在内的</w:t>
      </w:r>
      <w:r>
        <w:rPr>
          <w:spacing w:val="-63"/>
        </w:rPr>
        <w:t> </w:t>
      </w:r>
      <w:r>
        <w:rPr/>
        <w:t>2</w:t>
      </w:r>
      <w:r>
        <w:rPr>
          <w:spacing w:val="-63"/>
        </w:rPr>
        <w:t> </w:t>
      </w:r>
      <w:r>
        <w:rPr>
          <w:spacing w:val="-5"/>
        </w:rPr>
        <w:t>套大型设备、686</w:t>
      </w:r>
      <w:r>
        <w:rPr>
          <w:spacing w:val="-63"/>
        </w:rPr>
        <w:t> </w:t>
      </w:r>
      <w:r>
        <w:rPr>
          <w:spacing w:val="-5"/>
        </w:rPr>
        <w:t>台小型设备。本年度，公司还向首都</w:t>
      </w:r>
      <w:r>
        <w:rPr>
          <w:spacing w:val="-1"/>
        </w:rPr>
        <w:t> </w:t>
      </w:r>
      <w:r>
        <w:rPr/>
        <w:t>机场海关交付了国内首台人体检查系统，向铁道部交付了五套大型铁路货物安检系统。</w:t>
      </w:r>
      <w:r>
        <w:rPr>
          <w:spacing w:val="-47"/>
        </w:rPr>
        <w:t> </w:t>
      </w:r>
      <w:r>
        <w:rPr>
          <w:spacing w:val="-47"/>
        </w:rPr>
      </w:r>
      <w:r>
        <w:rPr/>
        <w:t>其中，公司的人体检查系统在首都机场交付使用的首日就查获了两名携毒嫌疑人体内藏</w:t>
      </w:r>
      <w:r>
        <w:rPr>
          <w:spacing w:val="-47"/>
        </w:rPr>
        <w:t> </w:t>
      </w:r>
      <w:r>
        <w:rPr>
          <w:spacing w:val="-47"/>
        </w:rPr>
      </w:r>
      <w:r>
        <w:rPr>
          <w:spacing w:val="-2"/>
        </w:rPr>
        <w:t>毒。此外，公司的组合移动式集装箱/车辆检查系统还通过了民航安全技术中心检测和中</w:t>
      </w:r>
      <w:r>
        <w:rPr>
          <w:spacing w:val="-83"/>
        </w:rPr>
        <w:t> </w:t>
      </w:r>
      <w:r>
        <w:rPr>
          <w:spacing w:val="-83"/>
        </w:rPr>
      </w:r>
      <w:r>
        <w:rPr/>
        <w:t>国民用航空总局的确认，被许可用作民用航空安全检查设备。</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在技术创新和新产品开发方面，公司继续加大投入，结合市场需求，实施技术的深入开</w:t>
      </w:r>
      <w:r>
        <w:rPr>
          <w:spacing w:val="-47"/>
        </w:rPr>
        <w:t> </w:t>
      </w:r>
      <w:r>
        <w:rPr>
          <w:spacing w:val="-47"/>
        </w:rPr>
      </w:r>
      <w:r>
        <w:rPr/>
        <w:t>发与创新，增强发展后劲，为长远发展奠定基础。一方面，公司不断加强对辐射成像核</w:t>
      </w:r>
      <w:r>
        <w:rPr>
          <w:spacing w:val="-47"/>
        </w:rPr>
        <w:t> </w:t>
      </w:r>
      <w:r>
        <w:rPr>
          <w:spacing w:val="-47"/>
        </w:rPr>
      </w:r>
      <w:r>
        <w:rPr/>
        <w:t>心技术的深入研究，并将航空运输安检市场作为重点，加强查危产品的开发；另一方面</w:t>
      </w:r>
      <w:r>
        <w:rPr>
          <w:spacing w:val="-47"/>
        </w:rPr>
        <w:t> </w:t>
      </w:r>
      <w:r>
        <w:rPr>
          <w:spacing w:val="-47"/>
        </w:rPr>
      </w:r>
      <w:r>
        <w:rPr/>
        <w:t>加快对安检领域相关新技术的调研和应用研究，提升技术融合能力和集成创新能力。本</w:t>
      </w:r>
      <w:r>
        <w:rPr>
          <w:spacing w:val="-47"/>
        </w:rPr>
        <w:t> </w:t>
      </w:r>
      <w:r>
        <w:rPr>
          <w:spacing w:val="-47"/>
        </w:rPr>
      </w:r>
      <w:r>
        <w:rPr>
          <w:spacing w:val="-4"/>
        </w:rPr>
        <w:t>年度，公司确立了双能快检融合技术、X</w:t>
      </w:r>
      <w:r>
        <w:rPr>
          <w:spacing w:val="-84"/>
        </w:rPr>
        <w:t> </w:t>
      </w:r>
      <w:r>
        <w:rPr/>
        <w:t>射线与中子照相融合技术、核素识别技术和离子</w:t>
      </w:r>
      <w:r>
        <w:rPr/>
        <w:t> 迁移双迁移管技术的开发，并推出了应用双能双视角技术的组合式产品、应用低剂量双</w:t>
      </w:r>
      <w:r>
        <w:rPr>
          <w:spacing w:val="-47"/>
        </w:rPr>
        <w:t> </w:t>
      </w:r>
      <w:r>
        <w:rPr>
          <w:spacing w:val="-47"/>
        </w:rPr>
      </w:r>
      <w:r>
        <w:rPr/>
        <w:t>能技术的车载式产品、应用快检技术的车载式产品等一系列新品。2008</w:t>
      </w:r>
      <w:r>
        <w:rPr>
          <w:spacing w:val="-40"/>
        </w:rPr>
        <w:t> </w:t>
      </w:r>
      <w:r>
        <w:rPr/>
        <w:t>年，公司还推出</w:t>
      </w:r>
      <w:r>
        <w:rPr/>
        <w:t> 了专门针对机场围界检查开发的</w:t>
      </w:r>
      <w:r>
        <w:rPr>
          <w:spacing w:val="-68"/>
        </w:rPr>
        <w:t> </w:t>
      </w:r>
      <w:r>
        <w:rPr/>
        <w:t>MB1215BS</w:t>
      </w:r>
      <w:r>
        <w:rPr>
          <w:spacing w:val="-68"/>
        </w:rPr>
        <w:t> </w:t>
      </w:r>
      <w:r>
        <w:rPr>
          <w:spacing w:val="-3"/>
        </w:rPr>
        <w:t>检查系统，采用了公司最新研发的交替双能成</w:t>
      </w:r>
      <w:r>
        <w:rPr>
          <w:spacing w:val="-1"/>
        </w:rPr>
        <w:t> </w:t>
      </w:r>
      <w:r>
        <w:rPr/>
        <w:t>像技术和双目分层成像技术，能够区分有机物和无机物并在一定程度上解决扫描图像重</w:t>
      </w:r>
      <w:r>
        <w:rPr>
          <w:spacing w:val="-47"/>
        </w:rPr>
        <w:t> </w:t>
      </w:r>
      <w:r>
        <w:rPr>
          <w:spacing w:val="-47"/>
        </w:rPr>
      </w:r>
      <w:r>
        <w:rPr/>
        <w:t>叠问题，使得检查人员能够在不开箱的情况下检查出藏匿在货物中的危险品及各种违禁</w:t>
      </w:r>
      <w:r>
        <w:rPr>
          <w:spacing w:val="-47"/>
        </w:rPr>
        <w:t> </w:t>
      </w:r>
      <w:r>
        <w:rPr>
          <w:spacing w:val="-47"/>
        </w:rPr>
      </w:r>
      <w:r>
        <w:rPr/>
        <w:t>物品，提高了查验准确程度。</w:t>
      </w:r>
    </w:p>
    <w:p>
      <w:pPr>
        <w:spacing w:line="240" w:lineRule="auto" w:before="7"/>
        <w:rPr>
          <w:rFonts w:ascii="宋体" w:hAnsi="宋体" w:cs="宋体" w:eastAsia="宋体" w:hint="default"/>
          <w:sz w:val="23"/>
          <w:szCs w:val="23"/>
        </w:rPr>
      </w:pPr>
    </w:p>
    <w:p>
      <w:pPr>
        <w:pStyle w:val="BodyText"/>
        <w:spacing w:line="240" w:lineRule="auto"/>
        <w:ind w:right="0"/>
        <w:jc w:val="both"/>
      </w:pPr>
      <w:r>
        <w:rPr/>
        <w:t>③数字电视系统</w:t>
      </w:r>
    </w:p>
    <w:p>
      <w:pPr>
        <w:spacing w:line="240" w:lineRule="auto" w:before="11"/>
        <w:rPr>
          <w:rFonts w:ascii="宋体" w:hAnsi="宋体" w:cs="宋体" w:eastAsia="宋体" w:hint="default"/>
          <w:sz w:val="23"/>
          <w:szCs w:val="23"/>
        </w:rPr>
      </w:pPr>
    </w:p>
    <w:p>
      <w:pPr>
        <w:pStyle w:val="BodyText"/>
        <w:spacing w:line="237" w:lineRule="auto"/>
        <w:ind w:right="88"/>
        <w:jc w:val="left"/>
      </w:pPr>
      <w:r>
        <w:rPr/>
        <w:t>2008</w:t>
      </w:r>
      <w:r>
        <w:rPr>
          <w:spacing w:val="-51"/>
        </w:rPr>
        <w:t> </w:t>
      </w:r>
      <w:r>
        <w:rPr>
          <w:spacing w:val="-3"/>
        </w:rPr>
        <w:t>年初，国务院办公厅联合六部委共同发布了鼓励中国数字电视产业发展的若干政策，</w:t>
      </w:r>
      <w:r>
        <w:rPr/>
        <w:t> 重申和明确了中国数字电视产业发展的总目标，提出了优化投融资环境和加强税收优惠</w:t>
      </w:r>
      <w:r>
        <w:rPr>
          <w:spacing w:val="-47"/>
        </w:rPr>
        <w:t> </w:t>
      </w:r>
      <w:r>
        <w:rPr>
          <w:spacing w:val="-47"/>
        </w:rPr>
      </w:r>
      <w:r>
        <w:rPr/>
        <w:t>支持等一系列措施，为在三网融合时代背景下的中国数字电视发展创造了政策环境和投</w:t>
      </w:r>
      <w:r>
        <w:rPr>
          <w:spacing w:val="-47"/>
        </w:rPr>
        <w:t> </w:t>
      </w:r>
      <w:r>
        <w:rPr>
          <w:spacing w:val="-47"/>
        </w:rPr>
      </w:r>
      <w:r>
        <w:rPr/>
        <w:t>资环境。在政策的推动和引导下，中国数字电视产业获得了全面发展，2008</w:t>
      </w:r>
      <w:r>
        <w:rPr>
          <w:spacing w:val="-40"/>
        </w:rPr>
        <w:t> </w:t>
      </w:r>
      <w:r>
        <w:rPr/>
        <w:t>年有线数字</w:t>
      </w:r>
      <w:r>
        <w:rPr/>
        <w:t> 电视继续向高峰推进，用户已超过</w:t>
      </w:r>
      <w:r>
        <w:rPr>
          <w:spacing w:val="-71"/>
        </w:rPr>
        <w:t> </w:t>
      </w:r>
      <w:r>
        <w:rPr/>
        <w:t>5000</w:t>
      </w:r>
      <w:r>
        <w:rPr>
          <w:spacing w:val="-71"/>
        </w:rPr>
        <w:t> </w:t>
      </w:r>
      <w:r>
        <w:rPr/>
        <w:t>万户；地面数字电视正式实施，奥运会采用地面</w:t>
      </w:r>
      <w:r>
        <w:rPr/>
        <w:t> 高清信号免费向全世界转播；直播卫星顺利升空，卫星直播产业链基本成熟，开始进入</w:t>
      </w:r>
      <w:r>
        <w:rPr>
          <w:spacing w:val="-47"/>
        </w:rPr>
        <w:t> </w:t>
      </w:r>
      <w:r>
        <w:rPr>
          <w:spacing w:val="-47"/>
        </w:rPr>
      </w:r>
      <w:r>
        <w:rPr/>
        <w:t>产业培育期；以</w:t>
      </w:r>
      <w:r>
        <w:rPr>
          <w:spacing w:val="-60"/>
        </w:rPr>
        <w:t> </w:t>
      </w:r>
      <w:r>
        <w:rPr/>
        <w:t>IPTV、互联网视频为代表的新媒体形态风起云涌，IPTV</w:t>
      </w:r>
      <w:r>
        <w:rPr>
          <w:spacing w:val="-60"/>
        </w:rPr>
        <w:t> </w:t>
      </w:r>
      <w:r>
        <w:rPr/>
        <w:t>行业呈现拐点，</w:t>
      </w:r>
      <w:r>
        <w:rPr/>
        <w:t> 用户总量增速明显；数字电视的投融资政策进一步放开，数字电视产业化进程加快。</w:t>
      </w:r>
    </w:p>
    <w:p>
      <w:pPr>
        <w:spacing w:line="240" w:lineRule="auto" w:before="11"/>
        <w:rPr>
          <w:rFonts w:ascii="宋体" w:hAnsi="宋体" w:cs="宋体" w:eastAsia="宋体" w:hint="default"/>
          <w:sz w:val="23"/>
          <w:szCs w:val="23"/>
        </w:rPr>
      </w:pPr>
    </w:p>
    <w:p>
      <w:pPr>
        <w:pStyle w:val="BodyText"/>
        <w:spacing w:line="237" w:lineRule="auto"/>
        <w:ind w:right="220"/>
        <w:jc w:val="both"/>
      </w:pPr>
      <w:r>
        <w:rPr/>
        <w:t>面对市场发展的巨大机遇，公司致力于构建以自主知识产权技术为基础，以综合运营服</w:t>
      </w:r>
      <w:r>
        <w:rPr>
          <w:spacing w:val="-47"/>
        </w:rPr>
        <w:t> </w:t>
      </w:r>
      <w:r>
        <w:rPr>
          <w:spacing w:val="-47"/>
        </w:rPr>
      </w:r>
      <w:r>
        <w:rPr/>
        <w:t>务为纽带，以内容资源为核心的数字传媒产业链，通过自有知识产权产品研发、打造独</w:t>
      </w:r>
      <w:r>
        <w:rPr>
          <w:spacing w:val="-47"/>
        </w:rPr>
        <w:t> </w:t>
      </w:r>
      <w:r>
        <w:rPr>
          <w:spacing w:val="-47"/>
        </w:rPr>
      </w:r>
      <w:r>
        <w:rPr/>
        <w:t>有或特有的资源整合和综合运营能力来提升产业核心竞争力，实现产品、服务、运营的</w:t>
      </w:r>
      <w:r>
        <w:rPr>
          <w:spacing w:val="-47"/>
        </w:rPr>
        <w:t> </w:t>
      </w:r>
      <w:r>
        <w:rPr>
          <w:spacing w:val="-47"/>
        </w:rPr>
      </w:r>
      <w:r>
        <w:rPr/>
        <w:t>创新。目前，公司已经形成了以数字电视系统、数字通信与装备制造和互联网应用与服</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20"/>
        <w:jc w:val="both"/>
      </w:pPr>
      <w:r>
        <w:rPr/>
        <w:t>务三大主干产业为主体的数字电视产业，同时积极把握市场机会，通过资本运作、对外</w:t>
      </w:r>
      <w:r>
        <w:rPr>
          <w:spacing w:val="-47"/>
        </w:rPr>
        <w:t> </w:t>
      </w:r>
      <w:r>
        <w:rPr>
          <w:spacing w:val="-47"/>
        </w:rPr>
      </w:r>
      <w:r>
        <w:rPr/>
        <w:t>合作等方式，探索</w:t>
      </w:r>
      <w:r>
        <w:rPr>
          <w:spacing w:val="-40"/>
        </w:rPr>
        <w:t> </w:t>
      </w:r>
      <w:r>
        <w:rPr/>
        <w:t>IPTV、电视购物等新媒体业务的发展和培育，实现了产业整体的快速</w:t>
      </w:r>
      <w:r>
        <w:rPr/>
        <w:t> 发展。本年度，公司出资认购了上海百视通电视传媒有限公司和百视通网络电视技术发</w:t>
      </w:r>
      <w:r>
        <w:rPr>
          <w:spacing w:val="-47"/>
        </w:rPr>
        <w:t> </w:t>
      </w:r>
      <w:r>
        <w:rPr>
          <w:spacing w:val="-47"/>
        </w:rPr>
      </w:r>
      <w:r>
        <w:rPr/>
        <w:t>展有限公司股权，深度参与到</w:t>
      </w:r>
      <w:r>
        <w:rPr>
          <w:spacing w:val="-79"/>
        </w:rPr>
        <w:t> </w:t>
      </w:r>
      <w:r>
        <w:rPr/>
        <w:t>IPTV</w:t>
      </w:r>
      <w:r>
        <w:rPr>
          <w:spacing w:val="-79"/>
        </w:rPr>
        <w:t> </w:t>
      </w:r>
      <w:r>
        <w:rPr/>
        <w:t>领域，新媒体业务开始逐渐成为公司未来新的利润增</w:t>
      </w:r>
      <w:r>
        <w:rPr/>
        <w:t> 长点。这一举措有力提升了公司数字电视产业资源及增值服务业务的经营实力，进一步</w:t>
      </w:r>
      <w:r>
        <w:rPr>
          <w:spacing w:val="-47"/>
        </w:rPr>
        <w:t> </w:t>
      </w:r>
      <w:r>
        <w:rPr>
          <w:spacing w:val="-47"/>
        </w:rPr>
      </w:r>
      <w:r>
        <w:rPr/>
        <w:t>夯实了公司在数字电视领域从系统设备、网络服务到内容资源及增值服务的完整数字电</w:t>
      </w:r>
      <w:r>
        <w:rPr>
          <w:spacing w:val="-47"/>
        </w:rPr>
        <w:t> </w:t>
      </w:r>
      <w:r>
        <w:rPr>
          <w:spacing w:val="-47"/>
        </w:rPr>
      </w:r>
      <w:r>
        <w:rPr/>
        <w:t>视产业链。</w:t>
      </w:r>
    </w:p>
    <w:p>
      <w:pPr>
        <w:spacing w:line="240" w:lineRule="auto" w:before="8"/>
        <w:rPr>
          <w:rFonts w:ascii="宋体" w:hAnsi="宋体" w:cs="宋体" w:eastAsia="宋体" w:hint="default"/>
          <w:sz w:val="23"/>
          <w:szCs w:val="23"/>
        </w:rPr>
      </w:pPr>
    </w:p>
    <w:p>
      <w:pPr>
        <w:pStyle w:val="BodyText"/>
        <w:spacing w:line="240" w:lineRule="auto"/>
        <w:ind w:right="0"/>
        <w:jc w:val="both"/>
      </w:pPr>
      <w:r>
        <w:rPr/>
        <w:t>A.数字电视系统</w:t>
      </w:r>
    </w:p>
    <w:p>
      <w:pPr>
        <w:spacing w:line="240" w:lineRule="auto" w:before="11"/>
        <w:rPr>
          <w:rFonts w:ascii="宋体" w:hAnsi="宋体" w:cs="宋体" w:eastAsia="宋体" w:hint="default"/>
          <w:sz w:val="25"/>
          <w:szCs w:val="25"/>
        </w:rPr>
      </w:pPr>
    </w:p>
    <w:p>
      <w:pPr>
        <w:pStyle w:val="BodyText"/>
        <w:spacing w:line="312" w:lineRule="exact"/>
        <w:ind w:right="220"/>
        <w:jc w:val="both"/>
      </w:pPr>
      <w:r>
        <w:rPr/>
        <w:t>在数字电视系统领域，公司专注于地面数字电视网络建设运营、数字广播电视发射机设</w:t>
      </w:r>
      <w:r>
        <w:rPr>
          <w:spacing w:val="-47"/>
        </w:rPr>
        <w:t> </w:t>
      </w:r>
      <w:r>
        <w:rPr>
          <w:spacing w:val="-47"/>
        </w:rPr>
      </w:r>
      <w:r>
        <w:rPr/>
        <w:t>备及系统以及高清数字电视及相关消费电子产品的开发和市场推广。</w:t>
      </w:r>
    </w:p>
    <w:p>
      <w:pPr>
        <w:spacing w:line="240" w:lineRule="auto" w:before="4"/>
        <w:rPr>
          <w:rFonts w:ascii="宋体" w:hAnsi="宋体" w:cs="宋体" w:eastAsia="宋体" w:hint="default"/>
          <w:sz w:val="24"/>
          <w:szCs w:val="24"/>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40"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b/>
                <w:sz w:val="21"/>
              </w:rPr>
              <w:t>2008</w:t>
            </w:r>
            <w:r>
              <w:rPr>
                <w:rFonts w:ascii="宋体"/>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2"/>
              <w:jc w:val="center"/>
              <w:rPr>
                <w:rFonts w:ascii="宋体" w:hAnsi="宋体" w:cs="宋体" w:eastAsia="宋体" w:hint="default"/>
                <w:sz w:val="21"/>
                <w:szCs w:val="21"/>
              </w:rPr>
            </w:pPr>
            <w:r>
              <w:rPr>
                <w:rFonts w:ascii="宋体"/>
                <w:b/>
                <w:sz w:val="21"/>
              </w:rPr>
              <w:t>2007</w:t>
            </w:r>
            <w:r>
              <w:rPr>
                <w:rFonts w:ascii="宋体"/>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64" w:lineRule="exact"/>
              <w:ind w:left="426" w:right="0"/>
              <w:jc w:val="left"/>
              <w:rPr>
                <w:rFonts w:ascii="宋体" w:hAnsi="宋体" w:cs="宋体" w:eastAsia="宋体" w:hint="default"/>
                <w:sz w:val="21"/>
                <w:szCs w:val="21"/>
              </w:rPr>
            </w:pPr>
            <w:r>
              <w:rPr>
                <w:rFonts w:ascii="宋体"/>
                <w:b/>
                <w:sz w:val="21"/>
              </w:rPr>
              <w:t>2006</w:t>
            </w:r>
            <w:r>
              <w:rPr>
                <w:rFonts w:ascii="宋体"/>
                <w:sz w:val="21"/>
              </w:rPr>
            </w:r>
          </w:p>
        </w:tc>
      </w:tr>
      <w:tr>
        <w:trPr>
          <w:trHeight w:val="332"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5"/>
              <w:jc w:val="right"/>
              <w:rPr>
                <w:rFonts w:ascii="宋体" w:hAnsi="宋体" w:cs="宋体" w:eastAsia="宋体" w:hint="default"/>
                <w:sz w:val="21"/>
                <w:szCs w:val="21"/>
              </w:rPr>
            </w:pPr>
            <w:r>
              <w:rPr>
                <w:rFonts w:ascii="宋体"/>
                <w:spacing w:val="-1"/>
                <w:sz w:val="21"/>
              </w:rPr>
              <w:t>154,121.56</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120,368.35</w:t>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61" w:lineRule="exact"/>
              <w:ind w:right="90"/>
              <w:jc w:val="right"/>
              <w:rPr>
                <w:rFonts w:ascii="宋体" w:hAnsi="宋体" w:cs="宋体" w:eastAsia="宋体" w:hint="default"/>
                <w:sz w:val="21"/>
                <w:szCs w:val="21"/>
              </w:rPr>
            </w:pPr>
            <w:r>
              <w:rPr>
                <w:rFonts w:ascii="宋体"/>
                <w:spacing w:val="-1"/>
                <w:sz w:val="21"/>
              </w:rPr>
              <w:t>52,979.37</w:t>
            </w:r>
            <w:r>
              <w:rPr>
                <w:rFonts w:ascii="宋体"/>
                <w:sz w:val="21"/>
              </w:rPr>
            </w:r>
          </w:p>
        </w:tc>
      </w:tr>
      <w:tr>
        <w:trPr>
          <w:trHeight w:val="337"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11.13%</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8.83%</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61" w:lineRule="exact"/>
              <w:ind w:right="91"/>
              <w:jc w:val="right"/>
              <w:rPr>
                <w:rFonts w:ascii="宋体" w:hAnsi="宋体" w:cs="宋体" w:eastAsia="宋体" w:hint="default"/>
                <w:sz w:val="21"/>
                <w:szCs w:val="21"/>
              </w:rPr>
            </w:pPr>
            <w:r>
              <w:rPr>
                <w:rFonts w:ascii="宋体"/>
                <w:spacing w:val="-1"/>
                <w:sz w:val="21"/>
              </w:rPr>
              <w:t>7.10%</w:t>
            </w:r>
          </w:p>
        </w:tc>
      </w:tr>
    </w:tbl>
    <w:p>
      <w:pPr>
        <w:spacing w:line="240" w:lineRule="auto" w:before="11"/>
        <w:rPr>
          <w:rFonts w:ascii="宋体" w:hAnsi="宋体" w:cs="宋体" w:eastAsia="宋体" w:hint="default"/>
          <w:sz w:val="18"/>
          <w:szCs w:val="18"/>
        </w:rPr>
      </w:pPr>
    </w:p>
    <w:p>
      <w:pPr>
        <w:pStyle w:val="BodyText"/>
        <w:spacing w:line="237" w:lineRule="auto" w:before="28"/>
        <w:ind w:right="185"/>
        <w:jc w:val="both"/>
      </w:pPr>
      <w:r>
        <w:rPr/>
        <w:t>在数字电视网络建设运营和系统设备方面，2008</w:t>
      </w:r>
      <w:r>
        <w:rPr>
          <w:spacing w:val="-40"/>
        </w:rPr>
        <w:t> </w:t>
      </w:r>
      <w:r>
        <w:rPr/>
        <w:t>年，借奥运之机，基于国标的地面数字</w:t>
      </w:r>
      <w:r>
        <w:rPr/>
        <w:t> 电视在北京、上海等 8</w:t>
      </w:r>
      <w:r>
        <w:rPr>
          <w:spacing w:val="-40"/>
        </w:rPr>
        <w:t> </w:t>
      </w:r>
      <w:r>
        <w:rPr/>
        <w:t>个城市正式启动，向公众提供包括央视高清综合频道在内的免费</w:t>
      </w:r>
      <w:r>
        <w:rPr/>
        <w:t> 数字电视服务，地面数字电视终于正式走向公众。2009</w:t>
      </w:r>
      <w:r>
        <w:rPr>
          <w:spacing w:val="-40"/>
        </w:rPr>
        <w:t> </w:t>
      </w:r>
      <w:r>
        <w:rPr/>
        <w:t>年地面数字电视即将进入在全国</w:t>
      </w:r>
      <w:r>
        <w:rPr/>
        <w:t> 全面推进阶段，广电总局表示我国将投入</w:t>
      </w:r>
      <w:r>
        <w:rPr>
          <w:spacing w:val="-60"/>
        </w:rPr>
        <w:t> </w:t>
      </w:r>
      <w:r>
        <w:rPr/>
        <w:t>25</w:t>
      </w:r>
      <w:r>
        <w:rPr>
          <w:spacing w:val="-60"/>
        </w:rPr>
        <w:t> </w:t>
      </w:r>
      <w:r>
        <w:rPr/>
        <w:t>亿元财政资金用于地面数字电视体系建设，</w:t>
      </w:r>
    </w:p>
    <w:p>
      <w:pPr>
        <w:pStyle w:val="BodyText"/>
        <w:spacing w:line="237" w:lineRule="auto"/>
        <w:ind w:right="86"/>
        <w:jc w:val="left"/>
      </w:pPr>
      <w:r>
        <w:rPr>
          <w:spacing w:val="45"/>
        </w:rPr>
        <w:t>用3至5</w:t>
      </w:r>
      <w:r>
        <w:rPr>
          <w:spacing w:val="-62"/>
        </w:rPr>
        <w:t> </w:t>
      </w:r>
      <w:r>
        <w:rPr/>
        <w:t>年时间在全国</w:t>
      </w:r>
      <w:r>
        <w:rPr>
          <w:spacing w:val="-63"/>
        </w:rPr>
        <w:t> </w:t>
      </w:r>
      <w:r>
        <w:rPr/>
        <w:t>333</w:t>
      </w:r>
      <w:r>
        <w:rPr>
          <w:spacing w:val="-63"/>
        </w:rPr>
        <w:t> </w:t>
      </w:r>
      <w:r>
        <w:rPr/>
        <w:t>个地市及</w:t>
      </w:r>
      <w:r>
        <w:rPr>
          <w:spacing w:val="-63"/>
        </w:rPr>
        <w:t> </w:t>
      </w:r>
      <w:r>
        <w:rPr/>
        <w:t>2861</w:t>
      </w:r>
      <w:r>
        <w:rPr>
          <w:spacing w:val="-63"/>
        </w:rPr>
        <w:t> </w:t>
      </w:r>
      <w:r>
        <w:rPr>
          <w:spacing w:val="-3"/>
        </w:rPr>
        <w:t>个县全面覆盖地面数字电视，这为地面数字电</w:t>
      </w:r>
      <w:r>
        <w:rPr>
          <w:spacing w:val="-1"/>
        </w:rPr>
        <w:t> </w:t>
      </w:r>
      <w:r>
        <w:rPr/>
        <w:t>视网络建设运营和相关系统设备提供了巨大的发展机遇。为此，公司加大了对数字电视</w:t>
      </w:r>
      <w:r>
        <w:rPr>
          <w:spacing w:val="-47"/>
        </w:rPr>
        <w:t> </w:t>
      </w:r>
      <w:r>
        <w:rPr>
          <w:spacing w:val="-47"/>
        </w:rPr>
      </w:r>
      <w:r>
        <w:rPr/>
        <w:t>系统的投入力度，率先与各级地方政府合作，积极抢占市场，推广基于国家标准的数字</w:t>
      </w:r>
      <w:r>
        <w:rPr>
          <w:spacing w:val="-47"/>
        </w:rPr>
        <w:t> </w:t>
      </w:r>
      <w:r>
        <w:rPr>
          <w:spacing w:val="-47"/>
        </w:rPr>
      </w:r>
      <w:r>
        <w:rPr/>
        <w:t>电视地面网建设。本年度，公司先后与开封、泉州、运城等正式签署了地面数字电视业</w:t>
      </w:r>
      <w:r>
        <w:rPr>
          <w:spacing w:val="-47"/>
        </w:rPr>
        <w:t> </w:t>
      </w:r>
      <w:r>
        <w:rPr>
          <w:spacing w:val="-47"/>
        </w:rPr>
      </w:r>
      <w:r>
        <w:rPr>
          <w:spacing w:val="-2"/>
        </w:rPr>
        <w:t>务合作协议，与当地广电部门合作共同建设运营地面数字电视网络系统，全面覆盖城市、</w:t>
      </w:r>
      <w:r>
        <w:rPr>
          <w:spacing w:val="-82"/>
        </w:rPr>
        <w:t> </w:t>
      </w:r>
      <w:r>
        <w:rPr>
          <w:spacing w:val="-82"/>
        </w:rPr>
      </w:r>
      <w:r>
        <w:rPr/>
        <w:t>郊区及农村用户，为其提供品质优良、高清晰度的电视节目，并随着业务的逐步推进开</w:t>
      </w:r>
      <w:r>
        <w:rPr>
          <w:spacing w:val="-47"/>
        </w:rPr>
        <w:t> </w:t>
      </w:r>
      <w:r>
        <w:rPr>
          <w:spacing w:val="-47"/>
        </w:rPr>
      </w:r>
      <w:r>
        <w:rPr/>
        <w:t>展丰富多彩的互动业务。2008</w:t>
      </w:r>
      <w:r>
        <w:rPr>
          <w:spacing w:val="-40"/>
        </w:rPr>
        <w:t> </w:t>
      </w:r>
      <w:r>
        <w:rPr/>
        <w:t>年，公司还加大了系统设备的市场推广力度，并通过不断</w:t>
      </w:r>
      <w:r>
        <w:rPr/>
        <w:t> 创新进一步保持市场的领先地位。报告期内，公司先后中标了广电总局移动多媒体广播</w:t>
      </w:r>
      <w:r>
        <w:rPr>
          <w:spacing w:val="-47"/>
        </w:rPr>
        <w:t> </w:t>
      </w:r>
      <w:r>
        <w:rPr>
          <w:spacing w:val="-47"/>
        </w:rPr>
      </w:r>
      <w:r>
        <w:rPr>
          <w:spacing w:val="-2"/>
        </w:rPr>
        <w:t>覆盖工程设备采购项目、安徽省广播电视节目无线覆盖设备采购及安装工程项目等项目，</w:t>
      </w:r>
      <w:r>
        <w:rPr>
          <w:spacing w:val="-1"/>
        </w:rPr>
        <w:t> </w:t>
      </w:r>
      <w:r>
        <w:rPr/>
        <w:t>并推出了国内首台新一代大功率液冷全固态电视发射设备――GME1134 型 UHF30KW</w:t>
      </w:r>
      <w:r>
        <w:rPr>
          <w:spacing w:val="-42"/>
        </w:rPr>
        <w:t> </w:t>
      </w:r>
      <w:r>
        <w:rPr/>
        <w:t>液冷</w:t>
      </w:r>
      <w:r>
        <w:rPr/>
        <w:t> 电视发射机，填补了国内空白。</w:t>
      </w:r>
    </w:p>
    <w:p>
      <w:pPr>
        <w:spacing w:line="240" w:lineRule="auto" w:before="11"/>
        <w:rPr>
          <w:rFonts w:ascii="宋体" w:hAnsi="宋体" w:cs="宋体" w:eastAsia="宋体" w:hint="default"/>
          <w:sz w:val="23"/>
          <w:szCs w:val="23"/>
        </w:rPr>
      </w:pPr>
    </w:p>
    <w:p>
      <w:pPr>
        <w:pStyle w:val="BodyText"/>
        <w:spacing w:line="237" w:lineRule="auto"/>
        <w:ind w:right="86"/>
        <w:jc w:val="left"/>
      </w:pPr>
      <w:r>
        <w:rPr/>
        <w:t>在数字电视终端产品领域，2008</w:t>
      </w:r>
      <w:r>
        <w:rPr>
          <w:spacing w:val="-40"/>
        </w:rPr>
        <w:t> </w:t>
      </w:r>
      <w:r>
        <w:rPr/>
        <w:t>年我国市场销售的平板电视超过了</w:t>
      </w:r>
      <w:r>
        <w:rPr>
          <w:spacing w:val="-40"/>
        </w:rPr>
        <w:t> </w:t>
      </w:r>
      <w:r>
        <w:rPr/>
        <w:t>1220</w:t>
      </w:r>
      <w:r>
        <w:rPr>
          <w:spacing w:val="-40"/>
        </w:rPr>
        <w:t> </w:t>
      </w:r>
      <w:r>
        <w:rPr/>
        <w:t>万台，与</w:t>
      </w:r>
      <w:r>
        <w:rPr>
          <w:spacing w:val="-40"/>
        </w:rPr>
        <w:t> </w:t>
      </w:r>
      <w:r>
        <w:rPr/>
        <w:t>2007</w:t>
      </w:r>
      <w:r>
        <w:rPr/>
        <w:t> 年相比增长了</w:t>
      </w:r>
      <w:r>
        <w:rPr>
          <w:spacing w:val="-61"/>
        </w:rPr>
        <w:t> </w:t>
      </w:r>
      <w:r>
        <w:rPr>
          <w:spacing w:val="-4"/>
        </w:rPr>
        <w:t>53%，消费电子产品市场获得了快速的增长。然而，受到全球金融危机的影</w:t>
      </w:r>
      <w:r>
        <w:rPr>
          <w:spacing w:val="-1"/>
        </w:rPr>
        <w:t> </w:t>
      </w:r>
      <w:r>
        <w:rPr/>
        <w:t>响，以及随着同质化竞争的加剧，价格战愈演愈烈，消费者的购买力不断下降，出口订</w:t>
      </w:r>
      <w:r>
        <w:rPr>
          <w:spacing w:val="-47"/>
        </w:rPr>
        <w:t> </w:t>
      </w:r>
      <w:r>
        <w:rPr>
          <w:spacing w:val="-47"/>
        </w:rPr>
      </w:r>
      <w:r>
        <w:rPr>
          <w:spacing w:val="-2"/>
        </w:rPr>
        <w:t>单大幅萎缩。面对这一挑战，公司一方面改革营销、创新渠道，选择优势区域进行突破，</w:t>
      </w:r>
      <w:r>
        <w:rPr>
          <w:spacing w:val="-82"/>
        </w:rPr>
        <w:t> </w:t>
      </w:r>
      <w:r>
        <w:rPr>
          <w:spacing w:val="-82"/>
        </w:rPr>
      </w:r>
      <w:r>
        <w:rPr/>
        <w:t>将市场重点转向潜力巨大、刚刚启动的三、四级城市，加快消费电子的产业布局和渠道</w:t>
      </w:r>
      <w:r>
        <w:rPr>
          <w:spacing w:val="-47"/>
        </w:rPr>
        <w:t> </w:t>
      </w:r>
      <w:r>
        <w:rPr>
          <w:spacing w:val="-47"/>
        </w:rPr>
      </w:r>
      <w:r>
        <w:rPr/>
        <w:t>建设工作，截至</w:t>
      </w:r>
      <w:r>
        <w:rPr>
          <w:spacing w:val="-40"/>
        </w:rPr>
        <w:t> </w:t>
      </w:r>
      <w:r>
        <w:rPr/>
        <w:t>2008</w:t>
      </w:r>
      <w:r>
        <w:rPr>
          <w:spacing w:val="-40"/>
        </w:rPr>
        <w:t> </w:t>
      </w:r>
      <w:r>
        <w:rPr/>
        <w:t>年底，公司各类消费电子产品的卖场数量已达到</w:t>
      </w:r>
      <w:r>
        <w:rPr>
          <w:spacing w:val="-40"/>
        </w:rPr>
        <w:t> </w:t>
      </w:r>
      <w:r>
        <w:rPr/>
        <w:t>3000</w:t>
      </w:r>
      <w:r>
        <w:rPr>
          <w:spacing w:val="-40"/>
        </w:rPr>
        <w:t> </w:t>
      </w:r>
      <w:r>
        <w:rPr/>
        <w:t>余个，全年</w:t>
      </w:r>
    </w:p>
    <w:p>
      <w:pPr>
        <w:pStyle w:val="BodyText"/>
        <w:spacing w:line="237" w:lineRule="auto" w:before="1"/>
        <w:ind w:right="84"/>
        <w:jc w:val="left"/>
      </w:pPr>
      <w:r>
        <w:rPr/>
        <w:t>销售液晶电视约</w:t>
      </w:r>
      <w:r>
        <w:rPr>
          <w:spacing w:val="-79"/>
        </w:rPr>
        <w:t> </w:t>
      </w:r>
      <w:r>
        <w:rPr/>
        <w:t>100</w:t>
      </w:r>
      <w:r>
        <w:rPr>
          <w:spacing w:val="-79"/>
        </w:rPr>
        <w:t> </w:t>
      </w:r>
      <w:r>
        <w:rPr/>
        <w:t>万台；另一方面，公司从价格战竞争中转向注重产品功能性的创新，</w:t>
      </w:r>
      <w:r>
        <w:rPr/>
        <w:t> </w:t>
      </w:r>
      <w:r>
        <w:rPr>
          <w:spacing w:val="-5"/>
        </w:rPr>
        <w:t>以差异化竞争策略锁定目标消费群体，并率先推出了</w:t>
      </w:r>
      <w:r>
        <w:rPr>
          <w:spacing w:val="-59"/>
        </w:rPr>
        <w:t> </w:t>
      </w:r>
      <w:r>
        <w:rPr>
          <w:spacing w:val="-1"/>
        </w:rPr>
        <w:t>B80D</w:t>
      </w:r>
      <w:r>
        <w:rPr>
          <w:spacing w:val="-59"/>
        </w:rPr>
        <w:t> </w:t>
      </w:r>
      <w:r>
        <w:rPr>
          <w:spacing w:val="-1"/>
        </w:rPr>
        <w:t>三模数字电视一体机和</w:t>
      </w:r>
      <w:r>
        <w:rPr>
          <w:spacing w:val="-59"/>
        </w:rPr>
        <w:t> </w:t>
      </w:r>
      <w:r>
        <w:rPr>
          <w:spacing w:val="-1"/>
        </w:rPr>
        <w:t>LimeTV</w:t>
      </w:r>
      <w:r>
        <w:rPr>
          <w:spacing w:val="-114"/>
        </w:rPr>
        <w:t> </w:t>
      </w:r>
      <w:r>
        <w:rPr>
          <w:spacing w:val="-114"/>
        </w:rPr>
      </w:r>
      <w:r>
        <w:rPr/>
        <w:t>网络电视等新品。其中三模数字电视一体机可全面支持单多载波国家数字电视地面传输</w:t>
      </w:r>
      <w:r>
        <w:rPr>
          <w:spacing w:val="-47"/>
        </w:rPr>
        <w:t> </w:t>
      </w:r>
      <w:r>
        <w:rPr>
          <w:spacing w:val="-47"/>
        </w:rPr>
      </w:r>
      <w:r>
        <w:rPr/>
        <w:t>标准、有线数字电视标准和模拟信号三种模式，不同用户均能够收看到各类标清、高清</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spacing w:val="-6"/>
        </w:rPr>
        <w:t>节目，而不必增加机顶盒，LimeTV</w:t>
      </w:r>
      <w:r>
        <w:rPr>
          <w:spacing w:val="-59"/>
        </w:rPr>
        <w:t> </w:t>
      </w:r>
      <w:r>
        <w:rPr/>
        <w:t>系列网络电视则以其独创的</w:t>
      </w:r>
      <w:r>
        <w:rPr>
          <w:spacing w:val="-59"/>
        </w:rPr>
        <w:t> </w:t>
      </w:r>
      <w:r>
        <w:rPr/>
        <w:t>i-see-u-on</w:t>
      </w:r>
      <w:r>
        <w:rPr>
          <w:spacing w:val="-59"/>
        </w:rPr>
        <w:t> </w:t>
      </w:r>
      <w:r>
        <w:rPr/>
        <w:t>内容服务支持</w:t>
      </w:r>
      <w:r>
        <w:rPr>
          <w:spacing w:val="-117"/>
        </w:rPr>
        <w:t> </w:t>
      </w:r>
      <w:r>
        <w:rPr>
          <w:spacing w:val="-117"/>
        </w:rPr>
      </w:r>
      <w:r>
        <w:rPr/>
        <w:t>平台开创了网络直通、互动参与、按需定制、海量内容为特色网络视听电视模式。本年</w:t>
      </w:r>
      <w:r>
        <w:rPr>
          <w:spacing w:val="-47"/>
        </w:rPr>
        <w:t> </w:t>
      </w:r>
      <w:r>
        <w:rPr>
          <w:spacing w:val="-47"/>
        </w:rPr>
      </w:r>
      <w:r>
        <w:rPr/>
        <w:t>度，公司的平板电视类产品还荣获了第四届消费电子年会颁发的“2008</w:t>
      </w:r>
      <w:r>
        <w:rPr>
          <w:spacing w:val="-40"/>
        </w:rPr>
        <w:t> </w:t>
      </w:r>
      <w:r>
        <w:rPr/>
        <w:t>年中国消费电子</w:t>
      </w:r>
      <w:r>
        <w:rPr/>
        <w:t> </w:t>
      </w:r>
      <w:r>
        <w:rPr>
          <w:spacing w:val="-12"/>
        </w:rPr>
        <w:t>最具竞争力品牌”奖项，LimeTV</w:t>
      </w:r>
      <w:r>
        <w:rPr>
          <w:spacing w:val="-51"/>
        </w:rPr>
        <w:t> </w:t>
      </w:r>
      <w:r>
        <w:rPr>
          <w:spacing w:val="-8"/>
        </w:rPr>
        <w:t>系列网络电视也摘得“2008</w:t>
      </w:r>
      <w:r>
        <w:rPr>
          <w:spacing w:val="-51"/>
        </w:rPr>
        <w:t> </w:t>
      </w:r>
      <w:r>
        <w:rPr>
          <w:spacing w:val="-10"/>
        </w:rPr>
        <w:t>中国消费电子技术进步大奖”。</w:t>
      </w:r>
      <w:r>
        <w:rPr>
          <w:spacing w:val="-114"/>
        </w:rPr>
        <w:t> </w:t>
      </w:r>
      <w:r>
        <w:rPr>
          <w:spacing w:val="-114"/>
        </w:rPr>
      </w:r>
      <w:r>
        <w:rPr/>
        <w:t>从全年经营情况来看，受不利市场环境影响，同时由于公司数字电视终端产品尚处于新</w:t>
      </w:r>
      <w:r>
        <w:rPr>
          <w:spacing w:val="-47"/>
        </w:rPr>
        <w:t> </w:t>
      </w:r>
      <w:r>
        <w:rPr>
          <w:spacing w:val="-47"/>
        </w:rPr>
      </w:r>
      <w:r>
        <w:rPr/>
        <w:t>产品推广、渠道建设的发展阶段，目前投入较大，因此公司在该方面虽然保证了收入的</w:t>
      </w:r>
      <w:r>
        <w:rPr>
          <w:spacing w:val="-47"/>
        </w:rPr>
        <w:t> </w:t>
      </w:r>
      <w:r>
        <w:rPr>
          <w:spacing w:val="-47"/>
        </w:rPr>
      </w:r>
      <w:r>
        <w:rPr/>
        <w:t>快速增长，然而出现了亏损情况。</w:t>
      </w:r>
    </w:p>
    <w:p>
      <w:pPr>
        <w:spacing w:line="240" w:lineRule="auto" w:before="8"/>
        <w:rPr>
          <w:rFonts w:ascii="宋体" w:hAnsi="宋体" w:cs="宋体" w:eastAsia="宋体" w:hint="default"/>
          <w:sz w:val="23"/>
          <w:szCs w:val="23"/>
        </w:rPr>
      </w:pPr>
    </w:p>
    <w:p>
      <w:pPr>
        <w:pStyle w:val="BodyText"/>
        <w:spacing w:line="240" w:lineRule="auto"/>
        <w:ind w:right="213"/>
        <w:jc w:val="left"/>
      </w:pPr>
      <w:r>
        <w:rPr/>
        <w:t>B.数字通信与装备制造</w:t>
      </w:r>
    </w:p>
    <w:p>
      <w:pPr>
        <w:spacing w:line="240" w:lineRule="auto" w:before="11"/>
        <w:rPr>
          <w:rFonts w:ascii="宋体" w:hAnsi="宋体" w:cs="宋体" w:eastAsia="宋体" w:hint="default"/>
          <w:sz w:val="25"/>
          <w:szCs w:val="25"/>
        </w:rPr>
      </w:pPr>
    </w:p>
    <w:p>
      <w:pPr>
        <w:pStyle w:val="BodyText"/>
        <w:spacing w:line="312" w:lineRule="exact"/>
        <w:ind w:right="213"/>
        <w:jc w:val="left"/>
      </w:pPr>
      <w:r>
        <w:rPr/>
        <w:t>在数字通信与装备制造领域，公司专注于以通信、电子对抗、卫星定位、专用装备的制</w:t>
      </w:r>
      <w:r>
        <w:rPr>
          <w:spacing w:val="-47"/>
        </w:rPr>
        <w:t> </w:t>
      </w:r>
      <w:r>
        <w:rPr>
          <w:spacing w:val="-47"/>
        </w:rPr>
      </w:r>
      <w:r>
        <w:rPr/>
        <w:t>造等技术为核心的军民用数字通信装备制造产品及系统的开发和市场推广。</w:t>
      </w:r>
    </w:p>
    <w:p>
      <w:pPr>
        <w:spacing w:line="240" w:lineRule="auto" w:before="4"/>
        <w:rPr>
          <w:rFonts w:ascii="宋体" w:hAnsi="宋体" w:cs="宋体" w:eastAsia="宋体" w:hint="default"/>
          <w:sz w:val="24"/>
          <w:szCs w:val="24"/>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40"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b/>
                <w:sz w:val="21"/>
              </w:rPr>
              <w:t>2008</w:t>
            </w:r>
            <w:r>
              <w:rPr>
                <w:rFonts w:ascii="宋体"/>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2"/>
              <w:jc w:val="center"/>
              <w:rPr>
                <w:rFonts w:ascii="宋体" w:hAnsi="宋体" w:cs="宋体" w:eastAsia="宋体" w:hint="default"/>
                <w:sz w:val="21"/>
                <w:szCs w:val="21"/>
              </w:rPr>
            </w:pPr>
            <w:r>
              <w:rPr>
                <w:rFonts w:ascii="宋体"/>
                <w:b/>
                <w:sz w:val="21"/>
              </w:rPr>
              <w:t>2007</w:t>
            </w:r>
            <w:r>
              <w:rPr>
                <w:rFonts w:ascii="宋体"/>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64" w:lineRule="exact"/>
              <w:ind w:left="426" w:right="0"/>
              <w:jc w:val="left"/>
              <w:rPr>
                <w:rFonts w:ascii="宋体" w:hAnsi="宋体" w:cs="宋体" w:eastAsia="宋体" w:hint="default"/>
                <w:sz w:val="21"/>
                <w:szCs w:val="21"/>
              </w:rPr>
            </w:pPr>
            <w:r>
              <w:rPr>
                <w:rFonts w:ascii="宋体"/>
                <w:b/>
                <w:sz w:val="21"/>
              </w:rPr>
              <w:t>2006</w:t>
            </w:r>
            <w:r>
              <w:rPr>
                <w:rFonts w:ascii="宋体"/>
                <w:sz w:val="21"/>
              </w:rPr>
            </w:r>
          </w:p>
        </w:tc>
      </w:tr>
      <w:tr>
        <w:trPr>
          <w:trHeight w:val="332"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87,259.97</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80,892.65</w:t>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61" w:lineRule="exact"/>
              <w:ind w:right="91"/>
              <w:jc w:val="right"/>
              <w:rPr>
                <w:rFonts w:ascii="宋体" w:hAnsi="宋体" w:cs="宋体" w:eastAsia="宋体" w:hint="default"/>
                <w:sz w:val="21"/>
                <w:szCs w:val="21"/>
              </w:rPr>
            </w:pPr>
            <w:r>
              <w:rPr>
                <w:rFonts w:ascii="宋体"/>
                <w:spacing w:val="-1"/>
                <w:sz w:val="21"/>
              </w:rPr>
              <w:t>60,036.01</w:t>
            </w:r>
          </w:p>
        </w:tc>
      </w:tr>
      <w:tr>
        <w:trPr>
          <w:trHeight w:val="337"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22.55%</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20.43%</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61" w:lineRule="exact"/>
              <w:ind w:right="90"/>
              <w:jc w:val="right"/>
              <w:rPr>
                <w:rFonts w:ascii="宋体" w:hAnsi="宋体" w:cs="宋体" w:eastAsia="宋体" w:hint="default"/>
                <w:sz w:val="21"/>
                <w:szCs w:val="21"/>
              </w:rPr>
            </w:pPr>
            <w:r>
              <w:rPr>
                <w:rFonts w:ascii="宋体"/>
                <w:spacing w:val="-1"/>
                <w:sz w:val="21"/>
              </w:rPr>
              <w:t>24.60%</w:t>
            </w:r>
          </w:p>
        </w:tc>
      </w:tr>
    </w:tbl>
    <w:p>
      <w:pPr>
        <w:spacing w:line="240" w:lineRule="auto" w:before="11"/>
        <w:rPr>
          <w:rFonts w:ascii="宋体" w:hAnsi="宋体" w:cs="宋体" w:eastAsia="宋体" w:hint="default"/>
          <w:sz w:val="18"/>
          <w:szCs w:val="18"/>
        </w:rPr>
      </w:pPr>
    </w:p>
    <w:p>
      <w:pPr>
        <w:pStyle w:val="BodyText"/>
        <w:spacing w:line="237" w:lineRule="auto" w:before="28"/>
        <w:ind w:right="92"/>
        <w:jc w:val="left"/>
      </w:pPr>
      <w:r>
        <w:rPr/>
        <w:t>2008</w:t>
      </w:r>
      <w:r>
        <w:rPr>
          <w:spacing w:val="-55"/>
        </w:rPr>
        <w:t> </w:t>
      </w:r>
      <w:r>
        <w:rPr>
          <w:spacing w:val="-3"/>
        </w:rPr>
        <w:t>年，一方面，随着国内备战形势的变化，常规电子装备订货量大幅减少；另一方面，</w:t>
      </w:r>
      <w:r>
        <w:rPr/>
        <w:t> 根据党的十七大提出的富国强军，进行国防科技工业体制和武器装备采购体制调整改革</w:t>
      </w:r>
      <w:r>
        <w:rPr>
          <w:spacing w:val="-47"/>
        </w:rPr>
        <w:t> </w:t>
      </w:r>
      <w:r>
        <w:rPr>
          <w:spacing w:val="-47"/>
        </w:rPr>
      </w:r>
      <w:r>
        <w:rPr/>
        <w:t>方针，我国国防和军队现代化建设出现了新举措、新局面。为此，公司抓住市场机遇，</w:t>
      </w:r>
      <w:r>
        <w:rPr>
          <w:spacing w:val="-47"/>
        </w:rPr>
        <w:t> </w:t>
      </w:r>
      <w:r>
        <w:rPr>
          <w:spacing w:val="-47"/>
        </w:rPr>
      </w:r>
      <w:r>
        <w:rPr/>
        <w:t>调整发展思路和发展战略，持续培养和提升自主创新能力，加快产品的升级换代，在电</w:t>
      </w:r>
      <w:r>
        <w:rPr>
          <w:spacing w:val="-47"/>
        </w:rPr>
        <w:t> </w:t>
      </w:r>
      <w:r>
        <w:rPr>
          <w:spacing w:val="-47"/>
        </w:rPr>
      </w:r>
      <w:r>
        <w:rPr/>
        <w:t>子装备产品方面的核心技术提升取得突破性进展，实现了部分新装备的技术性能指标达</w:t>
      </w:r>
      <w:r>
        <w:rPr>
          <w:spacing w:val="-47"/>
        </w:rPr>
        <w:t> </w:t>
      </w:r>
      <w:r>
        <w:rPr>
          <w:spacing w:val="-47"/>
        </w:rPr>
      </w:r>
      <w:r>
        <w:rPr/>
        <w:t>到和超过国外同级装备的水平，同时注重产品的可靠性、稳定性，保证了产品的质量。</w:t>
      </w:r>
      <w:r>
        <w:rPr>
          <w:spacing w:val="-47"/>
        </w:rPr>
        <w:t> </w:t>
      </w:r>
      <w:r>
        <w:rPr>
          <w:spacing w:val="-47"/>
        </w:rPr>
      </w:r>
      <w:r>
        <w:rPr/>
        <w:t>报告期内，公司制定和实施以应用推动产业发展，以大行业用户带动产业规模的经营策</w:t>
      </w:r>
      <w:r>
        <w:rPr>
          <w:spacing w:val="-47"/>
        </w:rPr>
        <w:t> </w:t>
      </w:r>
      <w:r>
        <w:rPr>
          <w:spacing w:val="-47"/>
        </w:rPr>
      </w:r>
      <w:r>
        <w:rPr/>
        <w:t>略，成功实现了北斗卫星导航终端产品的推广和应用，还组织研制复杂电磁环境下军事</w:t>
      </w:r>
      <w:r>
        <w:rPr>
          <w:spacing w:val="-47"/>
        </w:rPr>
        <w:t> </w:t>
      </w:r>
      <w:r>
        <w:rPr>
          <w:spacing w:val="-47"/>
        </w:rPr>
      </w:r>
      <w:r>
        <w:rPr/>
        <w:t>训练装备，以及把握军队武器装备社会化保障的市场机遇，营造新的业务增长点。</w:t>
      </w:r>
    </w:p>
    <w:p>
      <w:pPr>
        <w:spacing w:line="240" w:lineRule="auto" w:before="7"/>
        <w:rPr>
          <w:rFonts w:ascii="宋体" w:hAnsi="宋体" w:cs="宋体" w:eastAsia="宋体" w:hint="default"/>
          <w:sz w:val="23"/>
          <w:szCs w:val="23"/>
        </w:rPr>
      </w:pPr>
    </w:p>
    <w:p>
      <w:pPr>
        <w:pStyle w:val="BodyText"/>
        <w:spacing w:line="240" w:lineRule="auto"/>
        <w:ind w:right="213"/>
        <w:jc w:val="left"/>
      </w:pPr>
      <w:r>
        <w:rPr/>
        <w:t>C.互联网应用与服务</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在互联网应用与服务领域，公司专注于学术期刊、报刊、学术论文、年鉴、图书等涉及</w:t>
      </w:r>
      <w:r>
        <w:rPr>
          <w:spacing w:val="-47"/>
        </w:rPr>
        <w:t> </w:t>
      </w:r>
      <w:r>
        <w:rPr>
          <w:spacing w:val="-47"/>
        </w:rPr>
      </w:r>
      <w:r>
        <w:rPr/>
        <w:t>知识传播的互联网出版和信息服务业务领域，致力于知识资源互联网传播与增值服务平</w:t>
      </w:r>
      <w:r>
        <w:rPr>
          <w:spacing w:val="-47"/>
        </w:rPr>
        <w:t> </w:t>
      </w:r>
      <w:r>
        <w:rPr>
          <w:spacing w:val="-47"/>
        </w:rPr>
      </w:r>
      <w:r>
        <w:rPr/>
        <w:t>台的打造，以及通过建设知识资源的深度开发利用平台为客户提供互联网服务。</w:t>
      </w:r>
    </w:p>
    <w:p>
      <w:pPr>
        <w:spacing w:line="240" w:lineRule="auto" w:before="8"/>
        <w:rPr>
          <w:rFonts w:ascii="宋体" w:hAnsi="宋体" w:cs="宋体" w:eastAsia="宋体" w:hint="default"/>
          <w:sz w:val="26"/>
          <w:szCs w:val="26"/>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37" w:hRule="exact"/>
        </w:trPr>
        <w:tc>
          <w:tcPr>
            <w:tcW w:w="2020" w:type="dxa"/>
            <w:tcBorders>
              <w:top w:val="single" w:sz="12" w:space="0" w:color="000000"/>
              <w:left w:val="single" w:sz="12" w:space="0" w:color="000000"/>
              <w:bottom w:val="single" w:sz="6" w:space="0" w:color="000000"/>
              <w:right w:val="single" w:sz="6"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6" w:space="0" w:color="000000"/>
              <w:bottom w:val="single" w:sz="6" w:space="0" w:color="000000"/>
              <w:right w:val="single" w:sz="6" w:space="0" w:color="000000"/>
            </w:tcBorders>
          </w:tcPr>
          <w:p>
            <w:pPr>
              <w:pStyle w:val="TableParagraph"/>
              <w:spacing w:line="264" w:lineRule="exact"/>
              <w:ind w:right="0"/>
              <w:jc w:val="center"/>
              <w:rPr>
                <w:rFonts w:ascii="宋体" w:hAnsi="宋体" w:cs="宋体" w:eastAsia="宋体" w:hint="default"/>
                <w:sz w:val="21"/>
                <w:szCs w:val="21"/>
              </w:rPr>
            </w:pPr>
            <w:r>
              <w:rPr>
                <w:rFonts w:ascii="宋体"/>
                <w:b/>
                <w:sz w:val="21"/>
              </w:rPr>
              <w:t>2008</w:t>
            </w:r>
            <w:r>
              <w:rPr>
                <w:rFonts w:ascii="宋体"/>
                <w:sz w:val="21"/>
              </w:rPr>
            </w:r>
          </w:p>
        </w:tc>
        <w:tc>
          <w:tcPr>
            <w:tcW w:w="1481" w:type="dxa"/>
            <w:tcBorders>
              <w:top w:val="single" w:sz="12" w:space="0" w:color="000000"/>
              <w:left w:val="single" w:sz="6" w:space="0" w:color="000000"/>
              <w:bottom w:val="single" w:sz="6" w:space="0" w:color="000000"/>
              <w:right w:val="single" w:sz="6" w:space="0" w:color="000000"/>
            </w:tcBorders>
          </w:tcPr>
          <w:p>
            <w:pPr>
              <w:pStyle w:val="TableParagraph"/>
              <w:spacing w:line="264" w:lineRule="exact"/>
              <w:ind w:right="2"/>
              <w:jc w:val="center"/>
              <w:rPr>
                <w:rFonts w:ascii="宋体" w:hAnsi="宋体" w:cs="宋体" w:eastAsia="宋体" w:hint="default"/>
                <w:sz w:val="21"/>
                <w:szCs w:val="21"/>
              </w:rPr>
            </w:pPr>
            <w:r>
              <w:rPr>
                <w:rFonts w:ascii="宋体"/>
                <w:b/>
                <w:sz w:val="21"/>
              </w:rPr>
              <w:t>2007</w:t>
            </w:r>
            <w:r>
              <w:rPr>
                <w:rFonts w:ascii="宋体"/>
                <w:sz w:val="21"/>
              </w:rPr>
            </w:r>
          </w:p>
        </w:tc>
        <w:tc>
          <w:tcPr>
            <w:tcW w:w="1299" w:type="dxa"/>
            <w:tcBorders>
              <w:top w:val="single" w:sz="12" w:space="0" w:color="000000"/>
              <w:left w:val="single" w:sz="6" w:space="0" w:color="000000"/>
              <w:bottom w:val="single" w:sz="6" w:space="0" w:color="000000"/>
              <w:right w:val="single" w:sz="12" w:space="0" w:color="000000"/>
            </w:tcBorders>
          </w:tcPr>
          <w:p>
            <w:pPr>
              <w:pStyle w:val="TableParagraph"/>
              <w:spacing w:line="264" w:lineRule="exact"/>
              <w:ind w:left="429" w:right="0"/>
              <w:jc w:val="left"/>
              <w:rPr>
                <w:rFonts w:ascii="宋体" w:hAnsi="宋体" w:cs="宋体" w:eastAsia="宋体" w:hint="default"/>
                <w:sz w:val="21"/>
                <w:szCs w:val="21"/>
              </w:rPr>
            </w:pPr>
            <w:r>
              <w:rPr>
                <w:rFonts w:ascii="宋体"/>
                <w:b/>
                <w:sz w:val="21"/>
              </w:rPr>
              <w:t>2006</w:t>
            </w:r>
            <w:r>
              <w:rPr>
                <w:rFonts w:ascii="宋体"/>
                <w:sz w:val="21"/>
              </w:rPr>
            </w:r>
          </w:p>
        </w:tc>
      </w:tr>
      <w:tr>
        <w:trPr>
          <w:trHeight w:val="328" w:hRule="exact"/>
        </w:trPr>
        <w:tc>
          <w:tcPr>
            <w:tcW w:w="202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39,075.01</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32,590.19</w:t>
            </w:r>
          </w:p>
        </w:tc>
        <w:tc>
          <w:tcPr>
            <w:tcW w:w="1299"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right="91"/>
              <w:jc w:val="right"/>
              <w:rPr>
                <w:rFonts w:ascii="宋体" w:hAnsi="宋体" w:cs="宋体" w:eastAsia="宋体" w:hint="default"/>
                <w:sz w:val="21"/>
                <w:szCs w:val="21"/>
              </w:rPr>
            </w:pPr>
            <w:r>
              <w:rPr>
                <w:rFonts w:ascii="宋体"/>
                <w:spacing w:val="-1"/>
                <w:sz w:val="21"/>
              </w:rPr>
              <w:t>27,439.87</w:t>
            </w:r>
          </w:p>
        </w:tc>
      </w:tr>
      <w:tr>
        <w:trPr>
          <w:trHeight w:val="334" w:hRule="exact"/>
        </w:trPr>
        <w:tc>
          <w:tcPr>
            <w:tcW w:w="202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62.74%</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54.89%</w:t>
            </w:r>
          </w:p>
        </w:tc>
        <w:tc>
          <w:tcPr>
            <w:tcW w:w="1299" w:type="dxa"/>
            <w:tcBorders>
              <w:top w:val="single" w:sz="6" w:space="0" w:color="000000"/>
              <w:left w:val="single" w:sz="6" w:space="0" w:color="000000"/>
              <w:bottom w:val="single" w:sz="12" w:space="0" w:color="000000"/>
              <w:right w:val="single" w:sz="12" w:space="0" w:color="000000"/>
            </w:tcBorders>
          </w:tcPr>
          <w:p>
            <w:pPr>
              <w:pStyle w:val="TableParagraph"/>
              <w:spacing w:line="261" w:lineRule="exact"/>
              <w:ind w:right="90"/>
              <w:jc w:val="right"/>
              <w:rPr>
                <w:rFonts w:ascii="宋体" w:hAnsi="宋体" w:cs="宋体" w:eastAsia="宋体" w:hint="default"/>
                <w:sz w:val="21"/>
                <w:szCs w:val="21"/>
              </w:rPr>
            </w:pPr>
            <w:r>
              <w:rPr>
                <w:rFonts w:ascii="宋体"/>
                <w:spacing w:val="-1"/>
                <w:sz w:val="21"/>
              </w:rPr>
              <w:t>48.51%</w:t>
            </w:r>
          </w:p>
        </w:tc>
      </w:tr>
    </w:tbl>
    <w:p>
      <w:pPr>
        <w:spacing w:line="240" w:lineRule="auto" w:before="10"/>
        <w:rPr>
          <w:rFonts w:ascii="宋体" w:hAnsi="宋体" w:cs="宋体" w:eastAsia="宋体" w:hint="default"/>
          <w:sz w:val="18"/>
          <w:szCs w:val="18"/>
        </w:rPr>
      </w:pPr>
    </w:p>
    <w:p>
      <w:pPr>
        <w:pStyle w:val="BodyText"/>
        <w:spacing w:line="237" w:lineRule="auto" w:before="28"/>
        <w:ind w:right="185"/>
        <w:jc w:val="both"/>
      </w:pPr>
      <w:r>
        <w:rPr/>
        <w:t>在互联网出版和信息服务业务领域，随着信息社会和知识经济的快速发展，数字出版技</w:t>
      </w:r>
      <w:r>
        <w:rPr>
          <w:spacing w:val="-47"/>
        </w:rPr>
        <w:t> </w:t>
      </w:r>
      <w:r>
        <w:rPr>
          <w:spacing w:val="-47"/>
        </w:rPr>
      </w:r>
      <w:r>
        <w:rPr/>
        <w:t>术和互联网应用水平持续提高，国民阅读习惯和阅读环境逐步变化，我国的数字出版产</w:t>
      </w:r>
      <w:r>
        <w:rPr>
          <w:spacing w:val="-47"/>
        </w:rPr>
        <w:t> </w:t>
      </w:r>
      <w:r>
        <w:rPr>
          <w:spacing w:val="-47"/>
        </w:rPr>
      </w:r>
      <w:r>
        <w:rPr/>
        <w:t>业进入一个高速发展期。根据中国出版科学研究所《2007－2008</w:t>
      </w:r>
      <w:r>
        <w:rPr>
          <w:spacing w:val="-40"/>
        </w:rPr>
        <w:t> </w:t>
      </w:r>
      <w:r>
        <w:rPr/>
        <w:t>中国数字出版产业年度</w:t>
      </w:r>
      <w:r>
        <w:rPr/>
        <w:t> 报告》的统计，2007</w:t>
      </w:r>
      <w:r>
        <w:rPr>
          <w:spacing w:val="-60"/>
        </w:rPr>
        <w:t> </w:t>
      </w:r>
      <w:r>
        <w:rPr/>
        <w:t>年我国数字出版产业整体收入超过</w:t>
      </w:r>
      <w:r>
        <w:rPr>
          <w:spacing w:val="-60"/>
        </w:rPr>
        <w:t> </w:t>
      </w:r>
      <w:r>
        <w:rPr/>
        <w:t>360</w:t>
      </w:r>
      <w:r>
        <w:rPr>
          <w:spacing w:val="-60"/>
        </w:rPr>
        <w:t> </w:t>
      </w:r>
      <w:r>
        <w:rPr/>
        <w:t>亿元，同比增长了</w:t>
      </w:r>
      <w:r>
        <w:rPr>
          <w:spacing w:val="-60"/>
        </w:rPr>
        <w:t> </w:t>
      </w:r>
      <w:r>
        <w:rPr/>
        <w:t>70.15%。</w:t>
      </w:r>
      <w:r>
        <w:rPr/>
        <w:t> 到 2008 </w:t>
      </w:r>
      <w:r>
        <w:rPr>
          <w:spacing w:val="6"/>
        </w:rPr>
        <w:t>年底，我国数字出版产业的整体收入规模将达到 </w:t>
      </w:r>
      <w:r>
        <w:rPr/>
        <w:t>530 </w:t>
      </w:r>
      <w:r>
        <w:rPr>
          <w:spacing w:val="5"/>
        </w:rPr>
        <w:t>亿元，比 </w:t>
      </w:r>
      <w:r>
        <w:rPr/>
        <w:t>2006</w:t>
      </w:r>
      <w:r>
        <w:rPr>
          <w:spacing w:val="30"/>
        </w:rPr>
        <w:t> </w:t>
      </w:r>
      <w:r>
        <w:rPr>
          <w:spacing w:val="4"/>
        </w:rPr>
        <w:t>年增长</w:t>
      </w:r>
      <w:r>
        <w:rPr/>
        <w:t> 149.13%，比</w:t>
      </w:r>
      <w:r>
        <w:rPr>
          <w:spacing w:val="-58"/>
        </w:rPr>
        <w:t> </w:t>
      </w:r>
      <w:r>
        <w:rPr/>
        <w:t>2007</w:t>
      </w:r>
      <w:r>
        <w:rPr>
          <w:spacing w:val="-58"/>
        </w:rPr>
        <w:t> </w:t>
      </w:r>
      <w:r>
        <w:rPr/>
        <w:t>年增长</w:t>
      </w:r>
      <w:r>
        <w:rPr>
          <w:spacing w:val="-58"/>
        </w:rPr>
        <w:t> </w:t>
      </w:r>
      <w:r>
        <w:rPr/>
        <w:t>46.42%。为此，公司加快了</w:t>
      </w:r>
      <w:r>
        <w:rPr>
          <w:spacing w:val="-58"/>
        </w:rPr>
        <w:t> </w:t>
      </w:r>
      <w:r>
        <w:rPr/>
        <w:t>CNKI</w:t>
      </w:r>
      <w:r>
        <w:rPr>
          <w:spacing w:val="-57"/>
        </w:rPr>
        <w:t> </w:t>
      </w:r>
      <w:r>
        <w:rPr/>
        <w:t>平台建设，通过</w:t>
      </w:r>
      <w:r>
        <w:rPr>
          <w:spacing w:val="-57"/>
        </w:rPr>
        <w:t> </w:t>
      </w:r>
      <w:r>
        <w:rPr/>
        <w:t>CNKI</w:t>
      </w:r>
      <w:r>
        <w:rPr>
          <w:spacing w:val="-57"/>
        </w:rPr>
        <w:t> </w:t>
      </w:r>
      <w:r>
        <w:rPr/>
        <w:t>平台建</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t>设带动市场、资源、编辑、生产、研发等各项工作，并通过采取数字出版超市模式下的</w:t>
      </w:r>
      <w:r>
        <w:rPr>
          <w:spacing w:val="-47"/>
        </w:rPr>
        <w:t> </w:t>
      </w:r>
      <w:r>
        <w:rPr>
          <w:spacing w:val="-47"/>
        </w:rPr>
      </w:r>
      <w:r>
        <w:rPr/>
        <w:t>著作权使用授权合作新机制，与 650</w:t>
      </w:r>
      <w:r>
        <w:rPr>
          <w:spacing w:val="-40"/>
        </w:rPr>
        <w:t> </w:t>
      </w:r>
      <w:r>
        <w:rPr/>
        <w:t>多个综合及主要学科的带头学术期刊、重要核心期</w:t>
      </w:r>
      <w:r>
        <w:rPr/>
        <w:t> </w:t>
      </w:r>
      <w:r>
        <w:rPr>
          <w:spacing w:val="-2"/>
        </w:rPr>
        <w:t>刊建立了长期战略联盟，有力的稳定了《中国学术期刊网络出版总库》的资源集成框架，</w:t>
      </w:r>
      <w:r>
        <w:rPr>
          <w:spacing w:val="-84"/>
        </w:rPr>
        <w:t> </w:t>
      </w:r>
      <w:r>
        <w:rPr>
          <w:spacing w:val="-84"/>
        </w:rPr>
      </w:r>
      <w:r>
        <w:rPr/>
        <w:t>提成了核心资源凝聚力和市场竞争力。目前，公司已经建成了文献总量达到</w:t>
      </w:r>
      <w:r>
        <w:rPr>
          <w:spacing w:val="-70"/>
        </w:rPr>
        <w:t> </w:t>
      </w:r>
      <w:r>
        <w:rPr/>
        <w:t>4905</w:t>
      </w:r>
      <w:r>
        <w:rPr>
          <w:spacing w:val="-70"/>
        </w:rPr>
        <w:t> </w:t>
      </w:r>
      <w:r>
        <w:rPr/>
        <w:t>万篇的</w:t>
      </w:r>
      <w:r>
        <w:rPr/>
        <w:t> 学术文献总库，并包括了学术期刊、博士学位论文、优秀硕士学位论文、工具书、</w:t>
      </w:r>
      <w:r>
        <w:rPr>
          <w:spacing w:val="-24"/>
        </w:rPr>
        <w:t> </w:t>
      </w:r>
      <w:r>
        <w:rPr/>
        <w:t>重要</w:t>
      </w:r>
      <w:r>
        <w:rPr/>
        <w:t> </w:t>
      </w:r>
      <w:r>
        <w:rPr>
          <w:spacing w:val="-2"/>
        </w:rPr>
        <w:t>会议论文、年鉴、专著、报纸、专利、标准、科技成果、知识元、哈佛商业评论数据库、</w:t>
      </w:r>
      <w:r>
        <w:rPr>
          <w:spacing w:val="-82"/>
        </w:rPr>
        <w:t> </w:t>
      </w:r>
      <w:r>
        <w:rPr>
          <w:spacing w:val="-82"/>
        </w:rPr>
      </w:r>
      <w:r>
        <w:rPr>
          <w:spacing w:val="-3"/>
        </w:rPr>
        <w:t>古籍等多种文献类型，还实现了与德国 </w:t>
      </w:r>
      <w:r>
        <w:rPr/>
        <w:t>Springer</w:t>
      </w:r>
      <w:r>
        <w:rPr>
          <w:spacing w:val="-56"/>
        </w:rPr>
        <w:t> </w:t>
      </w:r>
      <w:r>
        <w:rPr>
          <w:spacing w:val="-3"/>
        </w:rPr>
        <w:t>公司的合作，实现在其电子出版物发布</w:t>
      </w:r>
      <w:r>
        <w:rPr/>
        <w:t> 平台上的期刊库等外文资源统一检索。本年度，公司进一步优化产品结构，调整和转变</w:t>
      </w:r>
      <w:r>
        <w:rPr>
          <w:spacing w:val="-47"/>
        </w:rPr>
        <w:t> </w:t>
      </w:r>
      <w:r>
        <w:rPr>
          <w:spacing w:val="-47"/>
        </w:rPr>
      </w:r>
      <w:r>
        <w:rPr/>
        <w:t>增长模式和经营模式，为用户提供知识管理与知识服务的个性化服务产品，发布了一系</w:t>
      </w:r>
      <w:r>
        <w:rPr>
          <w:spacing w:val="-47"/>
        </w:rPr>
        <w:t> </w:t>
      </w:r>
      <w:r>
        <w:rPr>
          <w:spacing w:val="-47"/>
        </w:rPr>
      </w:r>
      <w:r>
        <w:rPr>
          <w:spacing w:val="-11"/>
        </w:rPr>
        <w:t>列具备个性化增值服务的“研究型个人数字图书馆”与“机构图书馆”。本报告期内，《中</w:t>
      </w:r>
      <w:r>
        <w:rPr>
          <w:spacing w:val="-85"/>
        </w:rPr>
        <w:t> </w:t>
      </w:r>
      <w:r>
        <w:rPr>
          <w:spacing w:val="-85"/>
        </w:rPr>
      </w:r>
      <w:r>
        <w:rPr/>
        <w:t>国学术期刊网络出版总库》还获得了首届中国出版政府奖——网络出版物奖，成为大型</w:t>
      </w:r>
      <w:r>
        <w:rPr>
          <w:spacing w:val="-47"/>
        </w:rPr>
        <w:t> </w:t>
      </w:r>
      <w:r>
        <w:rPr>
          <w:spacing w:val="-47"/>
        </w:rPr>
      </w:r>
      <w:r>
        <w:rPr/>
        <w:t>学术文献数据库中唯一获奖的产品。</w:t>
      </w:r>
    </w:p>
    <w:p>
      <w:pPr>
        <w:spacing w:line="240" w:lineRule="auto" w:before="7"/>
        <w:rPr>
          <w:rFonts w:ascii="宋体" w:hAnsi="宋体" w:cs="宋体" w:eastAsia="宋体" w:hint="default"/>
          <w:sz w:val="23"/>
          <w:szCs w:val="23"/>
        </w:rPr>
      </w:pPr>
    </w:p>
    <w:p>
      <w:pPr>
        <w:pStyle w:val="BodyText"/>
        <w:spacing w:line="240" w:lineRule="auto"/>
        <w:ind w:right="0"/>
        <w:jc w:val="both"/>
      </w:pPr>
      <w:r>
        <w:rPr/>
        <w:t>(2)能源环境产业</w:t>
      </w:r>
    </w:p>
    <w:p>
      <w:pPr>
        <w:spacing w:line="240" w:lineRule="auto" w:before="11"/>
        <w:rPr>
          <w:rFonts w:ascii="宋体" w:hAnsi="宋体" w:cs="宋体" w:eastAsia="宋体" w:hint="default"/>
          <w:sz w:val="23"/>
          <w:szCs w:val="23"/>
        </w:rPr>
      </w:pPr>
    </w:p>
    <w:p>
      <w:pPr>
        <w:pStyle w:val="BodyText"/>
        <w:spacing w:line="237" w:lineRule="auto"/>
        <w:ind w:right="90"/>
        <w:jc w:val="left"/>
      </w:pPr>
      <w:r>
        <w:rPr/>
        <w:t>2008</w:t>
      </w:r>
      <w:r>
        <w:rPr>
          <w:spacing w:val="-40"/>
        </w:rPr>
        <w:t> </w:t>
      </w:r>
      <w:r>
        <w:rPr/>
        <w:t>年是我国能源环境产业大力发展的一年。这一年，我国环境保护部正式设立作为国</w:t>
      </w:r>
      <w:r>
        <w:rPr/>
        <w:t> 务院组成机构，环境问题将纳入国务院的重大决策中；2008</w:t>
      </w:r>
      <w:r>
        <w:rPr>
          <w:spacing w:val="-40"/>
        </w:rPr>
        <w:t> </w:t>
      </w:r>
      <w:r>
        <w:rPr/>
        <w:t>年北京奥运成功举办，北京</w:t>
      </w:r>
      <w:r>
        <w:rPr/>
        <w:t> 共实施了 358</w:t>
      </w:r>
      <w:r>
        <w:rPr>
          <w:spacing w:val="-40"/>
        </w:rPr>
        <w:t> </w:t>
      </w:r>
      <w:r>
        <w:rPr/>
        <w:t>个环保建设方面的项目，不但实现了“绿色奥运”的承诺，更为我国环保</w:t>
      </w:r>
      <w:r>
        <w:rPr/>
        <w:t> 产业的发展起到了积极的示范作用；8</w:t>
      </w:r>
      <w:r>
        <w:rPr>
          <w:spacing w:val="-68"/>
        </w:rPr>
        <w:t> </w:t>
      </w:r>
      <w:r>
        <w:rPr/>
        <w:t>月</w:t>
      </w:r>
      <w:r>
        <w:rPr>
          <w:spacing w:val="-68"/>
        </w:rPr>
        <w:t> </w:t>
      </w:r>
      <w:r>
        <w:rPr/>
        <w:t>29</w:t>
      </w:r>
      <w:r>
        <w:rPr>
          <w:spacing w:val="-68"/>
        </w:rPr>
        <w:t> </w:t>
      </w:r>
      <w:r>
        <w:rPr>
          <w:spacing w:val="-4"/>
        </w:rPr>
        <w:t>日，我国《循环经济促进法》通过人大审议，</w:t>
      </w:r>
      <w:r>
        <w:rPr/>
        <w:t> 从法律层面推动了能源环境产业的发展；而根据中央安排的</w:t>
      </w:r>
      <w:r>
        <w:rPr>
          <w:spacing w:val="-53"/>
        </w:rPr>
        <w:t> </w:t>
      </w:r>
      <w:r>
        <w:rPr/>
        <w:t>4</w:t>
      </w:r>
      <w:r>
        <w:rPr>
          <w:spacing w:val="-53"/>
        </w:rPr>
        <w:t> </w:t>
      </w:r>
      <w:r>
        <w:rPr/>
        <w:t>万亿投资计划，将有</w:t>
      </w:r>
      <w:r>
        <w:rPr>
          <w:spacing w:val="-53"/>
        </w:rPr>
        <w:t> </w:t>
      </w:r>
      <w:r>
        <w:rPr/>
        <w:t>3500</w:t>
      </w:r>
    </w:p>
    <w:p>
      <w:pPr>
        <w:pStyle w:val="BodyText"/>
        <w:spacing w:line="237" w:lineRule="auto"/>
        <w:ind w:right="220"/>
        <w:jc w:val="both"/>
      </w:pPr>
      <w:r>
        <w:rPr/>
        <w:t>亿元用于生态环境建设，其中</w:t>
      </w:r>
      <w:r>
        <w:rPr>
          <w:spacing w:val="-40"/>
        </w:rPr>
        <w:t> </w:t>
      </w:r>
      <w:r>
        <w:rPr/>
        <w:t>2008</w:t>
      </w:r>
      <w:r>
        <w:rPr>
          <w:spacing w:val="-40"/>
        </w:rPr>
        <w:t> </w:t>
      </w:r>
      <w:r>
        <w:rPr/>
        <w:t>年四季度将安排</w:t>
      </w:r>
      <w:r>
        <w:rPr>
          <w:spacing w:val="-40"/>
        </w:rPr>
        <w:t> </w:t>
      </w:r>
      <w:r>
        <w:rPr/>
        <w:t>25</w:t>
      </w:r>
      <w:r>
        <w:rPr>
          <w:spacing w:val="-40"/>
        </w:rPr>
        <w:t> </w:t>
      </w:r>
      <w:r>
        <w:rPr/>
        <w:t>亿元用于投资重点节能工程、支</w:t>
      </w:r>
      <w:r>
        <w:rPr/>
        <w:t> 持资源节约循环利用重点项目和重点流域工业污染治理项目。这都极大的带动了能源环</w:t>
      </w:r>
      <w:r>
        <w:rPr>
          <w:spacing w:val="-47"/>
        </w:rPr>
        <w:t> </w:t>
      </w:r>
      <w:r>
        <w:rPr>
          <w:spacing w:val="-47"/>
        </w:rPr>
      </w:r>
      <w:r>
        <w:rPr/>
        <w:t>境市场的增长，也为公司能源环境产业发展提供了极好的发展机遇。</w:t>
      </w:r>
    </w:p>
    <w:p>
      <w:pPr>
        <w:spacing w:line="240" w:lineRule="auto" w:before="11"/>
        <w:rPr>
          <w:rFonts w:ascii="宋体" w:hAnsi="宋体" w:cs="宋体" w:eastAsia="宋体" w:hint="default"/>
          <w:sz w:val="23"/>
          <w:szCs w:val="23"/>
        </w:rPr>
      </w:pPr>
    </w:p>
    <w:p>
      <w:pPr>
        <w:pStyle w:val="BodyText"/>
        <w:spacing w:line="237" w:lineRule="auto"/>
        <w:ind w:right="103"/>
        <w:jc w:val="both"/>
      </w:pPr>
      <w:r>
        <w:rPr/>
        <w:t>2008</w:t>
      </w:r>
      <w:r>
        <w:rPr>
          <w:spacing w:val="-40"/>
        </w:rPr>
        <w:t> </w:t>
      </w:r>
      <w:r>
        <w:rPr/>
        <w:t>年，公司继续紧紧围绕“节能、节水、环保”的发展理念，不断加强内部管理，整</w:t>
      </w:r>
      <w:r>
        <w:rPr/>
        <w:t> 合业务结构，创新经营模式，在不断发展壮大的同时孵化新兴产业，积极寻找新的利润</w:t>
      </w:r>
      <w:r>
        <w:rPr>
          <w:spacing w:val="-47"/>
        </w:rPr>
        <w:t> </w:t>
      </w:r>
      <w:r>
        <w:rPr>
          <w:spacing w:val="-47"/>
        </w:rPr>
      </w:r>
      <w:r>
        <w:rPr/>
        <w:t>增长点，开发资源综合利用渠道，打造绿色循环的经济产业链，致力于用国际一流的环</w:t>
      </w:r>
      <w:r>
        <w:rPr>
          <w:spacing w:val="-47"/>
        </w:rPr>
        <w:t> </w:t>
      </w:r>
      <w:r>
        <w:rPr>
          <w:spacing w:val="-47"/>
        </w:rPr>
      </w:r>
      <w:r>
        <w:rPr>
          <w:spacing w:val="-2"/>
        </w:rPr>
        <w:t>保技术解决危害人民群众健康和影响可持续发展的突出环境问题，实现人与自然的和谐。</w:t>
      </w:r>
      <w:r>
        <w:rPr/>
      </w:r>
    </w:p>
    <w:p>
      <w:pPr>
        <w:spacing w:line="240" w:lineRule="auto" w:before="11"/>
        <w:rPr>
          <w:rFonts w:ascii="宋体" w:hAnsi="宋体" w:cs="宋体" w:eastAsia="宋体" w:hint="default"/>
          <w:sz w:val="25"/>
          <w:szCs w:val="25"/>
        </w:rPr>
      </w:pPr>
    </w:p>
    <w:p>
      <w:pPr>
        <w:pStyle w:val="BodyText"/>
        <w:spacing w:line="312" w:lineRule="exact"/>
        <w:ind w:right="207"/>
        <w:jc w:val="left"/>
      </w:pPr>
      <w:r>
        <w:rPr/>
        <w:t>本年度内，公司在能源环境产业实现销售收入 26.38</w:t>
      </w:r>
      <w:r>
        <w:rPr>
          <w:spacing w:val="-41"/>
        </w:rPr>
        <w:t> </w:t>
      </w:r>
      <w:r>
        <w:rPr/>
        <w:t>亿元，主要产品和业务的经营情况</w:t>
      </w:r>
      <w:r>
        <w:rPr/>
        <w:t> 是：</w:t>
      </w:r>
    </w:p>
    <w:p>
      <w:pPr>
        <w:spacing w:line="240" w:lineRule="auto" w:before="5"/>
        <w:rPr>
          <w:rFonts w:ascii="宋体" w:hAnsi="宋体" w:cs="宋体" w:eastAsia="宋体" w:hint="default"/>
          <w:sz w:val="21"/>
          <w:szCs w:val="21"/>
        </w:rPr>
      </w:pPr>
    </w:p>
    <w:p>
      <w:pPr>
        <w:pStyle w:val="BodyText"/>
        <w:spacing w:line="240" w:lineRule="auto"/>
        <w:ind w:right="0"/>
        <w:jc w:val="both"/>
      </w:pPr>
      <w:r>
        <w:rPr/>
        <w:t>①环保领域</w:t>
      </w:r>
    </w:p>
    <w:p>
      <w:pPr>
        <w:spacing w:line="240" w:lineRule="auto" w:before="9"/>
        <w:rPr>
          <w:rFonts w:ascii="宋体" w:hAnsi="宋体" w:cs="宋体" w:eastAsia="宋体" w:hint="default"/>
          <w:sz w:val="23"/>
          <w:szCs w:val="23"/>
        </w:rPr>
      </w:pPr>
    </w:p>
    <w:p>
      <w:pPr>
        <w:pStyle w:val="BodyText"/>
        <w:spacing w:line="237" w:lineRule="auto"/>
        <w:ind w:right="220"/>
        <w:jc w:val="both"/>
      </w:pPr>
      <w:r>
        <w:rPr/>
        <w:t>本年度，公司下属子公司同方环境股份有限公司完成了股份制改造，同时为促进该公司</w:t>
      </w:r>
      <w:r>
        <w:rPr>
          <w:spacing w:val="-47"/>
        </w:rPr>
        <w:t> </w:t>
      </w:r>
      <w:r>
        <w:rPr>
          <w:spacing w:val="-47"/>
        </w:rPr>
      </w:r>
      <w:r>
        <w:rPr/>
        <w:t>进一步壮大发展，并考虑其未来发展规划，公司经与同方环境其他股东协商调整了该公</w:t>
      </w:r>
      <w:r>
        <w:rPr>
          <w:spacing w:val="-47"/>
        </w:rPr>
        <w:t> </w:t>
      </w:r>
      <w:r>
        <w:rPr>
          <w:spacing w:val="-47"/>
        </w:rPr>
      </w:r>
      <w:r>
        <w:rPr/>
        <w:t>司董事会成员，不再将同方环境纳入合并范围之内。公司在环保领域继续致力于污水处</w:t>
      </w:r>
      <w:r>
        <w:rPr>
          <w:spacing w:val="-47"/>
        </w:rPr>
        <w:t> </w:t>
      </w:r>
      <w:r>
        <w:rPr>
          <w:spacing w:val="-47"/>
        </w:rPr>
      </w:r>
      <w:r>
        <w:rPr/>
        <w:t>理、水厂运营等专业应用领域，致力于自主技术成果的产业化，专注于相关重大工程项</w:t>
      </w:r>
      <w:r>
        <w:rPr>
          <w:spacing w:val="-47"/>
        </w:rPr>
        <w:t> </w:t>
      </w:r>
      <w:r>
        <w:rPr>
          <w:spacing w:val="-47"/>
        </w:rPr>
      </w:r>
      <w:r>
        <w:rPr/>
        <w:t>目的设计和系统集成建设，同时提供相关配套服务。</w:t>
      </w:r>
    </w:p>
    <w:p>
      <w:pPr>
        <w:spacing w:line="240" w:lineRule="auto" w:before="8"/>
        <w:rPr>
          <w:rFonts w:ascii="宋体" w:hAnsi="宋体" w:cs="宋体" w:eastAsia="宋体" w:hint="default"/>
          <w:sz w:val="26"/>
          <w:szCs w:val="26"/>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37" w:hRule="exact"/>
        </w:trPr>
        <w:tc>
          <w:tcPr>
            <w:tcW w:w="2020" w:type="dxa"/>
            <w:tcBorders>
              <w:top w:val="single" w:sz="12"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b/>
                <w:sz w:val="21"/>
              </w:rPr>
              <w:t>2008</w:t>
            </w:r>
            <w:r>
              <w:rPr>
                <w:rFonts w:ascii="宋体"/>
                <w:sz w:val="21"/>
              </w:rPr>
            </w:r>
          </w:p>
        </w:tc>
        <w:tc>
          <w:tcPr>
            <w:tcW w:w="1481"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b/>
                <w:sz w:val="21"/>
              </w:rPr>
              <w:t>2007</w:t>
            </w:r>
            <w:r>
              <w:rPr>
                <w:rFonts w:ascii="宋体"/>
                <w:sz w:val="21"/>
              </w:rPr>
            </w:r>
          </w:p>
        </w:tc>
        <w:tc>
          <w:tcPr>
            <w:tcW w:w="1299" w:type="dxa"/>
            <w:tcBorders>
              <w:top w:val="single" w:sz="12" w:space="0" w:color="000000"/>
              <w:left w:val="single" w:sz="6" w:space="0" w:color="000000"/>
              <w:bottom w:val="single" w:sz="6" w:space="0" w:color="000000"/>
              <w:right w:val="single" w:sz="12" w:space="0" w:color="000000"/>
            </w:tcBorders>
          </w:tcPr>
          <w:p>
            <w:pPr>
              <w:pStyle w:val="TableParagraph"/>
              <w:spacing w:line="262" w:lineRule="exact"/>
              <w:ind w:left="429" w:right="0"/>
              <w:jc w:val="left"/>
              <w:rPr>
                <w:rFonts w:ascii="宋体" w:hAnsi="宋体" w:cs="宋体" w:eastAsia="宋体" w:hint="default"/>
                <w:sz w:val="21"/>
                <w:szCs w:val="21"/>
              </w:rPr>
            </w:pPr>
            <w:r>
              <w:rPr>
                <w:rFonts w:ascii="宋体"/>
                <w:b/>
                <w:sz w:val="21"/>
              </w:rPr>
              <w:t>2006</w:t>
            </w:r>
            <w:r>
              <w:rPr>
                <w:rFonts w:ascii="宋体"/>
                <w:sz w:val="21"/>
              </w:rPr>
            </w:r>
          </w:p>
        </w:tc>
      </w:tr>
      <w:tr>
        <w:trPr>
          <w:trHeight w:val="326" w:hRule="exact"/>
        </w:trPr>
        <w:tc>
          <w:tcPr>
            <w:tcW w:w="202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23,006.52</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18,884.14</w:t>
            </w:r>
          </w:p>
        </w:tc>
        <w:tc>
          <w:tcPr>
            <w:tcW w:w="1299"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right="91"/>
              <w:jc w:val="right"/>
              <w:rPr>
                <w:rFonts w:ascii="宋体" w:hAnsi="宋体" w:cs="宋体" w:eastAsia="宋体" w:hint="default"/>
                <w:sz w:val="21"/>
                <w:szCs w:val="21"/>
              </w:rPr>
            </w:pPr>
            <w:r>
              <w:rPr>
                <w:rFonts w:ascii="宋体"/>
                <w:spacing w:val="-1"/>
                <w:sz w:val="21"/>
              </w:rPr>
              <w:t>36,382.55</w:t>
            </w:r>
          </w:p>
        </w:tc>
      </w:tr>
      <w:tr>
        <w:trPr>
          <w:trHeight w:val="335" w:hRule="exact"/>
        </w:trPr>
        <w:tc>
          <w:tcPr>
            <w:tcW w:w="202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17.80%</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14.74%</w:t>
            </w:r>
          </w:p>
        </w:tc>
        <w:tc>
          <w:tcPr>
            <w:tcW w:w="1299" w:type="dxa"/>
            <w:tcBorders>
              <w:top w:val="single" w:sz="6" w:space="0" w:color="000000"/>
              <w:left w:val="single" w:sz="6" w:space="0" w:color="000000"/>
              <w:bottom w:val="single" w:sz="12" w:space="0" w:color="000000"/>
              <w:right w:val="single" w:sz="12" w:space="0" w:color="000000"/>
            </w:tcBorders>
          </w:tcPr>
          <w:p>
            <w:pPr>
              <w:pStyle w:val="TableParagraph"/>
              <w:spacing w:line="261" w:lineRule="exact"/>
              <w:ind w:right="90"/>
              <w:jc w:val="right"/>
              <w:rPr>
                <w:rFonts w:ascii="宋体" w:hAnsi="宋体" w:cs="宋体" w:eastAsia="宋体" w:hint="default"/>
                <w:sz w:val="21"/>
                <w:szCs w:val="21"/>
              </w:rPr>
            </w:pPr>
            <w:r>
              <w:rPr>
                <w:rFonts w:ascii="宋体"/>
                <w:spacing w:val="-1"/>
                <w:sz w:val="21"/>
              </w:rPr>
              <w:t>10.31%</w:t>
            </w:r>
          </w:p>
        </w:tc>
      </w:tr>
    </w:tbl>
    <w:p>
      <w:pPr>
        <w:spacing w:line="205" w:lineRule="exact" w:before="0"/>
        <w:ind w:left="498" w:right="86" w:firstLine="0"/>
        <w:jc w:val="left"/>
        <w:rPr>
          <w:rFonts w:ascii="宋体" w:hAnsi="宋体" w:cs="宋体" w:eastAsia="宋体" w:hint="default"/>
          <w:sz w:val="18"/>
          <w:szCs w:val="18"/>
        </w:rPr>
      </w:pPr>
      <w:r>
        <w:rPr>
          <w:rFonts w:ascii="宋体" w:hAnsi="宋体" w:cs="宋体" w:eastAsia="宋体" w:hint="default"/>
          <w:sz w:val="18"/>
          <w:szCs w:val="18"/>
        </w:rPr>
        <w:t>注： 2008</w:t>
      </w:r>
      <w:r>
        <w:rPr>
          <w:rFonts w:ascii="宋体" w:hAnsi="宋体" w:cs="宋体" w:eastAsia="宋体" w:hint="default"/>
          <w:spacing w:val="16"/>
          <w:sz w:val="18"/>
          <w:szCs w:val="18"/>
        </w:rPr>
        <w:t> </w:t>
      </w:r>
      <w:r>
        <w:rPr>
          <w:rFonts w:ascii="宋体" w:hAnsi="宋体" w:cs="宋体" w:eastAsia="宋体" w:hint="default"/>
          <w:sz w:val="18"/>
          <w:szCs w:val="18"/>
        </w:rPr>
        <w:t>年，因公司下属同方环境股份有限公司不再纳入公司合并范围，为统一比较口径，公司在以往年度环</w:t>
      </w:r>
    </w:p>
    <w:p>
      <w:pPr>
        <w:spacing w:after="0" w:line="205" w:lineRule="exact"/>
        <w:jc w:val="left"/>
        <w:rPr>
          <w:rFonts w:ascii="宋体" w:hAnsi="宋体" w:cs="宋体" w:eastAsia="宋体" w:hint="default"/>
          <w:sz w:val="18"/>
          <w:szCs w:val="18"/>
        </w:rPr>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138" w:right="213" w:firstLine="0"/>
        <w:jc w:val="left"/>
        <w:rPr>
          <w:rFonts w:ascii="宋体" w:hAnsi="宋体" w:cs="宋体" w:eastAsia="宋体" w:hint="default"/>
          <w:sz w:val="18"/>
          <w:szCs w:val="18"/>
        </w:rPr>
      </w:pPr>
      <w:r>
        <w:rPr>
          <w:rFonts w:ascii="宋体" w:hAnsi="宋体" w:cs="宋体" w:eastAsia="宋体" w:hint="default"/>
          <w:sz w:val="18"/>
          <w:szCs w:val="18"/>
        </w:rPr>
        <w:t>保收入中相应剔除了同方环境股份有限公司数据。</w:t>
      </w:r>
    </w:p>
    <w:p>
      <w:pPr>
        <w:spacing w:line="240" w:lineRule="auto" w:before="11"/>
        <w:rPr>
          <w:rFonts w:ascii="宋体" w:hAnsi="宋体" w:cs="宋体" w:eastAsia="宋体" w:hint="default"/>
          <w:sz w:val="22"/>
          <w:szCs w:val="22"/>
        </w:rPr>
      </w:pPr>
    </w:p>
    <w:p>
      <w:pPr>
        <w:pStyle w:val="BodyText"/>
        <w:spacing w:line="313" w:lineRule="exact"/>
        <w:ind w:right="86"/>
        <w:jc w:val="left"/>
      </w:pPr>
      <w:r>
        <w:rPr/>
        <w:t>2008</w:t>
      </w:r>
      <w:r>
        <w:rPr>
          <w:spacing w:val="-40"/>
        </w:rPr>
        <w:t> </w:t>
      </w:r>
      <w:r>
        <w:rPr/>
        <w:t>年，我国水务环保市场快速发展，废水排放量逐年递增，污水处理设施建设加快进</w:t>
      </w:r>
    </w:p>
    <w:p>
      <w:pPr>
        <w:pStyle w:val="BodyText"/>
        <w:spacing w:line="237" w:lineRule="auto" w:before="1"/>
        <w:ind w:right="220"/>
        <w:jc w:val="both"/>
      </w:pPr>
      <w:r>
        <w:rPr/>
        <w:t>行。根据建设部统计，截至</w:t>
      </w:r>
      <w:r>
        <w:rPr>
          <w:spacing w:val="-67"/>
        </w:rPr>
        <w:t> </w:t>
      </w:r>
      <w:r>
        <w:rPr/>
        <w:t>2008</w:t>
      </w:r>
      <w:r>
        <w:rPr>
          <w:spacing w:val="-67"/>
        </w:rPr>
        <w:t> </w:t>
      </w:r>
      <w:r>
        <w:rPr/>
        <w:t>年</w:t>
      </w:r>
      <w:r>
        <w:rPr>
          <w:spacing w:val="-67"/>
        </w:rPr>
        <w:t> </w:t>
      </w:r>
      <w:r>
        <w:rPr/>
        <w:t>11</w:t>
      </w:r>
      <w:r>
        <w:rPr>
          <w:spacing w:val="-67"/>
        </w:rPr>
        <w:t> </w:t>
      </w:r>
      <w:r>
        <w:rPr/>
        <w:t>月，我国已建成污水处理厂</w:t>
      </w:r>
      <w:r>
        <w:rPr>
          <w:spacing w:val="-67"/>
        </w:rPr>
        <w:t> </w:t>
      </w:r>
      <w:r>
        <w:rPr/>
        <w:t>1442</w:t>
      </w:r>
      <w:r>
        <w:rPr>
          <w:spacing w:val="-67"/>
        </w:rPr>
        <w:t> </w:t>
      </w:r>
      <w:r>
        <w:rPr/>
        <w:t>座，总处理规模</w:t>
      </w:r>
      <w:r>
        <w:rPr/>
        <w:t> 超过</w:t>
      </w:r>
      <w:r>
        <w:rPr>
          <w:spacing w:val="-67"/>
        </w:rPr>
        <w:t> </w:t>
      </w:r>
      <w:r>
        <w:rPr/>
        <w:t>8500</w:t>
      </w:r>
      <w:r>
        <w:rPr>
          <w:spacing w:val="-67"/>
        </w:rPr>
        <w:t> </w:t>
      </w:r>
      <w:r>
        <w:rPr/>
        <w:t>万吨/日，约完成“十一五”规划的</w:t>
      </w:r>
      <w:r>
        <w:rPr>
          <w:spacing w:val="-67"/>
        </w:rPr>
        <w:t> </w:t>
      </w:r>
      <w:r>
        <w:rPr/>
        <w:t>60%。但是全国仍有</w:t>
      </w:r>
      <w:r>
        <w:rPr>
          <w:spacing w:val="-67"/>
        </w:rPr>
        <w:t> </w:t>
      </w:r>
      <w:r>
        <w:rPr/>
        <w:t>194</w:t>
      </w:r>
      <w:r>
        <w:rPr>
          <w:spacing w:val="-67"/>
        </w:rPr>
        <w:t> </w:t>
      </w:r>
      <w:r>
        <w:rPr/>
        <w:t>个城市和</w:t>
      </w:r>
      <w:r>
        <w:rPr>
          <w:spacing w:val="-67"/>
        </w:rPr>
        <w:t> </w:t>
      </w:r>
      <w:r>
        <w:rPr/>
        <w:t>80%的县</w:t>
      </w:r>
      <w:r>
        <w:rPr/>
        <w:t> 城未建成污水处理厂，县城污水处理率仅有</w:t>
      </w:r>
      <w:r>
        <w:rPr>
          <w:spacing w:val="-72"/>
        </w:rPr>
        <w:t> </w:t>
      </w:r>
      <w:r>
        <w:rPr>
          <w:spacing w:val="-4"/>
        </w:rPr>
        <w:t>22.6%，距离“十一五”规划目标仍有较大差</w:t>
      </w:r>
      <w:r>
        <w:rPr/>
        <w:t> 距。同时，为落实国家四万亿投资计划，建设部已计划在“十一五”规划基础上扩大全</w:t>
      </w:r>
      <w:r>
        <w:rPr>
          <w:spacing w:val="-47"/>
        </w:rPr>
        <w:t> </w:t>
      </w:r>
      <w:r>
        <w:rPr>
          <w:spacing w:val="-47"/>
        </w:rPr>
      </w:r>
      <w:r>
        <w:rPr/>
        <w:t>国县城污水处理设施覆盖面，并将农村水环境污染治理作为下一个投资重点，全国 2</w:t>
      </w:r>
      <w:r>
        <w:rPr>
          <w:spacing w:val="-40"/>
        </w:rPr>
        <w:t> </w:t>
      </w:r>
      <w:r>
        <w:rPr/>
        <w:t>万</w:t>
      </w:r>
    </w:p>
    <w:p>
      <w:pPr>
        <w:pStyle w:val="BodyText"/>
        <w:spacing w:line="312" w:lineRule="exact"/>
        <w:ind w:right="213"/>
        <w:jc w:val="left"/>
      </w:pPr>
      <w:r>
        <w:rPr/>
        <w:t>个建制镇污水处理总投资额将高达</w:t>
      </w:r>
      <w:r>
        <w:rPr>
          <w:spacing w:val="-60"/>
        </w:rPr>
        <w:t> </w:t>
      </w:r>
      <w:r>
        <w:rPr/>
        <w:t>1</w:t>
      </w:r>
      <w:r>
        <w:rPr>
          <w:spacing w:val="-60"/>
        </w:rPr>
        <w:t> </w:t>
      </w:r>
      <w:r>
        <w:rPr/>
        <w:t>万亿元，水务环保市场将迎来更大的发展机遇。</w:t>
      </w:r>
    </w:p>
    <w:p>
      <w:pPr>
        <w:spacing w:line="240" w:lineRule="auto" w:before="9"/>
        <w:rPr>
          <w:rFonts w:ascii="宋体" w:hAnsi="宋体" w:cs="宋体" w:eastAsia="宋体" w:hint="default"/>
          <w:sz w:val="23"/>
          <w:szCs w:val="23"/>
        </w:rPr>
      </w:pPr>
    </w:p>
    <w:p>
      <w:pPr>
        <w:pStyle w:val="BodyText"/>
        <w:spacing w:line="237" w:lineRule="auto"/>
        <w:ind w:right="220"/>
        <w:jc w:val="both"/>
      </w:pPr>
      <w:r>
        <w:rPr/>
        <w:t>在水务投资运营领域，公司把握市场机会，依托南北水务投资平台，继续坚持“中心城</w:t>
      </w:r>
      <w:r>
        <w:rPr>
          <w:spacing w:val="-47"/>
        </w:rPr>
        <w:t> </w:t>
      </w:r>
      <w:r>
        <w:rPr>
          <w:spacing w:val="-47"/>
        </w:rPr>
      </w:r>
      <w:r>
        <w:rPr/>
        <w:t>市”的投资市场开拓与扩张战略，围绕优势区域不断拓展市场份额。2008</w:t>
      </w:r>
      <w:r>
        <w:rPr>
          <w:spacing w:val="-40"/>
        </w:rPr>
        <w:t> </w:t>
      </w:r>
      <w:r>
        <w:rPr/>
        <w:t>年，黑龙江省</w:t>
      </w:r>
      <w:r>
        <w:rPr/>
        <w:t> 政府为保证实现松花江流域规划治污项目年内建成投运率</w:t>
      </w:r>
      <w:r>
        <w:rPr>
          <w:spacing w:val="-60"/>
        </w:rPr>
        <w:t> </w:t>
      </w:r>
      <w:r>
        <w:rPr>
          <w:spacing w:val="-7"/>
        </w:rPr>
        <w:t>90%以上的目标，加大了对民营</w:t>
      </w:r>
      <w:r>
        <w:rPr>
          <w:spacing w:val="-1"/>
        </w:rPr>
        <w:t> </w:t>
      </w:r>
      <w:r>
        <w:rPr/>
        <w:t>资本的引入力度，大力推进特许经营。为此，公司充分运用哈尔滨太平污水处理厂的示</w:t>
      </w:r>
      <w:r>
        <w:rPr>
          <w:spacing w:val="-47"/>
        </w:rPr>
        <w:t> </w:t>
      </w:r>
      <w:r>
        <w:rPr>
          <w:spacing w:val="-47"/>
        </w:rPr>
      </w:r>
      <w:r>
        <w:rPr/>
        <w:t>范效应，深度参与黑龙江省众多污水处理项目，并以特许经营方式签约了包括哈尔滨何</w:t>
      </w:r>
      <w:r>
        <w:rPr>
          <w:spacing w:val="-47"/>
        </w:rPr>
        <w:t> </w:t>
      </w:r>
      <w:r>
        <w:rPr>
          <w:spacing w:val="-47"/>
        </w:rPr>
      </w:r>
      <w:r>
        <w:rPr/>
        <w:t>家沟、哈尔滨信义沟、佳木斯西区、鸡西市、肇东市、黑河市、富锦市等众多污水处理</w:t>
      </w:r>
      <w:r>
        <w:rPr>
          <w:spacing w:val="-47"/>
        </w:rPr>
        <w:t> </w:t>
      </w:r>
      <w:r>
        <w:rPr>
          <w:spacing w:val="-47"/>
        </w:rPr>
      </w:r>
      <w:r>
        <w:rPr/>
        <w:t>厂项目，新签约处理能力共计 50.5</w:t>
      </w:r>
      <w:r>
        <w:rPr>
          <w:spacing w:val="-40"/>
        </w:rPr>
        <w:t> </w:t>
      </w:r>
      <w:r>
        <w:rPr/>
        <w:t>万吨/日。其中，富锦市污水处理厂被确定为黑龙江</w:t>
      </w:r>
      <w:r>
        <w:rPr/>
        <w:t> 省县级污水处理厂示范项目。在南方水务市场方面，公司又先后以 BOT</w:t>
      </w:r>
      <w:r>
        <w:rPr>
          <w:spacing w:val="-40"/>
        </w:rPr>
        <w:t> </w:t>
      </w:r>
      <w:r>
        <w:rPr/>
        <w:t>方式承接了福州</w:t>
      </w:r>
      <w:r>
        <w:rPr/>
        <w:t> 连坂污水处理厂</w:t>
      </w:r>
      <w:r>
        <w:rPr>
          <w:spacing w:val="-63"/>
        </w:rPr>
        <w:t> </w:t>
      </w:r>
      <w:r>
        <w:rPr/>
        <w:t>20</w:t>
      </w:r>
      <w:r>
        <w:rPr>
          <w:spacing w:val="-63"/>
        </w:rPr>
        <w:t> </w:t>
      </w:r>
      <w:r>
        <w:rPr/>
        <w:t>万吨/日项目、淮安市盐化工污水处理厂</w:t>
      </w:r>
      <w:r>
        <w:rPr>
          <w:spacing w:val="-63"/>
        </w:rPr>
        <w:t> </w:t>
      </w:r>
      <w:r>
        <w:rPr/>
        <w:t>4</w:t>
      </w:r>
      <w:r>
        <w:rPr>
          <w:spacing w:val="-63"/>
        </w:rPr>
        <w:t> </w:t>
      </w:r>
      <w:r>
        <w:rPr>
          <w:spacing w:val="-3"/>
        </w:rPr>
        <w:t>万吨/日项目，以</w:t>
      </w:r>
      <w:r>
        <w:rPr>
          <w:spacing w:val="-63"/>
        </w:rPr>
        <w:t> </w:t>
      </w:r>
      <w:r>
        <w:rPr/>
        <w:t>TOT</w:t>
      </w:r>
      <w:r>
        <w:rPr>
          <w:spacing w:val="-63"/>
        </w:rPr>
        <w:t> </w:t>
      </w:r>
      <w:r>
        <w:rPr/>
        <w:t>方式</w:t>
      </w:r>
      <w:r>
        <w:rPr/>
        <w:t> 承接了福州金山污水处理厂</w:t>
      </w:r>
      <w:r>
        <w:rPr>
          <w:spacing w:val="-79"/>
        </w:rPr>
        <w:t> </w:t>
      </w:r>
      <w:r>
        <w:rPr/>
        <w:t>5</w:t>
      </w:r>
      <w:r>
        <w:rPr>
          <w:spacing w:val="-79"/>
        </w:rPr>
        <w:t> </w:t>
      </w:r>
      <w:r>
        <w:rPr/>
        <w:t>万吨/日项目，此外，公司负责建设运营的淮安市第二污水</w:t>
      </w:r>
      <w:r>
        <w:rPr/>
        <w:t> 处理厂还以投产速度快、运营稳定、管理完善、技术水平高等在全国城镇污水处理厂绩</w:t>
      </w:r>
      <w:r>
        <w:rPr>
          <w:spacing w:val="-47"/>
        </w:rPr>
        <w:t> </w:t>
      </w:r>
      <w:r>
        <w:rPr>
          <w:spacing w:val="-47"/>
        </w:rPr>
      </w:r>
      <w:r>
        <w:rPr/>
        <w:t>效评比活动中荣获“全国城镇污水处理厂优秀运营单位”荣誉称号。</w:t>
      </w:r>
    </w:p>
    <w:p>
      <w:pPr>
        <w:spacing w:line="240" w:lineRule="auto" w:before="10"/>
        <w:rPr>
          <w:rFonts w:ascii="宋体" w:hAnsi="宋体" w:cs="宋体" w:eastAsia="宋体" w:hint="default"/>
          <w:sz w:val="23"/>
          <w:szCs w:val="23"/>
        </w:rPr>
      </w:pPr>
    </w:p>
    <w:p>
      <w:pPr>
        <w:pStyle w:val="BodyText"/>
        <w:spacing w:line="237" w:lineRule="auto"/>
        <w:ind w:right="86"/>
        <w:jc w:val="left"/>
      </w:pPr>
      <w:r>
        <w:rPr/>
        <w:t>在水务工程领域，公司逐渐改变以机电设备总包为主的模式，向行业废水处理 EPC</w:t>
      </w:r>
      <w:r>
        <w:rPr>
          <w:spacing w:val="-40"/>
        </w:rPr>
        <w:t> </w:t>
      </w:r>
      <w:r>
        <w:rPr/>
        <w:t>业务</w:t>
      </w:r>
      <w:r>
        <w:rPr/>
        <w:t> </w:t>
      </w:r>
      <w:r>
        <w:rPr>
          <w:spacing w:val="-2"/>
        </w:rPr>
        <w:t>过渡以实现盈利能力的提升，并凭借不断创新的自主核心技术，持续推动在市政自来水、</w:t>
      </w:r>
      <w:r>
        <w:rPr>
          <w:spacing w:val="-82"/>
        </w:rPr>
        <w:t> </w:t>
      </w:r>
      <w:r>
        <w:rPr>
          <w:spacing w:val="-82"/>
        </w:rPr>
      </w:r>
      <w:r>
        <w:rPr/>
        <w:t>污水处理及中水回用、钢铁、煤化工等特种行业废水处理方面的市场拓展。2008</w:t>
      </w:r>
      <w:r>
        <w:rPr>
          <w:spacing w:val="-40"/>
        </w:rPr>
        <w:t> </w:t>
      </w:r>
      <w:r>
        <w:rPr/>
        <w:t>年，公</w:t>
      </w:r>
      <w:r>
        <w:rPr/>
        <w:t> 司先后承接了鸡西市全天供水工程、内蒙古久泰能源有限公司年污水处理及回用工程、</w:t>
      </w:r>
      <w:r>
        <w:rPr>
          <w:spacing w:val="-47"/>
        </w:rPr>
        <w:t> </w:t>
      </w:r>
      <w:r>
        <w:rPr>
          <w:spacing w:val="-47"/>
        </w:rPr>
      </w:r>
      <w:r>
        <w:rPr/>
        <w:t>唐山市丰润污水处理厂扩建工程中水回用项目、中国一重循环水四期总包工程等大型工</w:t>
      </w:r>
      <w:r>
        <w:rPr>
          <w:spacing w:val="-47"/>
        </w:rPr>
        <w:t> </w:t>
      </w:r>
      <w:r>
        <w:rPr>
          <w:spacing w:val="-47"/>
        </w:rPr>
      </w:r>
      <w:r>
        <w:rPr/>
        <w:t>程项目。其中，久泰能源污水处理项目是国内首次在煤化工行业采用膜法处理技术、将</w:t>
      </w:r>
      <w:r>
        <w:rPr>
          <w:spacing w:val="-47"/>
        </w:rPr>
        <w:t> </w:t>
      </w:r>
      <w:r>
        <w:rPr>
          <w:spacing w:val="-47"/>
        </w:rPr>
      </w:r>
      <w:r>
        <w:rPr>
          <w:spacing w:val="-5"/>
        </w:rPr>
        <w:t>煤化工废水经处理后达到可回用标准的项目，污水处理量为</w:t>
      </w:r>
      <w:r>
        <w:rPr>
          <w:spacing w:val="-57"/>
        </w:rPr>
        <w:t> </w:t>
      </w:r>
      <w:r>
        <w:rPr/>
        <w:t>320</w:t>
      </w:r>
      <w:r>
        <w:rPr>
          <w:spacing w:val="-57"/>
        </w:rPr>
        <w:t> </w:t>
      </w:r>
      <w:r>
        <w:rPr>
          <w:spacing w:val="-11"/>
        </w:rPr>
        <w:t>吨/小时，回用水量为</w:t>
      </w:r>
      <w:r>
        <w:rPr>
          <w:spacing w:val="-57"/>
        </w:rPr>
        <w:t> </w:t>
      </w:r>
      <w:r>
        <w:rPr/>
        <w:t>650</w:t>
      </w:r>
      <w:r>
        <w:rPr>
          <w:spacing w:val="-112"/>
        </w:rPr>
        <w:t> </w:t>
      </w:r>
      <w:r>
        <w:rPr>
          <w:spacing w:val="-112"/>
        </w:rPr>
      </w:r>
      <w:r>
        <w:rPr/>
        <w:t>吨/小时。此外，本年度，公司以往年度承接的哈尔滨市文昌污水处理厂三期工程建成通</w:t>
      </w:r>
      <w:r>
        <w:rPr/>
        <w:t> 水，作为国家环保重点示范项目的文昌三期工程采用了国际先进的“高效沉淀池＋曝气</w:t>
      </w:r>
      <w:r>
        <w:rPr>
          <w:spacing w:val="-47"/>
        </w:rPr>
        <w:t> </w:t>
      </w:r>
      <w:r>
        <w:rPr>
          <w:spacing w:val="-47"/>
        </w:rPr>
      </w:r>
      <w:r>
        <w:rPr/>
        <w:t>生物滤池”技术，该项目是公司迄今为止参与的规模最大的生物滤池工艺。</w:t>
      </w:r>
    </w:p>
    <w:p>
      <w:pPr>
        <w:spacing w:line="240" w:lineRule="auto" w:before="10"/>
        <w:rPr>
          <w:rFonts w:ascii="宋体" w:hAnsi="宋体" w:cs="宋体" w:eastAsia="宋体" w:hint="default"/>
          <w:sz w:val="23"/>
          <w:szCs w:val="23"/>
        </w:rPr>
      </w:pPr>
    </w:p>
    <w:p>
      <w:pPr>
        <w:pStyle w:val="BodyText"/>
        <w:spacing w:line="237" w:lineRule="auto"/>
        <w:ind w:right="90"/>
        <w:jc w:val="left"/>
      </w:pPr>
      <w:r>
        <w:rPr/>
        <w:t>在技术创新与产品研发方面，公司坚持以水务工程为基础业务、不断加大技术创新与产</w:t>
      </w:r>
      <w:r>
        <w:rPr>
          <w:spacing w:val="-47"/>
        </w:rPr>
        <w:t> </w:t>
      </w:r>
      <w:r>
        <w:rPr>
          <w:spacing w:val="-47"/>
        </w:rPr>
      </w:r>
      <w:r>
        <w:rPr/>
        <w:t>品研发投入，整合研发团队，积极推进核心技术的推广和产业化。目前，公司已经在处</w:t>
      </w:r>
      <w:r>
        <w:rPr>
          <w:spacing w:val="-47"/>
        </w:rPr>
        <w:t> </w:t>
      </w:r>
      <w:r>
        <w:rPr>
          <w:spacing w:val="-47"/>
        </w:rPr>
      </w:r>
      <w:r>
        <w:rPr/>
        <w:t>理煤化工高浓度废水方面形成了改良</w:t>
      </w:r>
      <w:r>
        <w:rPr>
          <w:spacing w:val="-65"/>
        </w:rPr>
        <w:t> </w:t>
      </w:r>
      <w:r>
        <w:rPr/>
        <w:t>SBR</w:t>
      </w:r>
      <w:r>
        <w:rPr>
          <w:spacing w:val="-65"/>
        </w:rPr>
        <w:t> </w:t>
      </w:r>
      <w:r>
        <w:rPr/>
        <w:t>技术和</w:t>
      </w:r>
      <w:r>
        <w:rPr>
          <w:spacing w:val="-65"/>
        </w:rPr>
        <w:t> </w:t>
      </w:r>
      <w:r>
        <w:rPr/>
        <w:t>UASB＋AO</w:t>
      </w:r>
      <w:r>
        <w:rPr>
          <w:spacing w:val="-65"/>
        </w:rPr>
        <w:t> </w:t>
      </w:r>
      <w:r>
        <w:rPr>
          <w:spacing w:val="-4"/>
        </w:rPr>
        <w:t>技术，在高浊度水处理方面具</w:t>
      </w:r>
      <w:r>
        <w:rPr>
          <w:spacing w:val="-1"/>
        </w:rPr>
        <w:t> </w:t>
      </w:r>
      <w:r>
        <w:rPr/>
        <w:t>有了高效澄清池＋V</w:t>
      </w:r>
      <w:r>
        <w:rPr>
          <w:spacing w:val="-36"/>
        </w:rPr>
        <w:t> </w:t>
      </w:r>
      <w:r>
        <w:rPr>
          <w:spacing w:val="-8"/>
        </w:rPr>
        <w:t>型滤池，在污水回用方面形成了膜法水处理技术等核心技术。本年度，</w:t>
      </w:r>
      <w:r>
        <w:rPr>
          <w:spacing w:val="-116"/>
        </w:rPr>
        <w:t> </w:t>
      </w:r>
      <w:r>
        <w:rPr>
          <w:spacing w:val="-116"/>
        </w:rPr>
      </w:r>
      <w:r>
        <w:rPr/>
        <w:t>公司还加大了对核心技术产品的产业化力度，完成了可组合板式高频大型臭氧发生器的</w:t>
      </w:r>
      <w:r>
        <w:rPr>
          <w:spacing w:val="-47"/>
        </w:rPr>
        <w:t> </w:t>
      </w:r>
      <w:r>
        <w:rPr>
          <w:spacing w:val="-47"/>
        </w:rPr>
      </w:r>
      <w:r>
        <w:rPr/>
        <w:t>产业化应用，正式推出了国际首例臭氧发生量达到 5.0kg/h</w:t>
      </w:r>
      <w:r>
        <w:rPr>
          <w:spacing w:val="-40"/>
        </w:rPr>
        <w:t> </w:t>
      </w:r>
      <w:r>
        <w:rPr/>
        <w:t>的大型平板陶瓷介电体臭氧</w:t>
      </w:r>
      <w:r>
        <w:rPr/>
        <w:t> 发生器，并成功应用于东莞河流治理项目中，这一产品还被建设部列为</w:t>
      </w:r>
      <w:r>
        <w:rPr>
          <w:spacing w:val="-70"/>
        </w:rPr>
        <w:t> </w:t>
      </w:r>
      <w:r>
        <w:rPr/>
        <w:t>2008</w:t>
      </w:r>
      <w:r>
        <w:rPr>
          <w:spacing w:val="-70"/>
        </w:rPr>
        <w:t> </w:t>
      </w:r>
      <w:r>
        <w:rPr/>
        <w:t>年全国建设</w:t>
      </w:r>
      <w:r>
        <w:rPr/>
        <w:t> 行业科技成果推广项目，向全国推荐应用。</w:t>
      </w:r>
    </w:p>
    <w:p>
      <w:pPr>
        <w:spacing w:line="240" w:lineRule="auto" w:before="8"/>
        <w:rPr>
          <w:rFonts w:ascii="宋体" w:hAnsi="宋体" w:cs="宋体" w:eastAsia="宋体" w:hint="default"/>
          <w:sz w:val="23"/>
          <w:szCs w:val="23"/>
        </w:rPr>
      </w:pPr>
    </w:p>
    <w:p>
      <w:pPr>
        <w:pStyle w:val="BodyText"/>
        <w:spacing w:line="240" w:lineRule="auto"/>
        <w:ind w:right="213"/>
        <w:jc w:val="left"/>
      </w:pPr>
      <w:r>
        <w:rPr/>
        <w:t>②建筑环境领域</w:t>
      </w:r>
    </w:p>
    <w:p>
      <w:pPr>
        <w:spacing w:after="0" w:line="240"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12" w:lineRule="exact" w:before="56"/>
        <w:ind w:right="86"/>
        <w:jc w:val="left"/>
      </w:pPr>
      <w:r>
        <w:rPr/>
        <w:t>我国是全球第二大能源消耗国，节能降耗是全社会面临的一项重要任务。目前，我国社</w:t>
      </w:r>
      <w:r>
        <w:rPr>
          <w:spacing w:val="-47"/>
        </w:rPr>
        <w:t> </w:t>
      </w:r>
      <w:r>
        <w:rPr>
          <w:spacing w:val="-47"/>
        </w:rPr>
      </w:r>
      <w:r>
        <w:rPr/>
        <w:t>会总能耗中建筑能耗约占</w:t>
      </w:r>
      <w:r>
        <w:rPr>
          <w:spacing w:val="-52"/>
        </w:rPr>
        <w:t> </w:t>
      </w:r>
      <w:r>
        <w:rPr>
          <w:spacing w:val="-4"/>
        </w:rPr>
        <w:t>27.5%，随着居民生活水平的提高，建筑用能将快速增长。2008</w:t>
      </w:r>
      <w:r>
        <w:rPr>
          <w:spacing w:val="-101"/>
        </w:rPr>
        <w:t> </w:t>
      </w:r>
      <w:r>
        <w:rPr>
          <w:spacing w:val="-101"/>
        </w:rPr>
      </w:r>
      <w:r>
        <w:rPr>
          <w:spacing w:val="-4"/>
        </w:rPr>
        <w:t>年，在国家“节能减排”重大战略部署的强力推动下,建筑节能工作得到了全面深入发展。</w:t>
      </w:r>
      <w:r>
        <w:rPr/>
        <w:t> </w:t>
      </w:r>
      <w:r>
        <w:rPr>
          <w:spacing w:val="-5"/>
        </w:rPr>
        <w:t>新修订的《节约能源法》、《民用建筑节能条例》等一系列相关法规相继实施，各地也纷</w:t>
      </w:r>
      <w:r>
        <w:rPr>
          <w:spacing w:val="-89"/>
        </w:rPr>
        <w:t> </w:t>
      </w:r>
      <w:r>
        <w:rPr>
          <w:spacing w:val="-89"/>
        </w:rPr>
      </w:r>
      <w:r>
        <w:rPr/>
        <w:t>纷推出相关政策，随着国内节能意识的深入和节能政策执行力度的逐步加强，建筑节能</w:t>
      </w:r>
      <w:r>
        <w:rPr>
          <w:spacing w:val="-47"/>
        </w:rPr>
        <w:t> </w:t>
      </w:r>
      <w:r>
        <w:rPr>
          <w:spacing w:val="-47"/>
        </w:rPr>
      </w:r>
      <w:r>
        <w:rPr>
          <w:spacing w:val="-6"/>
        </w:rPr>
        <w:t>相关领域已显现出广阔的市场空间。根据建筑行业“十一五”规划，我国将完成节能</w:t>
      </w:r>
      <w:r>
        <w:rPr>
          <w:spacing w:val="-60"/>
        </w:rPr>
        <w:t> </w:t>
      </w:r>
      <w:r>
        <w:rPr/>
        <w:t>1.01</w:t>
      </w:r>
    </w:p>
    <w:p>
      <w:pPr>
        <w:pStyle w:val="BodyText"/>
        <w:spacing w:line="312" w:lineRule="exact"/>
        <w:ind w:right="207"/>
        <w:jc w:val="left"/>
      </w:pPr>
      <w:r>
        <w:rPr/>
        <w:t>亿吨标准煤的目标，建筑节能总面积 21.46</w:t>
      </w:r>
      <w:r>
        <w:rPr>
          <w:spacing w:val="-41"/>
        </w:rPr>
        <w:t> </w:t>
      </w:r>
      <w:r>
        <w:rPr/>
        <w:t>亿平方米，公共建筑节能特别是大型公共建</w:t>
      </w:r>
      <w:r>
        <w:rPr/>
        <w:t> 筑电气节能改造是建筑节能的重中之重。</w:t>
      </w:r>
    </w:p>
    <w:p>
      <w:pPr>
        <w:spacing w:line="240" w:lineRule="auto" w:before="11"/>
        <w:rPr>
          <w:rFonts w:ascii="宋体" w:hAnsi="宋体" w:cs="宋体" w:eastAsia="宋体" w:hint="default"/>
          <w:sz w:val="23"/>
          <w:szCs w:val="23"/>
        </w:rPr>
      </w:pPr>
    </w:p>
    <w:p>
      <w:pPr>
        <w:pStyle w:val="BodyText"/>
        <w:spacing w:line="312" w:lineRule="exact"/>
        <w:ind w:right="220"/>
        <w:jc w:val="both"/>
      </w:pPr>
      <w:r>
        <w:rPr/>
        <w:t>在此背景下，公司坚持以建筑节能应用、城市与建筑声光电环境业务为主要方向，充分</w:t>
      </w:r>
      <w:r>
        <w:rPr>
          <w:spacing w:val="-47"/>
        </w:rPr>
        <w:t> </w:t>
      </w:r>
      <w:r>
        <w:rPr>
          <w:spacing w:val="-47"/>
        </w:rPr>
      </w:r>
      <w:r>
        <w:rPr/>
        <w:t>发挥核心技术优势，加大产品推广力度，保持了业务稳定增长。此外，公司还通过内外</w:t>
      </w:r>
      <w:r>
        <w:rPr>
          <w:spacing w:val="-47"/>
        </w:rPr>
        <w:t> </w:t>
      </w:r>
      <w:r>
        <w:rPr>
          <w:spacing w:val="-47"/>
        </w:rPr>
      </w:r>
      <w:r>
        <w:rPr>
          <w:spacing w:val="-1"/>
        </w:rPr>
        <w:t>部资源整合，实施技术合作与开发，加大了对高亮度半导体照明芯片(LED)制造和应用产</w:t>
      </w:r>
      <w:r>
        <w:rPr/>
        <w:t> 业的投入力度，进一步拓展公司在节能领域的产业链条。</w:t>
      </w:r>
    </w:p>
    <w:p>
      <w:pPr>
        <w:spacing w:line="240" w:lineRule="auto" w:before="5"/>
        <w:rPr>
          <w:rFonts w:ascii="宋体" w:hAnsi="宋体" w:cs="宋体" w:eastAsia="宋体" w:hint="default"/>
          <w:sz w:val="24"/>
          <w:szCs w:val="24"/>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40"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79" w:lineRule="exact"/>
              <w:ind w:left="9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40"/>
              <w:ind w:left="429" w:right="0"/>
              <w:jc w:val="left"/>
              <w:rPr>
                <w:rFonts w:ascii="Times New Roman" w:hAnsi="Times New Roman" w:cs="Times New Roman" w:eastAsia="Times New Roman" w:hint="default"/>
                <w:sz w:val="21"/>
                <w:szCs w:val="21"/>
              </w:rPr>
            </w:pPr>
            <w:r>
              <w:rPr>
                <w:rFonts w:ascii="Times New Roman"/>
                <w:b/>
                <w:sz w:val="21"/>
              </w:rPr>
              <w:t>2006</w:t>
            </w:r>
            <w:r>
              <w:rPr>
                <w:rFonts w:ascii="Times New Roman"/>
                <w:sz w:val="21"/>
              </w:rPr>
            </w:r>
          </w:p>
        </w:tc>
      </w:tr>
      <w:tr>
        <w:trPr>
          <w:trHeight w:val="331"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5"/>
              <w:jc w:val="right"/>
              <w:rPr>
                <w:rFonts w:ascii="宋体" w:hAnsi="宋体" w:cs="宋体" w:eastAsia="宋体" w:hint="default"/>
                <w:sz w:val="21"/>
                <w:szCs w:val="21"/>
              </w:rPr>
            </w:pPr>
            <w:r>
              <w:rPr>
                <w:rFonts w:ascii="宋体"/>
                <w:spacing w:val="-1"/>
                <w:sz w:val="21"/>
              </w:rPr>
              <w:t>240,767.82</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220,544.26</w:t>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61" w:lineRule="exact"/>
              <w:ind w:right="89"/>
              <w:jc w:val="right"/>
              <w:rPr>
                <w:rFonts w:ascii="宋体" w:hAnsi="宋体" w:cs="宋体" w:eastAsia="宋体" w:hint="default"/>
                <w:sz w:val="21"/>
                <w:szCs w:val="21"/>
              </w:rPr>
            </w:pPr>
            <w:r>
              <w:rPr>
                <w:rFonts w:ascii="宋体"/>
                <w:spacing w:val="-1"/>
                <w:sz w:val="21"/>
              </w:rPr>
              <w:t>183,269.81</w:t>
            </w:r>
          </w:p>
        </w:tc>
      </w:tr>
      <w:tr>
        <w:trPr>
          <w:trHeight w:val="338"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20.20%</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17.20%</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61" w:lineRule="exact"/>
              <w:ind w:right="90"/>
              <w:jc w:val="right"/>
              <w:rPr>
                <w:rFonts w:ascii="宋体" w:hAnsi="宋体" w:cs="宋体" w:eastAsia="宋体" w:hint="default"/>
                <w:sz w:val="21"/>
                <w:szCs w:val="21"/>
              </w:rPr>
            </w:pPr>
            <w:r>
              <w:rPr>
                <w:rFonts w:ascii="宋体"/>
                <w:spacing w:val="-1"/>
                <w:sz w:val="21"/>
              </w:rPr>
              <w:t>17.19%</w:t>
            </w:r>
          </w:p>
        </w:tc>
      </w:tr>
    </w:tbl>
    <w:p>
      <w:pPr>
        <w:spacing w:line="240" w:lineRule="auto" w:before="10"/>
        <w:rPr>
          <w:rFonts w:ascii="宋体" w:hAnsi="宋体" w:cs="宋体" w:eastAsia="宋体" w:hint="default"/>
          <w:sz w:val="18"/>
          <w:szCs w:val="18"/>
        </w:rPr>
      </w:pPr>
    </w:p>
    <w:p>
      <w:pPr>
        <w:pStyle w:val="BodyText"/>
        <w:spacing w:line="240" w:lineRule="auto" w:before="26"/>
        <w:ind w:right="0"/>
        <w:jc w:val="both"/>
      </w:pPr>
      <w:r>
        <w:rPr/>
        <w:t>■建筑节能应用领域</w:t>
      </w:r>
    </w:p>
    <w:p>
      <w:pPr>
        <w:spacing w:line="240" w:lineRule="auto" w:before="12"/>
        <w:rPr>
          <w:rFonts w:ascii="宋体" w:hAnsi="宋体" w:cs="宋体" w:eastAsia="宋体" w:hint="default"/>
          <w:sz w:val="25"/>
          <w:szCs w:val="25"/>
        </w:rPr>
      </w:pPr>
    </w:p>
    <w:p>
      <w:pPr>
        <w:pStyle w:val="BodyText"/>
        <w:spacing w:line="312" w:lineRule="exact"/>
        <w:ind w:right="102"/>
        <w:jc w:val="both"/>
      </w:pPr>
      <w:r>
        <w:rPr/>
        <w:t>在建筑节能应用领域，公司致力于中央空调产品的开发、生产和销售以及建筑节能应用</w:t>
      </w:r>
      <w:r>
        <w:rPr>
          <w:spacing w:val="-47"/>
        </w:rPr>
        <w:t> </w:t>
      </w:r>
      <w:r>
        <w:rPr>
          <w:spacing w:val="-47"/>
        </w:rPr>
      </w:r>
      <w:r>
        <w:rPr/>
        <w:t>解决方案的提供与实施，目前已经拥有了热泵系列产品群和节能、蓄能工程的完整产业</w:t>
      </w:r>
      <w:r>
        <w:rPr>
          <w:spacing w:val="-47"/>
        </w:rPr>
        <w:t> </w:t>
      </w:r>
      <w:r>
        <w:rPr>
          <w:spacing w:val="-47"/>
        </w:rPr>
      </w:r>
      <w:r>
        <w:rPr>
          <w:spacing w:val="-2"/>
        </w:rPr>
        <w:t>链，具备了综合多种能源形式、多种技术路线的节能产品制造能力及工程技术应用能力。</w:t>
      </w:r>
    </w:p>
    <w:p>
      <w:pPr>
        <w:spacing w:line="240" w:lineRule="auto" w:before="11"/>
        <w:rPr>
          <w:rFonts w:ascii="宋体" w:hAnsi="宋体" w:cs="宋体" w:eastAsia="宋体" w:hint="default"/>
          <w:sz w:val="23"/>
          <w:szCs w:val="23"/>
        </w:rPr>
      </w:pPr>
    </w:p>
    <w:p>
      <w:pPr>
        <w:pStyle w:val="BodyText"/>
        <w:spacing w:line="312" w:lineRule="exact"/>
        <w:ind w:right="220"/>
        <w:jc w:val="both"/>
      </w:pPr>
      <w:r>
        <w:rPr/>
        <w:t>在产品推广方面，随着节能减排政策的推进和电力短缺等能源趋紧，各地政府纷纷采取</w:t>
      </w:r>
      <w:r>
        <w:rPr>
          <w:spacing w:val="-47"/>
        </w:rPr>
        <w:t> </w:t>
      </w:r>
      <w:r>
        <w:rPr>
          <w:spacing w:val="-47"/>
        </w:rPr>
      </w:r>
      <w:r>
        <w:rPr/>
        <w:t>鼓励使用热泵产品等积极措施应对，这给热泵市场注入了活力。面对此种市场形势，公</w:t>
      </w:r>
      <w:r>
        <w:rPr>
          <w:spacing w:val="-47"/>
        </w:rPr>
        <w:t> </w:t>
      </w:r>
      <w:r>
        <w:rPr>
          <w:spacing w:val="-47"/>
        </w:rPr>
      </w:r>
      <w:r>
        <w:rPr/>
        <w:t>司充分发挥自有的热泵技术优势并不断实施技术创新，大力推广热泵产品和工程应用，</w:t>
      </w:r>
      <w:r>
        <w:rPr>
          <w:spacing w:val="-47"/>
        </w:rPr>
        <w:t> </w:t>
      </w:r>
      <w:r>
        <w:rPr>
          <w:spacing w:val="-47"/>
        </w:rPr>
      </w:r>
      <w:r>
        <w:rPr/>
        <w:t>实现了技术和市场的双重提升。本年度，公司先后被评为“2008</w:t>
      </w:r>
      <w:r>
        <w:rPr>
          <w:spacing w:val="-40"/>
        </w:rPr>
        <w:t> </w:t>
      </w:r>
      <w:r>
        <w:rPr/>
        <w:t>空调制冷行业十大民族</w:t>
      </w:r>
      <w:r>
        <w:rPr/>
        <w:t> </w:t>
      </w:r>
      <w:r>
        <w:rPr>
          <w:spacing w:val="-19"/>
        </w:rPr>
        <w:t>品牌、十大工程服务商”、“2008</w:t>
      </w:r>
      <w:r>
        <w:rPr>
          <w:spacing w:val="-51"/>
        </w:rPr>
        <w:t> </w:t>
      </w:r>
      <w:r>
        <w:rPr>
          <w:spacing w:val="-7"/>
        </w:rPr>
        <w:t>设计师最信赖十大暖通空调民族品牌”，公司自主研发的</w:t>
      </w:r>
      <w:r>
        <w:rPr>
          <w:spacing w:val="-114"/>
        </w:rPr>
        <w:t> </w:t>
      </w:r>
      <w:r>
        <w:rPr>
          <w:spacing w:val="-114"/>
        </w:rPr>
      </w:r>
      <w:r>
        <w:rPr/>
        <w:t>60</w:t>
      </w:r>
      <w:r>
        <w:rPr>
          <w:spacing w:val="-56"/>
        </w:rPr>
        <w:t> </w:t>
      </w:r>
      <w:r>
        <w:rPr>
          <w:spacing w:val="-6"/>
        </w:rPr>
        <w:t>模块水源热泵机组获得“中国节能产品认证证书”，并列入政府采购目录；两款能效二</w:t>
      </w:r>
      <w:r>
        <w:rPr/>
        <w:t> </w:t>
      </w:r>
      <w:r>
        <w:rPr>
          <w:spacing w:val="4"/>
        </w:rPr>
        <w:t>级的产品 </w:t>
      </w:r>
      <w:r>
        <w:rPr>
          <w:spacing w:val="2"/>
        </w:rPr>
        <w:t>FS—L65 </w:t>
      </w:r>
      <w:r>
        <w:rPr/>
        <w:t>和 SLSB500M</w:t>
      </w:r>
      <w:r>
        <w:rPr>
          <w:spacing w:val="25"/>
        </w:rPr>
        <w:t> </w:t>
      </w:r>
      <w:r>
        <w:rPr>
          <w:spacing w:val="6"/>
        </w:rPr>
        <w:t>入选中国商业联合会与中国质量认证中心首次发布的</w:t>
      </w:r>
    </w:p>
    <w:p>
      <w:pPr>
        <w:pStyle w:val="BodyText"/>
        <w:spacing w:line="312" w:lineRule="exact"/>
        <w:ind w:right="220"/>
        <w:jc w:val="both"/>
      </w:pPr>
      <w:r>
        <w:rPr/>
        <w:t>《2008</w:t>
      </w:r>
      <w:r>
        <w:rPr>
          <w:spacing w:val="-34"/>
        </w:rPr>
        <w:t> </w:t>
      </w:r>
      <w:r>
        <w:rPr>
          <w:spacing w:val="-7"/>
        </w:rPr>
        <w:t>年全国商务领域节能产品目录》，向全国商务领域重点推荐使用。另外，公司密云</w:t>
      </w:r>
      <w:r>
        <w:rPr>
          <w:spacing w:val="-115"/>
        </w:rPr>
        <w:t> </w:t>
      </w:r>
      <w:r>
        <w:rPr>
          <w:spacing w:val="-115"/>
        </w:rPr>
      </w:r>
      <w:r>
        <w:rPr>
          <w:spacing w:val="-6"/>
        </w:rPr>
        <w:t>生产基地被评为“国家可再生能源建筑应用产业化基地”，获国家住房和城乡建设部</w:t>
      </w:r>
      <w:r>
        <w:rPr>
          <w:spacing w:val="-59"/>
        </w:rPr>
        <w:t> </w:t>
      </w:r>
      <w:r>
        <w:rPr/>
        <w:t>2008</w:t>
      </w:r>
      <w:r>
        <w:rPr/>
        <w:t> 年科学技术项目计划立项。</w:t>
      </w:r>
    </w:p>
    <w:p>
      <w:pPr>
        <w:spacing w:line="240" w:lineRule="auto" w:before="11"/>
        <w:rPr>
          <w:rFonts w:ascii="宋体" w:hAnsi="宋体" w:cs="宋体" w:eastAsia="宋体" w:hint="default"/>
          <w:sz w:val="23"/>
          <w:szCs w:val="23"/>
        </w:rPr>
      </w:pPr>
    </w:p>
    <w:p>
      <w:pPr>
        <w:pStyle w:val="BodyText"/>
        <w:spacing w:line="312" w:lineRule="exact"/>
        <w:ind w:right="220"/>
        <w:jc w:val="both"/>
      </w:pPr>
      <w:r>
        <w:rPr/>
        <w:t>在工程承接方面，公司基于客户的能源条件和服务需求，充分发挥在水地源、空气源、</w:t>
      </w:r>
      <w:r>
        <w:rPr>
          <w:spacing w:val="-47"/>
        </w:rPr>
        <w:t> </w:t>
      </w:r>
      <w:r>
        <w:rPr>
          <w:spacing w:val="-47"/>
        </w:rPr>
      </w:r>
      <w:r>
        <w:rPr/>
        <w:t>余热源、蓄能、节电、燃气、蒸汽等技术方面的综合优势，不断推进“综合能源节能减</w:t>
      </w:r>
      <w:r>
        <w:rPr>
          <w:spacing w:val="-47"/>
        </w:rPr>
        <w:t> </w:t>
      </w:r>
      <w:r>
        <w:rPr>
          <w:spacing w:val="-47"/>
        </w:rPr>
      </w:r>
      <w:r>
        <w:rPr/>
        <w:t>排应用方案”的推广，并先后承接了山西阳泉煤矿程庄瓦斯发电站、青州体育中心、富</w:t>
      </w:r>
      <w:r>
        <w:rPr>
          <w:spacing w:val="-47"/>
        </w:rPr>
        <w:t> </w:t>
      </w:r>
      <w:r>
        <w:rPr>
          <w:spacing w:val="-47"/>
        </w:rPr>
      </w:r>
      <w:r>
        <w:rPr/>
        <w:t>士康集团越南北江省黄田工业园及北宁省贵武工业园、天津恒隆广场、湖北人防指挥通</w:t>
      </w:r>
      <w:r>
        <w:rPr>
          <w:spacing w:val="-47"/>
        </w:rPr>
        <w:t> </w:t>
      </w:r>
      <w:r>
        <w:rPr>
          <w:spacing w:val="-47"/>
        </w:rPr>
      </w:r>
      <w:r>
        <w:rPr/>
        <w:t>信大楼等热泵技术应用项目，以及深圳市土地房产交易大厦蓄冰空调系统集成采购及安</w:t>
      </w:r>
      <w:r>
        <w:rPr>
          <w:spacing w:val="-47"/>
        </w:rPr>
        <w:t> </w:t>
      </w:r>
      <w:r>
        <w:rPr>
          <w:spacing w:val="-47"/>
        </w:rPr>
      </w:r>
      <w:r>
        <w:rPr/>
        <w:t>装工程、三江航天集团科工大厦、金融街写字楼、佳世客烟台购物中心等一批蓄冷空调</w:t>
      </w:r>
      <w:r>
        <w:rPr>
          <w:spacing w:val="-47"/>
        </w:rPr>
        <w:t> </w:t>
      </w:r>
      <w:r>
        <w:rPr>
          <w:spacing w:val="-47"/>
        </w:rPr>
      </w:r>
      <w:r>
        <w:rPr/>
        <w:t>项目。本年度，公司以往承接的福鼎金九龙大酒店、沈阳皇朝万鑫和金水花城、洛阳和</w:t>
      </w:r>
    </w:p>
    <w:p>
      <w:pPr>
        <w:spacing w:after="0" w:line="312" w:lineRule="exact"/>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both"/>
      </w:pPr>
      <w:r>
        <w:rPr/>
        <w:t>光园还被建设部列为 “国家可再生能源建筑应用示范项目</w:t>
      </w:r>
      <w:r>
        <w:rPr>
          <w:spacing w:val="-120"/>
        </w:rPr>
        <w:t>”</w:t>
      </w:r>
      <w:r>
        <w:rPr/>
        <w:t>，总计建筑面积</w:t>
      </w:r>
      <w:r>
        <w:rPr>
          <w:spacing w:val="-60"/>
        </w:rPr>
        <w:t> </w:t>
      </w:r>
      <w:r>
        <w:rPr/>
        <w:t>51</w:t>
      </w:r>
      <w:r>
        <w:rPr>
          <w:spacing w:val="-60"/>
        </w:rPr>
        <w:t> </w:t>
      </w:r>
      <w:r>
        <w:rPr/>
        <w:t>万平米。</w:t>
      </w:r>
    </w:p>
    <w:p>
      <w:pPr>
        <w:spacing w:line="240" w:lineRule="auto" w:before="12"/>
        <w:rPr>
          <w:rFonts w:ascii="宋体" w:hAnsi="宋体" w:cs="宋体" w:eastAsia="宋体" w:hint="default"/>
          <w:sz w:val="25"/>
          <w:szCs w:val="25"/>
        </w:rPr>
      </w:pPr>
    </w:p>
    <w:p>
      <w:pPr>
        <w:pStyle w:val="BodyText"/>
        <w:spacing w:line="312" w:lineRule="exact"/>
        <w:ind w:right="220"/>
        <w:jc w:val="both"/>
      </w:pPr>
      <w:r>
        <w:rPr/>
        <w:t>在技术开发方面，公司通过实施技术体系整合，进一步强化了产品规划与研发管理，积</w:t>
      </w:r>
      <w:r>
        <w:rPr>
          <w:spacing w:val="-47"/>
        </w:rPr>
        <w:t> </w:t>
      </w:r>
      <w:r>
        <w:rPr>
          <w:spacing w:val="-47"/>
        </w:rPr>
      </w:r>
      <w:r>
        <w:rPr/>
        <w:t>极参与行业规范制定，确立和巩固自身的行业地位，并结合具体工程项目推动新技术的</w:t>
      </w:r>
      <w:r>
        <w:rPr>
          <w:spacing w:val="-47"/>
        </w:rPr>
        <w:t> </w:t>
      </w:r>
      <w:r>
        <w:rPr>
          <w:spacing w:val="-47"/>
        </w:rPr>
      </w:r>
      <w:r>
        <w:rPr/>
        <w:t>应用。2008</w:t>
      </w:r>
      <w:r>
        <w:rPr>
          <w:spacing w:val="-79"/>
        </w:rPr>
        <w:t> </w:t>
      </w:r>
      <w:r>
        <w:rPr/>
        <w:t>年，公司负责起草了</w:t>
      </w:r>
      <w:r>
        <w:rPr>
          <w:spacing w:val="-79"/>
        </w:rPr>
        <w:t> </w:t>
      </w:r>
      <w:r>
        <w:rPr/>
        <w:t>GB/T《商业或工业及类似用途低环境温度空气源热泵冷</w:t>
      </w:r>
      <w:r>
        <w:rPr/>
        <w:t> 水机组》国家标准，该标准将引导并推进空气源热泵技术与产业的进步，缩小与世界先</w:t>
      </w:r>
      <w:r>
        <w:rPr>
          <w:spacing w:val="-47"/>
        </w:rPr>
        <w:t> </w:t>
      </w:r>
      <w:r>
        <w:rPr>
          <w:spacing w:val="-47"/>
        </w:rPr>
      </w:r>
      <w:r>
        <w:rPr/>
        <w:t>进水平的差距，公司负责这一标准的制定也体现了公司在空气源热泵领域的领先地位与</w:t>
      </w:r>
      <w:r>
        <w:rPr>
          <w:spacing w:val="-47"/>
        </w:rPr>
        <w:t> </w:t>
      </w:r>
      <w:r>
        <w:rPr>
          <w:spacing w:val="-47"/>
        </w:rPr>
      </w:r>
      <w:r>
        <w:rPr/>
        <w:t>影响力。本年度，公司自主研发的螺杆式冷热全效空调机组还获得了国家专利局发明专</w:t>
      </w:r>
      <w:r>
        <w:rPr>
          <w:spacing w:val="-47"/>
        </w:rPr>
        <w:t> </w:t>
      </w:r>
      <w:r>
        <w:rPr>
          <w:spacing w:val="-47"/>
        </w:rPr>
      </w:r>
      <w:r>
        <w:rPr>
          <w:spacing w:val="-2"/>
        </w:rPr>
        <w:t>利授权。该机组能满足除湿、空调、供热、卫生用水等多种需求，专门针对地下工程(工</w:t>
      </w:r>
      <w:r>
        <w:rPr>
          <w:spacing w:val="-118"/>
        </w:rPr>
        <w:t> </w:t>
      </w:r>
      <w:r>
        <w:rPr>
          <w:spacing w:val="-118"/>
        </w:rPr>
      </w:r>
      <w:r>
        <w:rPr>
          <w:spacing w:val="-2"/>
        </w:rPr>
        <w:t>事)低温高湿空气除湿等特殊应用场合。此外，公司首创的地源热泵桩基埋管技术还应用</w:t>
      </w:r>
      <w:r>
        <w:rPr>
          <w:spacing w:val="-82"/>
        </w:rPr>
        <w:t> </w:t>
      </w:r>
      <w:r>
        <w:rPr>
          <w:spacing w:val="-82"/>
        </w:rPr>
      </w:r>
      <w:r>
        <w:rPr/>
        <w:t>在天津市</w:t>
      </w:r>
      <w:r>
        <w:rPr>
          <w:spacing w:val="-60"/>
        </w:rPr>
        <w:t> </w:t>
      </w:r>
      <w:r>
        <w:rPr/>
        <w:t>2008</w:t>
      </w:r>
      <w:r>
        <w:rPr>
          <w:spacing w:val="-60"/>
        </w:rPr>
        <w:t> </w:t>
      </w:r>
      <w:r>
        <w:rPr/>
        <w:t>年重点建设项目天津恒隆广场中。</w:t>
      </w:r>
    </w:p>
    <w:p>
      <w:pPr>
        <w:spacing w:line="240" w:lineRule="auto" w:before="6"/>
        <w:rPr>
          <w:rFonts w:ascii="宋体" w:hAnsi="宋体" w:cs="宋体" w:eastAsia="宋体" w:hint="default"/>
          <w:sz w:val="21"/>
          <w:szCs w:val="21"/>
        </w:rPr>
      </w:pPr>
    </w:p>
    <w:p>
      <w:pPr>
        <w:pStyle w:val="BodyText"/>
        <w:spacing w:line="240" w:lineRule="auto"/>
        <w:ind w:right="0"/>
        <w:jc w:val="both"/>
      </w:pPr>
      <w:r>
        <w:rPr/>
        <w:t>■城市与建筑声光电环境领域</w:t>
      </w:r>
    </w:p>
    <w:p>
      <w:pPr>
        <w:spacing w:line="240" w:lineRule="auto" w:before="12"/>
        <w:rPr>
          <w:rFonts w:ascii="宋体" w:hAnsi="宋体" w:cs="宋体" w:eastAsia="宋体" w:hint="default"/>
          <w:sz w:val="25"/>
          <w:szCs w:val="25"/>
        </w:rPr>
      </w:pPr>
    </w:p>
    <w:p>
      <w:pPr>
        <w:pStyle w:val="BodyText"/>
        <w:spacing w:line="312" w:lineRule="exact"/>
        <w:ind w:right="86"/>
        <w:jc w:val="left"/>
      </w:pPr>
      <w:r>
        <w:rPr/>
        <w:t>2008</w:t>
      </w:r>
      <w:r>
        <w:rPr>
          <w:spacing w:val="-55"/>
        </w:rPr>
        <w:t> </w:t>
      </w:r>
      <w:r>
        <w:rPr>
          <w:spacing w:val="-3"/>
        </w:rPr>
        <w:t>年，公司加大了对高亮度半导体照明(LED)芯片制造产业的投入力度，并通过内外部</w:t>
      </w:r>
      <w:r>
        <w:rPr>
          <w:spacing w:val="-109"/>
        </w:rPr>
        <w:t> </w:t>
      </w:r>
      <w:r>
        <w:rPr>
          <w:spacing w:val="-109"/>
        </w:rPr>
      </w:r>
      <w:r>
        <w:rPr/>
        <w:t>资源的整合，以城市与建筑声光电工程实施带动 LED</w:t>
      </w:r>
      <w:r>
        <w:rPr>
          <w:spacing w:val="-61"/>
        </w:rPr>
        <w:t> </w:t>
      </w:r>
      <w:r>
        <w:rPr/>
        <w:t>芯片制造产业的发展，以加快产业</w:t>
      </w:r>
      <w:r>
        <w:rPr>
          <w:spacing w:val="-1"/>
        </w:rPr>
        <w:t> </w:t>
      </w:r>
      <w:r>
        <w:rPr/>
        <w:t>化应用步伐。本年度，公司投资新建了十五条高亮度半导体照明(LED)芯片生产线，因受</w:t>
      </w:r>
      <w:r>
        <w:rPr/>
        <w:t> 到</w:t>
      </w:r>
      <w:r>
        <w:rPr>
          <w:spacing w:val="-70"/>
        </w:rPr>
        <w:t> </w:t>
      </w:r>
      <w:r>
        <w:rPr/>
        <w:t>2008</w:t>
      </w:r>
      <w:r>
        <w:rPr>
          <w:spacing w:val="-70"/>
        </w:rPr>
        <w:t> </w:t>
      </w:r>
      <w:r>
        <w:rPr/>
        <w:t>年北京奥运会期间施工限制的影响，公司在北京顺义天竺实施的生产线投入有所</w:t>
      </w:r>
      <w:r>
        <w:rPr/>
        <w:t> 推迟。目前截至本报告日，生产线基础建设已经完成，正在实施生产调试。本年度，公</w:t>
      </w:r>
      <w:r>
        <w:rPr>
          <w:spacing w:val="-47"/>
        </w:rPr>
        <w:t> </w:t>
      </w:r>
      <w:r>
        <w:rPr>
          <w:spacing w:val="-47"/>
        </w:rPr>
      </w:r>
      <w:r>
        <w:rPr/>
        <w:t>司还实施了对新加坡</w:t>
      </w:r>
      <w:r>
        <w:rPr>
          <w:spacing w:val="-60"/>
        </w:rPr>
        <w:t> </w:t>
      </w:r>
      <w:r>
        <w:rPr/>
        <w:t>Tinggi</w:t>
      </w:r>
      <w:r>
        <w:rPr>
          <w:spacing w:val="-60"/>
        </w:rPr>
        <w:t> </w:t>
      </w:r>
      <w:r>
        <w:rPr>
          <w:spacing w:val="-9"/>
        </w:rPr>
        <w:t>公司的收购，Tinggi</w:t>
      </w:r>
      <w:r>
        <w:rPr>
          <w:spacing w:val="-61"/>
        </w:rPr>
        <w:t> </w:t>
      </w:r>
      <w:r>
        <w:rPr>
          <w:spacing w:val="-1"/>
        </w:rPr>
        <w:t>公司主要从事大功率</w:t>
      </w:r>
      <w:r>
        <w:rPr>
          <w:spacing w:val="-61"/>
        </w:rPr>
        <w:t> </w:t>
      </w:r>
      <w:r>
        <w:rPr>
          <w:spacing w:val="-1"/>
        </w:rPr>
        <w:t>LED</w:t>
      </w:r>
      <w:r>
        <w:rPr>
          <w:spacing w:val="-61"/>
        </w:rPr>
        <w:t> </w:t>
      </w:r>
      <w:r>
        <w:rPr>
          <w:spacing w:val="-1"/>
        </w:rPr>
        <w:t>芯片制造技术</w:t>
      </w:r>
      <w:r>
        <w:rPr>
          <w:spacing w:val="-118"/>
        </w:rPr>
        <w:t> </w:t>
      </w:r>
      <w:r>
        <w:rPr>
          <w:spacing w:val="-118"/>
        </w:rPr>
      </w:r>
      <w:r>
        <w:rPr/>
        <w:t>的开发，其拥有</w:t>
      </w:r>
      <w:r>
        <w:rPr>
          <w:spacing w:val="-80"/>
        </w:rPr>
        <w:t> </w:t>
      </w:r>
      <w:r>
        <w:rPr/>
        <w:t>LED</w:t>
      </w:r>
      <w:r>
        <w:rPr>
          <w:spacing w:val="-80"/>
        </w:rPr>
        <w:t> </w:t>
      </w:r>
      <w:r>
        <w:rPr/>
        <w:t>衬底剥离技术、导电导热新衬底键合技术、垂直结构芯片分离技术、</w:t>
      </w:r>
      <w:r>
        <w:rPr/>
        <w:t> 表面粗糙化技术等众多技术。报告期内，公司还在低成本、大功率耐高温芯片制造、模</w:t>
      </w:r>
      <w:r>
        <w:rPr>
          <w:spacing w:val="-47"/>
        </w:rPr>
        <w:t> </w:t>
      </w:r>
      <w:r>
        <w:rPr>
          <w:spacing w:val="-47"/>
        </w:rPr>
      </w:r>
      <w:r>
        <w:rPr/>
        <w:t>组及封装设计等方面取得进展，其中大功率</w:t>
      </w:r>
      <w:r>
        <w:rPr>
          <w:spacing w:val="-53"/>
        </w:rPr>
        <w:t> </w:t>
      </w:r>
      <w:r>
        <w:rPr/>
        <w:t>LED</w:t>
      </w:r>
      <w:r>
        <w:rPr>
          <w:spacing w:val="-53"/>
        </w:rPr>
        <w:t> </w:t>
      </w:r>
      <w:r>
        <w:rPr/>
        <w:t>芯片发光效率达到</w:t>
      </w:r>
      <w:r>
        <w:rPr>
          <w:spacing w:val="-53"/>
        </w:rPr>
        <w:t> </w:t>
      </w:r>
      <w:r>
        <w:rPr/>
        <w:t>80lm/W@350mA，目前</w:t>
      </w:r>
      <w:r>
        <w:rPr/>
        <w:t> 已经研发出可用于</w:t>
      </w:r>
      <w:r>
        <w:rPr>
          <w:spacing w:val="-60"/>
        </w:rPr>
        <w:t> </w:t>
      </w:r>
      <w:r>
        <w:rPr/>
        <w:t>LCD</w:t>
      </w:r>
      <w:r>
        <w:rPr>
          <w:spacing w:val="-60"/>
        </w:rPr>
        <w:t> </w:t>
      </w:r>
      <w:r>
        <w:rPr/>
        <w:t>电视背光源的芯片模组。</w:t>
      </w:r>
    </w:p>
    <w:p>
      <w:pPr>
        <w:spacing w:line="240" w:lineRule="auto" w:before="9"/>
        <w:rPr>
          <w:rFonts w:ascii="宋体" w:hAnsi="宋体" w:cs="宋体" w:eastAsia="宋体" w:hint="default"/>
          <w:sz w:val="21"/>
          <w:szCs w:val="21"/>
        </w:rPr>
      </w:pPr>
    </w:p>
    <w:p>
      <w:pPr>
        <w:pStyle w:val="BodyText"/>
        <w:spacing w:line="237" w:lineRule="auto"/>
        <w:ind w:right="220"/>
        <w:jc w:val="both"/>
      </w:pPr>
      <w:r>
        <w:rPr/>
        <w:t>在城市景观照明工程实施方面，公司一方面通过内部管理效率的提升和组织，有效推进</w:t>
      </w:r>
      <w:r>
        <w:rPr>
          <w:spacing w:val="-47"/>
        </w:rPr>
        <w:t> </w:t>
      </w:r>
      <w:r>
        <w:rPr>
          <w:spacing w:val="-47"/>
        </w:rPr>
      </w:r>
      <w:r>
        <w:rPr/>
        <w:t>了奥运工程项目的实施，确保了奥运工程的质量和进度；另一方面，积极拓展市场应用</w:t>
      </w:r>
      <w:r>
        <w:rPr>
          <w:spacing w:val="-47"/>
        </w:rPr>
        <w:t> </w:t>
      </w:r>
      <w:r>
        <w:rPr>
          <w:spacing w:val="-47"/>
        </w:rPr>
      </w:r>
      <w:r>
        <w:rPr/>
        <w:t>领域，依托公司在城市景观照明和水景照明方面丰富的工程经验和自主核心技术承接了</w:t>
      </w:r>
      <w:r>
        <w:rPr>
          <w:spacing w:val="-47"/>
        </w:rPr>
        <w:t> </w:t>
      </w:r>
      <w:r>
        <w:rPr>
          <w:spacing w:val="-47"/>
        </w:rPr>
      </w:r>
      <w:r>
        <w:rPr/>
        <w:t>一系列新项目。本年度，公司成功实施了奥森公园南园室外照明工程、奥林匹克中心区</w:t>
      </w:r>
      <w:r>
        <w:rPr>
          <w:spacing w:val="-47"/>
        </w:rPr>
        <w:t> </w:t>
      </w:r>
      <w:r>
        <w:rPr>
          <w:spacing w:val="-47"/>
        </w:rPr>
      </w:r>
      <w:r>
        <w:rPr/>
        <w:t>龙形水系喷泉工程、青岛奥林匹克帆船中心亮化工程、北京顺义奥运灯光工程等奥运项</w:t>
      </w:r>
      <w:r>
        <w:rPr>
          <w:spacing w:val="-47"/>
        </w:rPr>
        <w:t> </w:t>
      </w:r>
      <w:r>
        <w:rPr>
          <w:spacing w:val="-47"/>
        </w:rPr>
      </w:r>
      <w:r>
        <w:rPr/>
        <w:t>目。在工程承接方面，公司相继签署了北京首都国际机场起降航线可视区域核心区夜景</w:t>
      </w:r>
      <w:r>
        <w:rPr>
          <w:spacing w:val="-47"/>
        </w:rPr>
        <w:t> </w:t>
      </w:r>
      <w:r>
        <w:rPr>
          <w:spacing w:val="-47"/>
        </w:rPr>
      </w:r>
      <w:r>
        <w:rPr/>
        <w:t>照明项目、大庆油田有限责任公司石油科技博物馆楼体亮化工程、怀安花山狩猎场改造</w:t>
      </w:r>
      <w:r>
        <w:rPr>
          <w:spacing w:val="-47"/>
        </w:rPr>
        <w:t> </w:t>
      </w:r>
      <w:r>
        <w:rPr>
          <w:spacing w:val="-47"/>
        </w:rPr>
      </w:r>
      <w:r>
        <w:rPr/>
        <w:t>工程、无锡市宝界湖畔山林公园音乐喷泉工程等一系列工程项目。本年度，公司还取得</w:t>
      </w:r>
      <w:r>
        <w:rPr>
          <w:spacing w:val="-47"/>
        </w:rPr>
        <w:t> </w:t>
      </w:r>
      <w:r>
        <w:rPr>
          <w:spacing w:val="-47"/>
        </w:rPr>
      </w:r>
      <w:r>
        <w:rPr/>
        <w:t>住房和城乡建设部颁发的照明工程设计专项甲级资质证书，这是继城市及道路照明工程</w:t>
      </w:r>
      <w:r>
        <w:rPr>
          <w:spacing w:val="-47"/>
        </w:rPr>
        <w:t> </w:t>
      </w:r>
      <w:r>
        <w:rPr>
          <w:spacing w:val="-47"/>
        </w:rPr>
      </w:r>
      <w:r>
        <w:rPr/>
        <w:t>专业承包壹级资质之后取得的又一项照明领域的资质证书。截止目前，全国照明行业仅</w:t>
      </w:r>
      <w:r>
        <w:rPr>
          <w:spacing w:val="-47"/>
        </w:rPr>
        <w:t> </w:t>
      </w:r>
      <w:r>
        <w:rPr>
          <w:spacing w:val="-47"/>
        </w:rPr>
      </w:r>
      <w:r>
        <w:rPr/>
        <w:t>有</w:t>
      </w:r>
      <w:r>
        <w:rPr>
          <w:spacing w:val="-60"/>
        </w:rPr>
        <w:t> </w:t>
      </w:r>
      <w:r>
        <w:rPr/>
        <w:t>5</w:t>
      </w:r>
      <w:r>
        <w:rPr>
          <w:spacing w:val="-60"/>
        </w:rPr>
        <w:t> </w:t>
      </w:r>
      <w:r>
        <w:rPr/>
        <w:t>家单位获得了此资质。</w:t>
      </w:r>
    </w:p>
    <w:p>
      <w:pPr>
        <w:spacing w:line="240" w:lineRule="auto" w:before="1"/>
        <w:rPr>
          <w:rFonts w:ascii="宋体" w:hAnsi="宋体" w:cs="宋体" w:eastAsia="宋体" w:hint="default"/>
          <w:sz w:val="23"/>
          <w:szCs w:val="23"/>
        </w:rPr>
      </w:pPr>
    </w:p>
    <w:p>
      <w:pPr>
        <w:pStyle w:val="Heading2"/>
        <w:spacing w:line="240" w:lineRule="auto"/>
        <w:ind w:left="138" w:right="0"/>
        <w:jc w:val="both"/>
        <w:rPr>
          <w:b w:val="0"/>
          <w:bCs w:val="0"/>
        </w:rPr>
      </w:pPr>
      <w:r>
        <w:rPr/>
        <w:t>(二)公司全资附属企业及主要控参股公司经营业绩</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left="138" w:right="0"/>
        <w:jc w:val="both"/>
        <w:rPr>
          <w:b w:val="0"/>
          <w:bCs w:val="0"/>
        </w:rPr>
      </w:pPr>
      <w:r>
        <w:rPr/>
        <w:t>1、泰豪科技股份有限公司(股票代码：600590)</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right="222"/>
        <w:jc w:val="both"/>
      </w:pPr>
      <w:r>
        <w:rPr>
          <w:spacing w:val="-4"/>
        </w:rPr>
        <w:t>泰豪科技股份有限公司(股票简称：泰豪科技，股票代码：600590)成立于</w:t>
      </w:r>
      <w:r>
        <w:rPr>
          <w:spacing w:val="-60"/>
        </w:rPr>
        <w:t> </w:t>
      </w:r>
      <w:r>
        <w:rPr/>
        <w:t>1999</w:t>
      </w:r>
      <w:r>
        <w:rPr>
          <w:spacing w:val="-60"/>
        </w:rPr>
        <w:t> </w:t>
      </w:r>
      <w:r>
        <w:rPr/>
        <w:t>年</w:t>
      </w:r>
      <w:r>
        <w:rPr>
          <w:spacing w:val="-60"/>
        </w:rPr>
        <w:t> </w:t>
      </w:r>
      <w:r>
        <w:rPr/>
        <w:t>12</w:t>
      </w:r>
      <w:r>
        <w:rPr>
          <w:spacing w:val="-60"/>
        </w:rPr>
        <w:t> </w:t>
      </w:r>
      <w:r>
        <w:rPr/>
        <w:t>月</w:t>
      </w:r>
      <w:r>
        <w:rPr>
          <w:spacing w:val="-58"/>
        </w:rPr>
        <w:t> </w:t>
      </w:r>
      <w:r>
        <w:rPr/>
        <w:t>3</w:t>
      </w:r>
      <w:r>
        <w:rPr/>
        <w:t> 日，于</w:t>
      </w:r>
      <w:r>
        <w:rPr>
          <w:spacing w:val="-34"/>
        </w:rPr>
        <w:t> </w:t>
      </w:r>
      <w:r>
        <w:rPr>
          <w:spacing w:val="42"/>
        </w:rPr>
        <w:t>2002年7月3</w:t>
      </w:r>
      <w:r>
        <w:rPr>
          <w:spacing w:val="-34"/>
        </w:rPr>
        <w:t> </w:t>
      </w:r>
      <w:r>
        <w:rPr/>
        <w:t>日在上海证券交易所上市，注册资本</w:t>
      </w:r>
      <w:r>
        <w:rPr>
          <w:spacing w:val="-34"/>
        </w:rPr>
        <w:t> </w:t>
      </w:r>
      <w:r>
        <w:rPr/>
        <w:t>29,449.56</w:t>
      </w:r>
      <w:r>
        <w:rPr>
          <w:spacing w:val="-34"/>
        </w:rPr>
        <w:t> </w:t>
      </w:r>
      <w:r>
        <w:rPr/>
        <w:t>万元，公司持股</w:t>
      </w:r>
    </w:p>
    <w:p>
      <w:pPr>
        <w:spacing w:after="0" w:line="312" w:lineRule="exact"/>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left="238" w:right="107"/>
        <w:jc w:val="left"/>
      </w:pPr>
      <w:r>
        <w:rPr/>
        <w:t>23.38%。泰豪科技主要从事低压发电机组、建筑电气产品、配电设备、军工电源以及光</w:t>
      </w:r>
      <w:r>
        <w:rPr>
          <w:spacing w:val="-49"/>
        </w:rPr>
        <w:t> </w:t>
      </w:r>
      <w:r>
        <w:rPr>
          <w:spacing w:val="-49"/>
        </w:rPr>
      </w:r>
      <w:r>
        <w:rPr/>
        <w:t>机电一体化产品的生产和销售。</w:t>
      </w:r>
    </w:p>
    <w:p>
      <w:pPr>
        <w:spacing w:line="240" w:lineRule="auto" w:before="8"/>
        <w:rPr>
          <w:rFonts w:ascii="宋体" w:hAnsi="宋体" w:cs="宋体" w:eastAsia="宋体" w:hint="default"/>
          <w:sz w:val="21"/>
          <w:szCs w:val="21"/>
        </w:rPr>
      </w:pPr>
    </w:p>
    <w:p>
      <w:pPr>
        <w:pStyle w:val="BodyText"/>
        <w:spacing w:line="237" w:lineRule="auto"/>
        <w:ind w:left="238" w:right="107"/>
        <w:jc w:val="left"/>
      </w:pPr>
      <w:r>
        <w:rPr/>
        <w:t>2008</w:t>
      </w:r>
      <w:r>
        <w:rPr>
          <w:spacing w:val="-40"/>
        </w:rPr>
        <w:t> </w:t>
      </w:r>
      <w:r>
        <w:rPr/>
        <w:t>年，公司坚持“以智能建筑电气为主体，以发电机及电源和装备信息产品为两翼”</w:t>
      </w:r>
      <w:r>
        <w:rPr/>
        <w:t> </w:t>
      </w:r>
      <w:r>
        <w:rPr>
          <w:spacing w:val="-2"/>
        </w:rPr>
        <w:t>的发展战略，三大主业产品总体保持稳定增长。其中，智能建筑电气业务发展势头良好，</w:t>
      </w:r>
      <w:r>
        <w:rPr>
          <w:spacing w:val="-84"/>
        </w:rPr>
        <w:t> </w:t>
      </w:r>
      <w:r>
        <w:rPr>
          <w:spacing w:val="-84"/>
        </w:rPr>
      </w:r>
      <w:r>
        <w:rPr/>
        <w:t>凭借在该领域的技术和品牌优势，屡屡中标一系列重点场馆智能化工程，销售收入较去</w:t>
      </w:r>
      <w:r>
        <w:rPr>
          <w:spacing w:val="-47"/>
        </w:rPr>
        <w:t> </w:t>
      </w:r>
      <w:r>
        <w:rPr>
          <w:spacing w:val="-47"/>
        </w:rPr>
      </w:r>
      <w:r>
        <w:rPr/>
        <w:t>年同期增长</w:t>
      </w:r>
      <w:r>
        <w:rPr>
          <w:spacing w:val="-40"/>
        </w:rPr>
        <w:t> </w:t>
      </w:r>
      <w:r>
        <w:rPr/>
        <w:t>24.86%。另外，通过大力发展国内行业客户，克服经济危机对产品出口的不</w:t>
      </w:r>
      <w:r>
        <w:rPr/>
        <w:t> 利影响，发电机及电源业务也实现了一定增长。同时，公司积极应对经营环境的重大变</w:t>
      </w:r>
      <w:r>
        <w:rPr>
          <w:spacing w:val="-47"/>
        </w:rPr>
        <w:t> </w:t>
      </w:r>
      <w:r>
        <w:rPr>
          <w:spacing w:val="-47"/>
        </w:rPr>
      </w:r>
      <w:r>
        <w:rPr/>
        <w:t>化，围绕“创新思路，实现公司更好发展”的发展主题，进一步落实绩效管理，努力提</w:t>
      </w:r>
      <w:r>
        <w:rPr>
          <w:spacing w:val="-47"/>
        </w:rPr>
        <w:t> </w:t>
      </w:r>
      <w:r>
        <w:rPr>
          <w:spacing w:val="-47"/>
        </w:rPr>
      </w:r>
      <w:r>
        <w:rPr/>
        <w:t>高运营能力；积极推进技术创新工作，进一步提升自主创新能力，使公司的整体竞争力</w:t>
      </w:r>
      <w:r>
        <w:rPr>
          <w:spacing w:val="-47"/>
        </w:rPr>
        <w:t> </w:t>
      </w:r>
      <w:r>
        <w:rPr>
          <w:spacing w:val="-47"/>
        </w:rPr>
      </w:r>
      <w:r>
        <w:rPr/>
        <w:t>不断提高。</w:t>
      </w:r>
    </w:p>
    <w:p>
      <w:pPr>
        <w:spacing w:line="240" w:lineRule="auto" w:before="8"/>
        <w:rPr>
          <w:rFonts w:ascii="宋体" w:hAnsi="宋体" w:cs="宋体" w:eastAsia="宋体" w:hint="default"/>
          <w:sz w:val="23"/>
          <w:szCs w:val="23"/>
        </w:rPr>
      </w:pPr>
    </w:p>
    <w:p>
      <w:pPr>
        <w:pStyle w:val="BodyText"/>
        <w:spacing w:line="240" w:lineRule="auto"/>
        <w:ind w:left="238" w:right="107"/>
        <w:jc w:val="left"/>
      </w:pPr>
      <w:r>
        <w:rPr/>
        <w:t>泰豪科技近三年主要财务数据：</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26"/>
        <w:gridCol w:w="1310"/>
        <w:gridCol w:w="1100"/>
        <w:gridCol w:w="3500"/>
        <w:gridCol w:w="1480"/>
      </w:tblGrid>
      <w:tr>
        <w:trPr>
          <w:trHeight w:val="334" w:hRule="exact"/>
        </w:trPr>
        <w:tc>
          <w:tcPr>
            <w:tcW w:w="2026" w:type="dxa"/>
            <w:tcBorders>
              <w:top w:val="single" w:sz="12" w:space="0" w:color="000000"/>
              <w:left w:val="single" w:sz="12" w:space="0" w:color="000000"/>
              <w:bottom w:val="single" w:sz="6" w:space="0" w:color="000000"/>
              <w:right w:val="single" w:sz="6" w:space="0" w:color="000000"/>
            </w:tcBorders>
          </w:tcPr>
          <w:p>
            <w:pPr>
              <w:pStyle w:val="TableParagraph"/>
              <w:spacing w:line="276"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1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0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25"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50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b/>
                <w:bCs/>
                <w:sz w:val="21"/>
                <w:szCs w:val="21"/>
              </w:rPr>
              <w:t>归属于母公司股东的期末净资产</w:t>
            </w:r>
            <w:r>
              <w:rPr>
                <w:rFonts w:ascii="宋体" w:hAnsi="宋体" w:cs="宋体" w:eastAsia="宋体" w:hint="default"/>
                <w:sz w:val="21"/>
                <w:szCs w:val="21"/>
              </w:rPr>
            </w:r>
          </w:p>
        </w:tc>
        <w:tc>
          <w:tcPr>
            <w:tcW w:w="1480"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414"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6" w:hRule="exact"/>
        </w:trPr>
        <w:tc>
          <w:tcPr>
            <w:tcW w:w="20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6"/>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224,100.07</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21.02%</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98,145.11</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18" w:right="0"/>
              <w:jc w:val="left"/>
              <w:rPr>
                <w:rFonts w:ascii="Times New Roman" w:hAnsi="Times New Roman" w:cs="Times New Roman" w:eastAsia="Times New Roman" w:hint="default"/>
                <w:sz w:val="21"/>
                <w:szCs w:val="21"/>
              </w:rPr>
            </w:pPr>
            <w:r>
              <w:rPr>
                <w:rFonts w:ascii="Times New Roman"/>
                <w:sz w:val="21"/>
              </w:rPr>
              <w:t>334,180.16</w:t>
            </w:r>
          </w:p>
        </w:tc>
      </w:tr>
      <w:tr>
        <w:trPr>
          <w:trHeight w:val="328" w:hRule="exact"/>
        </w:trPr>
        <w:tc>
          <w:tcPr>
            <w:tcW w:w="20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6"/>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198,459.34</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18.50%</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90,959.79</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18" w:right="0"/>
              <w:jc w:val="left"/>
              <w:rPr>
                <w:rFonts w:ascii="Times New Roman" w:hAnsi="Times New Roman" w:cs="Times New Roman" w:eastAsia="Times New Roman" w:hint="default"/>
                <w:sz w:val="21"/>
                <w:szCs w:val="21"/>
              </w:rPr>
            </w:pPr>
            <w:r>
              <w:rPr>
                <w:rFonts w:ascii="Times New Roman"/>
                <w:sz w:val="21"/>
              </w:rPr>
              <w:t>309,532.96</w:t>
            </w:r>
          </w:p>
        </w:tc>
      </w:tr>
      <w:tr>
        <w:trPr>
          <w:trHeight w:val="334" w:hRule="exact"/>
        </w:trPr>
        <w:tc>
          <w:tcPr>
            <w:tcW w:w="20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6"/>
              <w:jc w:val="center"/>
              <w:rPr>
                <w:rFonts w:ascii="Times New Roman" w:hAnsi="Times New Roman" w:cs="Times New Roman" w:eastAsia="Times New Roman" w:hint="default"/>
                <w:sz w:val="21"/>
                <w:szCs w:val="21"/>
              </w:rPr>
            </w:pPr>
            <w:r>
              <w:rPr>
                <w:rFonts w:ascii="Times New Roman"/>
                <w:b/>
                <w:sz w:val="21"/>
              </w:rPr>
              <w:t>2006</w:t>
            </w:r>
            <w:r>
              <w:rPr>
                <w:rFonts w:ascii="Times New Roman"/>
                <w:sz w:val="21"/>
              </w:rPr>
            </w: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109,655.22</w:t>
            </w:r>
          </w:p>
        </w:tc>
        <w:tc>
          <w:tcPr>
            <w:tcW w:w="1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19.64%</w:t>
            </w:r>
          </w:p>
        </w:tc>
        <w:tc>
          <w:tcPr>
            <w:tcW w:w="3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86,653.75</w:t>
            </w:r>
          </w:p>
        </w:tc>
        <w:tc>
          <w:tcPr>
            <w:tcW w:w="14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418" w:right="0"/>
              <w:jc w:val="left"/>
              <w:rPr>
                <w:rFonts w:ascii="Times New Roman" w:hAnsi="Times New Roman" w:cs="Times New Roman" w:eastAsia="Times New Roman" w:hint="default"/>
                <w:sz w:val="21"/>
                <w:szCs w:val="21"/>
              </w:rPr>
            </w:pPr>
            <w:r>
              <w:rPr>
                <w:rFonts w:ascii="Times New Roman"/>
                <w:sz w:val="21"/>
              </w:rPr>
              <w:t>241,994.46</w:t>
            </w:r>
          </w:p>
        </w:tc>
      </w:tr>
    </w:tbl>
    <w:p>
      <w:pPr>
        <w:spacing w:line="240"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注：2007</w:t>
      </w:r>
      <w:r>
        <w:rPr>
          <w:rFonts w:ascii="宋体" w:hAnsi="宋体" w:cs="宋体" w:eastAsia="宋体" w:hint="default"/>
          <w:spacing w:val="-54"/>
          <w:sz w:val="21"/>
          <w:szCs w:val="21"/>
        </w:rPr>
        <w:t> </w:t>
      </w:r>
      <w:r>
        <w:rPr>
          <w:rFonts w:ascii="宋体" w:hAnsi="宋体" w:cs="宋体" w:eastAsia="宋体" w:hint="default"/>
          <w:sz w:val="21"/>
          <w:szCs w:val="21"/>
        </w:rPr>
        <w:t>年泰豪科技将同方人工环境有限公司纳入合并范围。</w:t>
      </w:r>
    </w:p>
    <w:p>
      <w:pPr>
        <w:spacing w:line="240" w:lineRule="auto" w:before="5"/>
        <w:rPr>
          <w:rFonts w:ascii="宋体" w:hAnsi="宋体" w:cs="宋体" w:eastAsia="宋体" w:hint="default"/>
          <w:sz w:val="23"/>
          <w:szCs w:val="23"/>
        </w:rPr>
      </w:pPr>
    </w:p>
    <w:p>
      <w:pPr>
        <w:pStyle w:val="Heading3"/>
        <w:spacing w:line="240" w:lineRule="auto"/>
        <w:ind w:left="238" w:right="0"/>
        <w:jc w:val="both"/>
        <w:rPr>
          <w:b w:val="0"/>
          <w:bCs w:val="0"/>
        </w:rPr>
      </w:pPr>
      <w:r>
        <w:rPr/>
        <w:t>2、同方威视技术股份有限公司</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left="238" w:right="242"/>
        <w:jc w:val="both"/>
      </w:pPr>
      <w:r>
        <w:rPr/>
        <w:t>同方威视技术股份有限公司成立于</w:t>
      </w:r>
      <w:r>
        <w:rPr>
          <w:spacing w:val="-60"/>
        </w:rPr>
        <w:t> </w:t>
      </w:r>
      <w:r>
        <w:rPr/>
        <w:t>2000</w:t>
      </w:r>
      <w:r>
        <w:rPr>
          <w:spacing w:val="-60"/>
        </w:rPr>
        <w:t> </w:t>
      </w:r>
      <w:r>
        <w:rPr/>
        <w:t>年</w:t>
      </w:r>
      <w:r>
        <w:rPr>
          <w:spacing w:val="-60"/>
        </w:rPr>
        <w:t> </w:t>
      </w:r>
      <w:r>
        <w:rPr/>
        <w:t>12</w:t>
      </w:r>
      <w:r>
        <w:rPr>
          <w:spacing w:val="-60"/>
        </w:rPr>
        <w:t> </w:t>
      </w:r>
      <w:r>
        <w:rPr/>
        <w:t>月</w:t>
      </w:r>
      <w:r>
        <w:rPr>
          <w:spacing w:val="-60"/>
        </w:rPr>
        <w:t> </w:t>
      </w:r>
      <w:r>
        <w:rPr/>
        <w:t>19</w:t>
      </w:r>
      <w:r>
        <w:rPr>
          <w:spacing w:val="-60"/>
        </w:rPr>
        <w:t> </w:t>
      </w:r>
      <w:r>
        <w:rPr>
          <w:spacing w:val="-4"/>
        </w:rPr>
        <w:t>日，注册资本</w:t>
      </w:r>
      <w:r>
        <w:rPr>
          <w:spacing w:val="-60"/>
        </w:rPr>
        <w:t> </w:t>
      </w:r>
      <w:r>
        <w:rPr/>
        <w:t>7,500</w:t>
      </w:r>
      <w:r>
        <w:rPr>
          <w:spacing w:val="-60"/>
        </w:rPr>
        <w:t> </w:t>
      </w:r>
      <w:r>
        <w:rPr>
          <w:spacing w:val="-3"/>
        </w:rPr>
        <w:t>万元，公司持股</w:t>
      </w:r>
      <w:r>
        <w:rPr/>
        <w:t> </w:t>
      </w:r>
      <w:r>
        <w:rPr>
          <w:spacing w:val="-1"/>
        </w:rPr>
        <w:t>76%。同方威视主要生产和销售直线加速器的集装箱/车辆检查系统、集装货物/车辆检查</w:t>
      </w:r>
      <w:r>
        <w:rPr/>
        <w:t> </w:t>
      </w:r>
      <w:r>
        <w:rPr>
          <w:spacing w:val="-4"/>
        </w:rPr>
        <w:t>系统、放射性物质监测系统、X</w:t>
      </w:r>
      <w:r>
        <w:rPr>
          <w:spacing w:val="-39"/>
        </w:rPr>
        <w:t> </w:t>
      </w:r>
      <w:r>
        <w:rPr>
          <w:spacing w:val="-3"/>
        </w:rPr>
        <w:t>射线检查系统、邮件电子束灭菌安全系统、铁路车辆检查</w:t>
      </w:r>
      <w:r>
        <w:rPr>
          <w:spacing w:val="-115"/>
        </w:rPr>
        <w:t> </w:t>
      </w:r>
      <w:r>
        <w:rPr>
          <w:spacing w:val="-115"/>
        </w:rPr>
      </w:r>
      <w:r>
        <w:rPr/>
        <w:t>系统、工业无损检测系统、小型物品检查机等系列产品。</w:t>
      </w:r>
    </w:p>
    <w:p>
      <w:pPr>
        <w:spacing w:line="240" w:lineRule="auto" w:before="11"/>
        <w:rPr>
          <w:rFonts w:ascii="宋体" w:hAnsi="宋体" w:cs="宋体" w:eastAsia="宋体" w:hint="default"/>
          <w:sz w:val="23"/>
          <w:szCs w:val="23"/>
        </w:rPr>
      </w:pPr>
    </w:p>
    <w:p>
      <w:pPr>
        <w:pStyle w:val="BodyText"/>
        <w:spacing w:line="237" w:lineRule="auto"/>
        <w:ind w:left="238" w:right="240"/>
        <w:jc w:val="both"/>
      </w:pPr>
      <w:r>
        <w:rPr/>
        <w:t>2008</w:t>
      </w:r>
      <w:r>
        <w:rPr>
          <w:spacing w:val="-40"/>
        </w:rPr>
        <w:t> </w:t>
      </w:r>
      <w:r>
        <w:rPr/>
        <w:t>年，同方威视继续坚持“大安全”的发展战略，以辐射成像技术为核心，把握北京</w:t>
      </w:r>
      <w:r>
        <w:rPr/>
        <w:t> 奥运等市场机遇，克服国际形势变化和人民币汇率上升等负面因素，实现了市场份额的</w:t>
      </w:r>
      <w:r>
        <w:rPr>
          <w:spacing w:val="-47"/>
        </w:rPr>
        <w:t> </w:t>
      </w:r>
      <w:r>
        <w:rPr>
          <w:spacing w:val="-47"/>
        </w:rPr>
      </w:r>
      <w:r>
        <w:rPr/>
        <w:t>提升。在技术开发和新产品推广方面，同方威视通过加大研发投入，不断实施新技术新</w:t>
      </w:r>
      <w:r>
        <w:rPr>
          <w:spacing w:val="-47"/>
        </w:rPr>
        <w:t> </w:t>
      </w:r>
      <w:r>
        <w:rPr>
          <w:spacing w:val="-47"/>
        </w:rPr>
      </w:r>
      <w:r>
        <w:rPr/>
        <w:t>产品的培育，提升自主创新能力，并结合市场实际需求实现了新技术的产业化应用。本</w:t>
      </w:r>
      <w:r>
        <w:rPr>
          <w:spacing w:val="-47"/>
        </w:rPr>
        <w:t> </w:t>
      </w:r>
      <w:r>
        <w:rPr>
          <w:spacing w:val="-47"/>
        </w:rPr>
      </w:r>
      <w:r>
        <w:rPr/>
        <w:t>年度，同方威视实现了双能双视角技术在组合式产品上的应用、低剂量双能技术在车载</w:t>
      </w:r>
      <w:r>
        <w:rPr>
          <w:spacing w:val="-47"/>
        </w:rPr>
        <w:t> </w:t>
      </w:r>
      <w:r>
        <w:rPr>
          <w:spacing w:val="-47"/>
        </w:rPr>
      </w:r>
      <w:r>
        <w:rPr/>
        <w:t>式产品上的应用以及快检技术在车载式产品上的应用，解决了用户的实际需求。在生产</w:t>
      </w:r>
      <w:r>
        <w:rPr>
          <w:spacing w:val="-47"/>
        </w:rPr>
        <w:t> </w:t>
      </w:r>
      <w:r>
        <w:rPr>
          <w:spacing w:val="-47"/>
        </w:rPr>
      </w:r>
      <w:r>
        <w:rPr/>
        <w:t>管理方面，同方威视通过精细管理、调整流程、明晰绩效考核体系等方式，进一步提升</w:t>
      </w:r>
      <w:r>
        <w:rPr>
          <w:spacing w:val="-47"/>
        </w:rPr>
        <w:t> </w:t>
      </w:r>
      <w:r>
        <w:rPr>
          <w:spacing w:val="-47"/>
        </w:rPr>
      </w:r>
      <w:r>
        <w:rPr/>
        <w:t>了盈利能力，并对小型设备生产加强了质量控制与可靠性试验，实现了批量化生产，降</w:t>
      </w:r>
      <w:r>
        <w:rPr>
          <w:spacing w:val="-47"/>
        </w:rPr>
        <w:t> </w:t>
      </w:r>
      <w:r>
        <w:rPr>
          <w:spacing w:val="-47"/>
        </w:rPr>
      </w:r>
      <w:r>
        <w:rPr/>
        <w:t>低了成本，本年度实现为奥运安保项目提供离子迁移衡量爆炸物检查设备 115</w:t>
      </w:r>
      <w:r>
        <w:rPr>
          <w:spacing w:val="-41"/>
        </w:rPr>
        <w:t> </w:t>
      </w:r>
      <w:r>
        <w:rPr/>
        <w:t>台、放射</w:t>
      </w:r>
    </w:p>
    <w:p>
      <w:pPr>
        <w:pStyle w:val="BodyText"/>
        <w:spacing w:line="475" w:lineRule="auto"/>
        <w:ind w:left="238" w:right="6066"/>
        <w:jc w:val="left"/>
      </w:pPr>
      <w:r>
        <w:rPr/>
        <w:pict>
          <v:shape style="position:absolute;margin-left:64.739998pt;margin-top:48.635918pt;width:473.15pt;height:68.5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7"/>
                    <w:gridCol w:w="1471"/>
                    <w:gridCol w:w="1069"/>
                    <w:gridCol w:w="3228"/>
                    <w:gridCol w:w="1642"/>
                  </w:tblGrid>
                  <w:tr>
                    <w:trPr>
                      <w:trHeight w:val="339" w:hRule="exact"/>
                    </w:trPr>
                    <w:tc>
                      <w:tcPr>
                        <w:tcW w:w="2007"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3"/>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69"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126"/>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2"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2" w:hRule="exact"/>
                    </w:trPr>
                    <w:tc>
                      <w:tcPr>
                        <w:tcW w:w="200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243,912.54</w:t>
                        </w:r>
                      </w:p>
                    </w:tc>
                    <w:tc>
                      <w:tcPr>
                        <w:tcW w:w="1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25.86%</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98,337.05</w:t>
                        </w:r>
                      </w:p>
                    </w:tc>
                    <w:tc>
                      <w:tcPr>
                        <w:tcW w:w="164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320,907.93</w:t>
                        </w:r>
                      </w:p>
                    </w:tc>
                  </w:tr>
                  <w:tr>
                    <w:trPr>
                      <w:trHeight w:val="332" w:hRule="exact"/>
                    </w:trPr>
                    <w:tc>
                      <w:tcPr>
                        <w:tcW w:w="200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230,386.32</w:t>
                        </w:r>
                      </w:p>
                    </w:tc>
                    <w:tc>
                      <w:tcPr>
                        <w:tcW w:w="1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27.42%</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87,721.27</w:t>
                        </w:r>
                      </w:p>
                    </w:tc>
                    <w:tc>
                      <w:tcPr>
                        <w:tcW w:w="164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288,371.81</w:t>
                        </w:r>
                      </w:p>
                    </w:tc>
                  </w:tr>
                  <w:tr>
                    <w:trPr>
                      <w:trHeight w:val="337" w:hRule="exact"/>
                    </w:trPr>
                    <w:tc>
                      <w:tcPr>
                        <w:tcW w:w="2007"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2006</w:t>
                        </w:r>
                        <w:r>
                          <w:rPr>
                            <w:rFonts w:ascii="Times New Roman"/>
                            <w:sz w:val="21"/>
                          </w:rPr>
                        </w:r>
                      </w:p>
                    </w:tc>
                    <w:tc>
                      <w:tcPr>
                        <w:tcW w:w="14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163,203.41</w:t>
                        </w:r>
                      </w:p>
                    </w:tc>
                    <w:tc>
                      <w:tcPr>
                        <w:tcW w:w="106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25.52%</w:t>
                        </w:r>
                      </w:p>
                    </w:tc>
                    <w:tc>
                      <w:tcPr>
                        <w:tcW w:w="32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58,520.63</w:t>
                        </w:r>
                      </w:p>
                    </w:tc>
                    <w:tc>
                      <w:tcPr>
                        <w:tcW w:w="1642"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164,778.29</w:t>
                        </w:r>
                      </w:p>
                    </w:tc>
                  </w:tr>
                </w:tbl>
                <w:p>
                  <w:pPr/>
                </w:p>
              </w:txbxContent>
            </v:textbox>
            <w10:wrap type="none"/>
          </v:shape>
        </w:pict>
      </w:r>
      <w:r>
        <w:rPr/>
        <w:t>性物质检查设备</w:t>
      </w:r>
      <w:r>
        <w:rPr>
          <w:spacing w:val="-60"/>
        </w:rPr>
        <w:t> </w:t>
      </w:r>
      <w:r>
        <w:rPr/>
        <w:t>170</w:t>
      </w:r>
      <w:r>
        <w:rPr>
          <w:spacing w:val="-60"/>
        </w:rPr>
        <w:t> </w:t>
      </w:r>
      <w:r>
        <w:rPr/>
        <w:t>台。</w:t>
      </w:r>
      <w:r>
        <w:rPr/>
        <w:t> 同方威视近三年主要财务数据：</w:t>
      </w:r>
    </w:p>
    <w:p>
      <w:pPr>
        <w:spacing w:after="0" w:line="475" w:lineRule="auto"/>
        <w:jc w:val="left"/>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before="26"/>
        <w:ind w:left="238" w:right="0"/>
        <w:jc w:val="both"/>
        <w:rPr>
          <w:b w:val="0"/>
          <w:bCs w:val="0"/>
        </w:rPr>
      </w:pPr>
      <w:r>
        <w:rPr/>
        <w:t>3、同方人工环境有限公司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0"/>
        <w:jc w:val="both"/>
      </w:pPr>
      <w:r>
        <w:rPr/>
        <w:t>同方人工环境有限公司成立于 2000 年 11 月 1 日，注册资本 24,900</w:t>
      </w:r>
      <w:r>
        <w:rPr>
          <w:spacing w:val="-40"/>
        </w:rPr>
        <w:t> </w:t>
      </w:r>
      <w:r>
        <w:rPr/>
        <w:t>万元，公司持股</w:t>
      </w:r>
      <w:r>
        <w:rPr/>
        <w:t> </w:t>
      </w:r>
      <w:r>
        <w:rPr>
          <w:spacing w:val="-1"/>
        </w:rPr>
        <w:t>40.964%。同方人环主要从事人工环境产品的技术开发、制造和销售，主要产品包括中央</w:t>
      </w:r>
      <w:r>
        <w:rPr/>
        <w:t> 空调、户式中央空调、空气末端处理设备、空气净化器等系列产品，并为用户提供涉及</w:t>
      </w:r>
      <w:r>
        <w:rPr>
          <w:spacing w:val="-47"/>
        </w:rPr>
        <w:t> </w:t>
      </w:r>
      <w:r>
        <w:rPr>
          <w:spacing w:val="-47"/>
        </w:rPr>
      </w:r>
      <w:r>
        <w:rPr>
          <w:spacing w:val="-3"/>
        </w:rPr>
        <w:t>建筑节能系统、VAV</w:t>
      </w:r>
      <w:r>
        <w:rPr>
          <w:spacing w:val="-52"/>
        </w:rPr>
        <w:t> </w:t>
      </w:r>
      <w:r>
        <w:rPr>
          <w:spacing w:val="-4"/>
        </w:rPr>
        <w:t>系统、水源热泵系统、户式空调系统、恒温恒湿系统、风冷热泵系统</w:t>
      </w:r>
      <w:r>
        <w:rPr>
          <w:spacing w:val="-113"/>
        </w:rPr>
        <w:t> </w:t>
      </w:r>
      <w:r>
        <w:rPr>
          <w:spacing w:val="-113"/>
        </w:rPr>
      </w:r>
      <w:r>
        <w:rPr/>
        <w:t>等建筑环境领域的应用解决方案。</w:t>
      </w:r>
    </w:p>
    <w:p>
      <w:pPr>
        <w:spacing w:line="240" w:lineRule="auto" w:before="11"/>
        <w:rPr>
          <w:rFonts w:ascii="宋体" w:hAnsi="宋体" w:cs="宋体" w:eastAsia="宋体" w:hint="default"/>
          <w:sz w:val="23"/>
          <w:szCs w:val="23"/>
        </w:rPr>
      </w:pPr>
    </w:p>
    <w:p>
      <w:pPr>
        <w:pStyle w:val="BodyText"/>
        <w:spacing w:line="237" w:lineRule="auto"/>
        <w:ind w:left="238" w:right="240"/>
        <w:jc w:val="both"/>
      </w:pPr>
      <w:r>
        <w:rPr/>
        <w:t>2008</w:t>
      </w:r>
      <w:r>
        <w:rPr>
          <w:spacing w:val="-40"/>
        </w:rPr>
        <w:t> </w:t>
      </w:r>
      <w:r>
        <w:rPr/>
        <w:t>年，同方人环继续深化产业结构调整，完成了整合销售平台、规范运营管理、强化</w:t>
      </w:r>
      <w:r>
        <w:rPr/>
        <w:t> 研发体系、调整生产布局、合并工程公司等工作，形成了对应的五大业务体系，实现了</w:t>
      </w:r>
      <w:r>
        <w:rPr>
          <w:spacing w:val="-47"/>
        </w:rPr>
        <w:t> </w:t>
      </w:r>
      <w:r>
        <w:rPr>
          <w:spacing w:val="-47"/>
        </w:rPr>
      </w:r>
      <w:r>
        <w:rPr/>
        <w:t>突出产业优势、形成竞争合力的目标。随着国家节能减排政策的落实，公司热泵产品相</w:t>
      </w:r>
      <w:r>
        <w:rPr>
          <w:spacing w:val="-47"/>
        </w:rPr>
        <w:t> </w:t>
      </w:r>
      <w:r>
        <w:rPr>
          <w:spacing w:val="-47"/>
        </w:rPr>
      </w:r>
      <w:r>
        <w:rPr/>
        <w:t>关业务获得了历史性的发展机遇，除实施了徐州张双楼煤矿、张家湾发电厂、天威新能</w:t>
      </w:r>
      <w:r>
        <w:rPr>
          <w:spacing w:val="-47"/>
        </w:rPr>
        <w:t> </w:t>
      </w:r>
      <w:r>
        <w:rPr>
          <w:spacing w:val="-47"/>
        </w:rPr>
      </w:r>
      <w:r>
        <w:rPr/>
        <w:t>源产业园等工业企业项目外，还进入了公共交通、农业科技、医疗卫生各个领域，成为</w:t>
      </w:r>
      <w:r>
        <w:rPr>
          <w:spacing w:val="-47"/>
        </w:rPr>
        <w:t> </w:t>
      </w:r>
      <w:r>
        <w:rPr>
          <w:spacing w:val="-47"/>
        </w:rPr>
      </w:r>
      <w:r>
        <w:rPr/>
        <w:t>城市区域能源规划与改造的主力军。本年度，公司还新中标了包括四个</w:t>
      </w:r>
      <w:r>
        <w:rPr>
          <w:spacing w:val="-39"/>
        </w:rPr>
        <w:t> </w:t>
      </w:r>
      <w:r>
        <w:rPr/>
        <w:t>“国家可再生能</w:t>
      </w:r>
      <w:r>
        <w:rPr/>
        <w:t> </w:t>
      </w:r>
      <w:r>
        <w:rPr>
          <w:spacing w:val="-5"/>
        </w:rPr>
        <w:t>源建筑应用示范项目”、一系列综合能源节能减排示范工程在内的一批大型项目，行业地</w:t>
      </w:r>
      <w:r>
        <w:rPr>
          <w:spacing w:val="-85"/>
        </w:rPr>
        <w:t> </w:t>
      </w:r>
      <w:r>
        <w:rPr>
          <w:spacing w:val="-85"/>
        </w:rPr>
      </w:r>
      <w:r>
        <w:rPr/>
        <w:t>位进一步提升。在技术创新方面，同方人环自主研发的 8</w:t>
      </w:r>
      <w:r>
        <w:rPr>
          <w:spacing w:val="-40"/>
        </w:rPr>
        <w:t> </w:t>
      </w:r>
      <w:r>
        <w:rPr/>
        <w:t>项节能型新技术、新工艺和新</w:t>
      </w:r>
      <w:r>
        <w:rPr/>
        <w:t> 产品获得国家专利总局实用新型专利授权，大大加强了其核心竞争优势。</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同方人环近三年主要财务数据：</w:t>
      </w: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07"/>
        <w:gridCol w:w="1471"/>
        <w:gridCol w:w="1069"/>
        <w:gridCol w:w="3228"/>
        <w:gridCol w:w="1642"/>
      </w:tblGrid>
      <w:tr>
        <w:trPr>
          <w:trHeight w:val="340" w:hRule="exact"/>
        </w:trPr>
        <w:tc>
          <w:tcPr>
            <w:tcW w:w="2007"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3"/>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69"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126"/>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2"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2" w:hRule="exact"/>
        </w:trPr>
        <w:tc>
          <w:tcPr>
            <w:tcW w:w="200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54,202.66</w:t>
            </w:r>
          </w:p>
        </w:tc>
        <w:tc>
          <w:tcPr>
            <w:tcW w:w="1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19.64%</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40,182.44</w:t>
            </w:r>
          </w:p>
        </w:tc>
        <w:tc>
          <w:tcPr>
            <w:tcW w:w="164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91,418.13</w:t>
            </w:r>
          </w:p>
        </w:tc>
      </w:tr>
      <w:tr>
        <w:trPr>
          <w:trHeight w:val="331" w:hRule="exact"/>
        </w:trPr>
        <w:tc>
          <w:tcPr>
            <w:tcW w:w="200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48,022.01</w:t>
            </w:r>
          </w:p>
        </w:tc>
        <w:tc>
          <w:tcPr>
            <w:tcW w:w="1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14.09%</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39,614.40</w:t>
            </w:r>
          </w:p>
        </w:tc>
        <w:tc>
          <w:tcPr>
            <w:tcW w:w="164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85,435.43</w:t>
            </w:r>
          </w:p>
        </w:tc>
      </w:tr>
      <w:tr>
        <w:trPr>
          <w:trHeight w:val="338" w:hRule="exact"/>
        </w:trPr>
        <w:tc>
          <w:tcPr>
            <w:tcW w:w="2007"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2006</w:t>
            </w:r>
            <w:r>
              <w:rPr>
                <w:rFonts w:ascii="Times New Roman"/>
                <w:sz w:val="21"/>
              </w:rPr>
            </w:r>
          </w:p>
        </w:tc>
        <w:tc>
          <w:tcPr>
            <w:tcW w:w="14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53,550.10</w:t>
            </w:r>
          </w:p>
        </w:tc>
        <w:tc>
          <w:tcPr>
            <w:tcW w:w="106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14.36%</w:t>
            </w:r>
          </w:p>
        </w:tc>
        <w:tc>
          <w:tcPr>
            <w:tcW w:w="32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32,186.86</w:t>
            </w:r>
          </w:p>
        </w:tc>
        <w:tc>
          <w:tcPr>
            <w:tcW w:w="1642"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72,948.15</w:t>
            </w:r>
          </w:p>
        </w:tc>
      </w:tr>
    </w:tbl>
    <w:p>
      <w:pPr>
        <w:spacing w:line="240" w:lineRule="auto" w:before="10"/>
        <w:rPr>
          <w:rFonts w:ascii="宋体" w:hAnsi="宋体" w:cs="宋体" w:eastAsia="宋体" w:hint="default"/>
          <w:sz w:val="18"/>
          <w:szCs w:val="18"/>
        </w:rPr>
      </w:pPr>
    </w:p>
    <w:p>
      <w:pPr>
        <w:pStyle w:val="Heading3"/>
        <w:spacing w:line="240" w:lineRule="auto" w:before="26"/>
        <w:ind w:left="238" w:right="0"/>
        <w:jc w:val="both"/>
        <w:rPr>
          <w:b w:val="0"/>
          <w:bCs w:val="0"/>
        </w:rPr>
      </w:pPr>
      <w:r>
        <w:rPr/>
        <w:t>4、北京同方微电子有限公司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0"/>
        <w:jc w:val="both"/>
      </w:pPr>
      <w:r>
        <w:rPr/>
        <w:t>北京同方微电子有限公司成立于</w:t>
      </w:r>
      <w:r>
        <w:rPr>
          <w:spacing w:val="-63"/>
        </w:rPr>
        <w:t> </w:t>
      </w:r>
      <w:r>
        <w:rPr/>
        <w:t>2001</w:t>
      </w:r>
      <w:r>
        <w:rPr>
          <w:spacing w:val="-63"/>
        </w:rPr>
        <w:t> </w:t>
      </w:r>
      <w:r>
        <w:rPr/>
        <w:t>年</w:t>
      </w:r>
      <w:r>
        <w:rPr>
          <w:spacing w:val="-63"/>
        </w:rPr>
        <w:t> </w:t>
      </w:r>
      <w:r>
        <w:rPr/>
        <w:t>12</w:t>
      </w:r>
      <w:r>
        <w:rPr>
          <w:spacing w:val="-63"/>
        </w:rPr>
        <w:t> </w:t>
      </w:r>
      <w:r>
        <w:rPr>
          <w:spacing w:val="-7"/>
        </w:rPr>
        <w:t>月，注册资本</w:t>
      </w:r>
      <w:r>
        <w:rPr>
          <w:spacing w:val="-63"/>
        </w:rPr>
        <w:t> </w:t>
      </w:r>
      <w:r>
        <w:rPr/>
        <w:t>3,160</w:t>
      </w:r>
      <w:r>
        <w:rPr>
          <w:spacing w:val="-63"/>
        </w:rPr>
        <w:t> </w:t>
      </w:r>
      <w:r>
        <w:rPr>
          <w:spacing w:val="-6"/>
        </w:rPr>
        <w:t>万元，公司持股</w:t>
      </w:r>
      <w:r>
        <w:rPr>
          <w:spacing w:val="-63"/>
        </w:rPr>
        <w:t> </w:t>
      </w:r>
      <w:r>
        <w:rPr>
          <w:spacing w:val="-7"/>
        </w:rPr>
        <w:t>86%。同</w:t>
      </w:r>
      <w:r>
        <w:rPr/>
        <w:t> 方微电子主要从事集成电路设计及配套系统的产品开发，主要产品包括第二代居民身份</w:t>
      </w:r>
      <w:r>
        <w:rPr>
          <w:spacing w:val="-47"/>
        </w:rPr>
        <w:t> </w:t>
      </w:r>
      <w:r>
        <w:rPr>
          <w:spacing w:val="-47"/>
        </w:rPr>
      </w:r>
      <w:r>
        <w:rPr/>
        <w:t>证芯片、接触式/非接触式</w:t>
      </w:r>
      <w:r>
        <w:rPr>
          <w:spacing w:val="-60"/>
        </w:rPr>
        <w:t> </w:t>
      </w:r>
      <w:r>
        <w:rPr/>
        <w:t>CPU</w:t>
      </w:r>
      <w:r>
        <w:rPr>
          <w:spacing w:val="-60"/>
        </w:rPr>
        <w:t> </w:t>
      </w:r>
      <w:r>
        <w:rPr/>
        <w:t>卡芯片、RFID</w:t>
      </w:r>
      <w:r>
        <w:rPr>
          <w:spacing w:val="-60"/>
        </w:rPr>
        <w:t> </w:t>
      </w:r>
      <w:r>
        <w:rPr/>
        <w:t>芯片等相关产品。</w:t>
      </w:r>
    </w:p>
    <w:p>
      <w:pPr>
        <w:spacing w:line="240" w:lineRule="auto" w:before="10"/>
        <w:rPr>
          <w:rFonts w:ascii="宋体" w:hAnsi="宋体" w:cs="宋体" w:eastAsia="宋体" w:hint="default"/>
          <w:sz w:val="23"/>
          <w:szCs w:val="23"/>
        </w:rPr>
      </w:pPr>
    </w:p>
    <w:p>
      <w:pPr>
        <w:pStyle w:val="BodyText"/>
        <w:spacing w:line="237" w:lineRule="auto"/>
        <w:ind w:left="238" w:right="240"/>
        <w:jc w:val="both"/>
      </w:pPr>
      <w:r>
        <w:rPr/>
        <w:t>2008</w:t>
      </w:r>
      <w:r>
        <w:rPr>
          <w:spacing w:val="-40"/>
        </w:rPr>
        <w:t> </w:t>
      </w:r>
      <w:r>
        <w:rPr/>
        <w:t>年，同方微电子进一步明确了以芯片设计业务为核心，开发具有自主知识产权的集</w:t>
      </w:r>
      <w:r>
        <w:rPr/>
        <w:t> 成电路芯片及配套系统，并为客户提供系统解决方案。本年度，同方微电子围绕智能卡</w:t>
      </w:r>
      <w:r>
        <w:rPr>
          <w:spacing w:val="-47"/>
        </w:rPr>
        <w:t> </w:t>
      </w:r>
      <w:r>
        <w:rPr>
          <w:spacing w:val="-47"/>
        </w:rPr>
      </w:r>
      <w:r>
        <w:rPr/>
        <w:t>芯片、RFID</w:t>
      </w:r>
      <w:r>
        <w:rPr>
          <w:spacing w:val="-40"/>
        </w:rPr>
        <w:t> </w:t>
      </w:r>
      <w:r>
        <w:rPr/>
        <w:t>标签芯片和多元化的其他芯片三条产品线，加大技术投入，实施技术合作和</w:t>
      </w:r>
      <w:r>
        <w:rPr/>
        <w:t> 技术储备，以应对激烈的市场竞争。本年度，同方微电子推出了第二代身份证芯片优化</w:t>
      </w:r>
      <w:r>
        <w:rPr>
          <w:spacing w:val="-47"/>
        </w:rPr>
        <w:t> </w:t>
      </w:r>
      <w:r>
        <w:rPr>
          <w:spacing w:val="-47"/>
        </w:rPr>
      </w:r>
      <w:r>
        <w:rPr/>
        <w:t>版本 THR9904 6.1</w:t>
      </w:r>
      <w:r>
        <w:rPr>
          <w:spacing w:val="-40"/>
        </w:rPr>
        <w:t> </w:t>
      </w:r>
      <w:r>
        <w:rPr/>
        <w:t>正式替代原老版本，优化了性能降低了成本，同时发展多协议高频读</w:t>
      </w:r>
      <w:r>
        <w:rPr/>
        <w:t> 写器芯片，扩大了身份证读写设备的市场份额。2008</w:t>
      </w:r>
      <w:r>
        <w:rPr>
          <w:spacing w:val="-40"/>
        </w:rPr>
        <w:t> </w:t>
      </w:r>
      <w:r>
        <w:rPr/>
        <w:t>年，同方微电子还继续入围中国半</w:t>
      </w:r>
      <w:r>
        <w:rPr/>
        <w:t> </w:t>
      </w:r>
      <w:r>
        <w:rPr>
          <w:spacing w:val="-4"/>
        </w:rPr>
        <w:t>导体行业协会评选的“2008</w:t>
      </w:r>
      <w:r>
        <w:rPr>
          <w:spacing w:val="-40"/>
        </w:rPr>
        <w:t> </w:t>
      </w:r>
      <w:r>
        <w:rPr>
          <w:spacing w:val="-7"/>
        </w:rPr>
        <w:t>年中国十大集成电路设计企业”，这已经是同方微电子连续四</w:t>
      </w:r>
      <w:r>
        <w:rPr>
          <w:spacing w:val="-116"/>
        </w:rPr>
        <w:t> </w:t>
      </w:r>
      <w:r>
        <w:rPr>
          <w:spacing w:val="-116"/>
        </w:rPr>
      </w:r>
      <w:r>
        <w:rPr/>
        <w:t>年获得此项殊荣。</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同方微电子近三年主要财务数据：</w:t>
      </w:r>
    </w:p>
    <w:p>
      <w:pPr>
        <w:spacing w:after="0" w:line="240" w:lineRule="auto"/>
        <w:jc w:val="both"/>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07"/>
        <w:gridCol w:w="1471"/>
        <w:gridCol w:w="1069"/>
        <w:gridCol w:w="3228"/>
        <w:gridCol w:w="1642"/>
      </w:tblGrid>
      <w:tr>
        <w:trPr>
          <w:trHeight w:val="339" w:hRule="exact"/>
        </w:trPr>
        <w:tc>
          <w:tcPr>
            <w:tcW w:w="2007"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3"/>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69"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126"/>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2"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2" w:hRule="exact"/>
        </w:trPr>
        <w:tc>
          <w:tcPr>
            <w:tcW w:w="200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39,666.52</w:t>
            </w:r>
          </w:p>
        </w:tc>
        <w:tc>
          <w:tcPr>
            <w:tcW w:w="1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39.31%</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34,697.43</w:t>
            </w:r>
          </w:p>
        </w:tc>
        <w:tc>
          <w:tcPr>
            <w:tcW w:w="164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63,889.88</w:t>
            </w:r>
          </w:p>
        </w:tc>
      </w:tr>
      <w:tr>
        <w:trPr>
          <w:trHeight w:val="331" w:hRule="exact"/>
        </w:trPr>
        <w:tc>
          <w:tcPr>
            <w:tcW w:w="200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45,740.35</w:t>
            </w:r>
          </w:p>
        </w:tc>
        <w:tc>
          <w:tcPr>
            <w:tcW w:w="1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39.68%</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30,440.29</w:t>
            </w:r>
          </w:p>
        </w:tc>
        <w:tc>
          <w:tcPr>
            <w:tcW w:w="164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47,438.80</w:t>
            </w:r>
          </w:p>
        </w:tc>
      </w:tr>
      <w:tr>
        <w:trPr>
          <w:trHeight w:val="338" w:hRule="exact"/>
        </w:trPr>
        <w:tc>
          <w:tcPr>
            <w:tcW w:w="2007"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2006</w:t>
            </w:r>
            <w:r>
              <w:rPr>
                <w:rFonts w:ascii="Times New Roman"/>
                <w:sz w:val="21"/>
              </w:rPr>
            </w:r>
          </w:p>
        </w:tc>
        <w:tc>
          <w:tcPr>
            <w:tcW w:w="14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50,573.94</w:t>
            </w:r>
          </w:p>
        </w:tc>
        <w:tc>
          <w:tcPr>
            <w:tcW w:w="106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45.33%</w:t>
            </w:r>
          </w:p>
        </w:tc>
        <w:tc>
          <w:tcPr>
            <w:tcW w:w="32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23,758.23</w:t>
            </w:r>
          </w:p>
        </w:tc>
        <w:tc>
          <w:tcPr>
            <w:tcW w:w="1642"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51,762.01</w:t>
            </w:r>
          </w:p>
        </w:tc>
      </w:tr>
    </w:tbl>
    <w:p>
      <w:pPr>
        <w:spacing w:line="240" w:lineRule="auto" w:before="10"/>
        <w:rPr>
          <w:rFonts w:ascii="宋体" w:hAnsi="宋体" w:cs="宋体" w:eastAsia="宋体" w:hint="default"/>
          <w:sz w:val="18"/>
          <w:szCs w:val="18"/>
        </w:rPr>
      </w:pPr>
    </w:p>
    <w:p>
      <w:pPr>
        <w:pStyle w:val="Heading3"/>
        <w:spacing w:line="240" w:lineRule="auto" w:before="26"/>
        <w:ind w:left="238" w:right="0"/>
        <w:jc w:val="both"/>
        <w:rPr>
          <w:b w:val="0"/>
          <w:bCs w:val="0"/>
        </w:rPr>
      </w:pPr>
      <w:r>
        <w:rPr/>
        <w:t>5、同方工业有限公司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0"/>
        <w:jc w:val="both"/>
      </w:pPr>
      <w:r>
        <w:rPr/>
        <w:t>同方工业有限公司系公司以江西无线电厂为主体于</w:t>
      </w:r>
      <w:r>
        <w:rPr>
          <w:spacing w:val="-70"/>
        </w:rPr>
        <w:t> </w:t>
      </w:r>
      <w:r>
        <w:rPr/>
        <w:t>2006</w:t>
      </w:r>
      <w:r>
        <w:rPr>
          <w:spacing w:val="-70"/>
        </w:rPr>
        <w:t> </w:t>
      </w:r>
      <w:r>
        <w:rPr/>
        <w:t>年</w:t>
      </w:r>
      <w:r>
        <w:rPr>
          <w:spacing w:val="-70"/>
        </w:rPr>
        <w:t> </w:t>
      </w:r>
      <w:r>
        <w:rPr/>
        <w:t>9</w:t>
      </w:r>
      <w:r>
        <w:rPr>
          <w:spacing w:val="-70"/>
        </w:rPr>
        <w:t> </w:t>
      </w:r>
      <w:r>
        <w:rPr/>
        <w:t>月新组建的专业从事军工产</w:t>
      </w:r>
      <w:r>
        <w:rPr/>
        <w:t> 业的公司，注册资本为</w:t>
      </w:r>
      <w:r>
        <w:rPr>
          <w:spacing w:val="-53"/>
        </w:rPr>
        <w:t> </w:t>
      </w:r>
      <w:r>
        <w:rPr/>
        <w:t>4</w:t>
      </w:r>
      <w:r>
        <w:rPr>
          <w:spacing w:val="-53"/>
        </w:rPr>
        <w:t> </w:t>
      </w:r>
      <w:r>
        <w:rPr/>
        <w:t>亿元，公司持股</w:t>
      </w:r>
      <w:r>
        <w:rPr>
          <w:spacing w:val="-53"/>
        </w:rPr>
        <w:t> </w:t>
      </w:r>
      <w:r>
        <w:rPr/>
        <w:t>100%。同方工业公司目前主要投资了全资子公</w:t>
      </w:r>
      <w:r>
        <w:rPr/>
        <w:t> 司江西无线电厂和九江同方江新造船有限公司，其中，江西无线电厂主要从事军用民用</w:t>
      </w:r>
      <w:r>
        <w:rPr>
          <w:spacing w:val="-47"/>
        </w:rPr>
        <w:t> </w:t>
      </w:r>
      <w:r>
        <w:rPr>
          <w:spacing w:val="-47"/>
        </w:rPr>
      </w:r>
      <w:r>
        <w:rPr/>
        <w:t>通讯设备、电子产品的制造；江新造船公司主要从事军民用船舶的制造。</w:t>
      </w:r>
    </w:p>
    <w:p>
      <w:pPr>
        <w:spacing w:line="240" w:lineRule="auto" w:before="11"/>
        <w:rPr>
          <w:rFonts w:ascii="宋体" w:hAnsi="宋体" w:cs="宋体" w:eastAsia="宋体" w:hint="default"/>
          <w:sz w:val="23"/>
          <w:szCs w:val="23"/>
        </w:rPr>
      </w:pPr>
    </w:p>
    <w:p>
      <w:pPr>
        <w:pStyle w:val="BodyText"/>
        <w:spacing w:line="237" w:lineRule="auto"/>
        <w:ind w:left="238" w:right="240"/>
        <w:jc w:val="both"/>
      </w:pPr>
      <w:r>
        <w:rPr/>
        <w:t>2008</w:t>
      </w:r>
      <w:r>
        <w:rPr>
          <w:spacing w:val="-40"/>
        </w:rPr>
        <w:t> </w:t>
      </w:r>
      <w:r>
        <w:rPr/>
        <w:t>年，同方工业公司建立起了以公司本部为资源调控中心、规划管理中心和目标考核</w:t>
      </w:r>
      <w:r>
        <w:rPr/>
        <w:t> 中心，以江西无线电厂和江新造船厂为产业化研发基地和生产制造基地的产业布局，并</w:t>
      </w:r>
      <w:r>
        <w:rPr>
          <w:spacing w:val="-47"/>
        </w:rPr>
        <w:t> </w:t>
      </w:r>
      <w:r>
        <w:rPr>
          <w:spacing w:val="-47"/>
        </w:rPr>
      </w:r>
      <w:r>
        <w:rPr/>
        <w:t>抓住机遇，调整发展思路和发展战略，保证了军民品订单的增长。在通信制造方面，江</w:t>
      </w:r>
      <w:r>
        <w:rPr>
          <w:spacing w:val="-47"/>
        </w:rPr>
        <w:t> </w:t>
      </w:r>
      <w:r>
        <w:rPr>
          <w:spacing w:val="-47"/>
        </w:rPr>
      </w:r>
      <w:r>
        <w:rPr/>
        <w:t>西无线电厂不断培养和提升自主创新能力，实现了产品的升级换代，并进一步优化管理</w:t>
      </w:r>
      <w:r>
        <w:rPr>
          <w:spacing w:val="-47"/>
        </w:rPr>
        <w:t> </w:t>
      </w:r>
      <w:r>
        <w:rPr>
          <w:spacing w:val="-47"/>
        </w:rPr>
      </w:r>
      <w:r>
        <w:rPr/>
        <w:t>模式，提高快速反映能力，圆满完成了其承接的军方订单。在造船领域，江新造船厂的</w:t>
      </w:r>
      <w:r>
        <w:rPr>
          <w:spacing w:val="-47"/>
        </w:rPr>
        <w:t> </w:t>
      </w:r>
      <w:r>
        <w:rPr>
          <w:spacing w:val="-47"/>
        </w:rPr>
      </w:r>
      <w:r>
        <w:rPr/>
        <w:t>万吨船台技改项目顺利完成，形成了万吨级船舶的建造能力。此外，同方工业公司还不</w:t>
      </w:r>
      <w:r>
        <w:rPr>
          <w:spacing w:val="-47"/>
        </w:rPr>
        <w:t> </w:t>
      </w:r>
      <w:r>
        <w:rPr>
          <w:spacing w:val="-47"/>
        </w:rPr>
      </w:r>
      <w:r>
        <w:rPr/>
        <w:t>断探索开拓反恐维稳、人防通信、卫星导航、移动通信设备方面的技术，实现了寓军于</w:t>
      </w:r>
      <w:r>
        <w:rPr>
          <w:spacing w:val="-47"/>
        </w:rPr>
        <w:t> </w:t>
      </w:r>
      <w:r>
        <w:rPr>
          <w:spacing w:val="-47"/>
        </w:rPr>
      </w:r>
      <w:r>
        <w:rPr/>
        <w:t>民、高科技资源的军民共享。</w:t>
      </w:r>
    </w:p>
    <w:p>
      <w:pPr>
        <w:spacing w:line="240" w:lineRule="auto" w:before="7"/>
        <w:rPr>
          <w:rFonts w:ascii="宋体" w:hAnsi="宋体" w:cs="宋体" w:eastAsia="宋体" w:hint="default"/>
          <w:sz w:val="23"/>
          <w:szCs w:val="23"/>
        </w:rPr>
      </w:pPr>
    </w:p>
    <w:p>
      <w:pPr>
        <w:pStyle w:val="BodyText"/>
        <w:spacing w:line="240" w:lineRule="auto"/>
        <w:ind w:left="238" w:right="0"/>
        <w:jc w:val="both"/>
      </w:pPr>
      <w:r>
        <w:rPr/>
        <w:t>工业公司近三年主要财务数据：</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07"/>
        <w:gridCol w:w="1471"/>
        <w:gridCol w:w="1069"/>
        <w:gridCol w:w="3228"/>
        <w:gridCol w:w="1642"/>
      </w:tblGrid>
      <w:tr>
        <w:trPr>
          <w:trHeight w:val="338" w:hRule="exact"/>
        </w:trPr>
        <w:tc>
          <w:tcPr>
            <w:tcW w:w="2007"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516"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69"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10"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29"/>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2"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49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6" w:hRule="exact"/>
        </w:trPr>
        <w:tc>
          <w:tcPr>
            <w:tcW w:w="2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6"/>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14" w:right="0"/>
              <w:jc w:val="left"/>
              <w:rPr>
                <w:rFonts w:ascii="Times New Roman" w:hAnsi="Times New Roman" w:cs="Times New Roman" w:eastAsia="Times New Roman" w:hint="default"/>
                <w:sz w:val="21"/>
                <w:szCs w:val="21"/>
              </w:rPr>
            </w:pPr>
            <w:r>
              <w:rPr>
                <w:rFonts w:ascii="Times New Roman"/>
                <w:sz w:val="21"/>
              </w:rPr>
              <w:t>86,504.92</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21.24%</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52,832.07</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161,996.74</w:t>
            </w:r>
          </w:p>
        </w:tc>
      </w:tr>
      <w:tr>
        <w:trPr>
          <w:trHeight w:val="330" w:hRule="exact"/>
        </w:trPr>
        <w:tc>
          <w:tcPr>
            <w:tcW w:w="2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6"/>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514" w:right="0"/>
              <w:jc w:val="left"/>
              <w:rPr>
                <w:rFonts w:ascii="Times New Roman" w:hAnsi="Times New Roman" w:cs="Times New Roman" w:eastAsia="Times New Roman" w:hint="default"/>
                <w:sz w:val="21"/>
                <w:szCs w:val="21"/>
              </w:rPr>
            </w:pPr>
            <w:r>
              <w:rPr>
                <w:rFonts w:ascii="Times New Roman"/>
                <w:sz w:val="21"/>
              </w:rPr>
              <w:t>80,892.65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5"/>
              <w:jc w:val="right"/>
              <w:rPr>
                <w:rFonts w:ascii="Times New Roman" w:hAnsi="Times New Roman" w:cs="Times New Roman" w:eastAsia="Times New Roman" w:hint="default"/>
                <w:sz w:val="21"/>
                <w:szCs w:val="21"/>
              </w:rPr>
            </w:pPr>
            <w:r>
              <w:rPr>
                <w:rFonts w:ascii="Times New Roman"/>
                <w:spacing w:val="-1"/>
                <w:sz w:val="21"/>
              </w:rPr>
              <w:t>20.43%</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pacing w:val="-1"/>
                <w:sz w:val="21"/>
              </w:rPr>
              <w:t>49,225.58</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7"/>
              <w:ind w:right="91"/>
              <w:jc w:val="right"/>
              <w:rPr>
                <w:rFonts w:ascii="Times New Roman" w:hAnsi="Times New Roman" w:cs="Times New Roman" w:eastAsia="Times New Roman" w:hint="default"/>
                <w:sz w:val="21"/>
                <w:szCs w:val="21"/>
              </w:rPr>
            </w:pPr>
            <w:r>
              <w:rPr>
                <w:rFonts w:ascii="Times New Roman"/>
                <w:spacing w:val="-1"/>
                <w:sz w:val="21"/>
              </w:rPr>
              <w:t>148,245.77</w:t>
            </w:r>
          </w:p>
        </w:tc>
      </w:tr>
      <w:tr>
        <w:trPr>
          <w:trHeight w:val="335" w:hRule="exact"/>
        </w:trPr>
        <w:tc>
          <w:tcPr>
            <w:tcW w:w="20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6"/>
              <w:jc w:val="center"/>
              <w:rPr>
                <w:rFonts w:ascii="Times New Roman" w:hAnsi="Times New Roman" w:cs="Times New Roman" w:eastAsia="Times New Roman" w:hint="default"/>
                <w:sz w:val="21"/>
                <w:szCs w:val="21"/>
              </w:rPr>
            </w:pPr>
            <w:r>
              <w:rPr>
                <w:rFonts w:ascii="Times New Roman"/>
                <w:b/>
                <w:sz w:val="21"/>
              </w:rPr>
              <w:t>2006</w:t>
            </w:r>
            <w:r>
              <w:rPr>
                <w:rFonts w:ascii="Times New Roman"/>
                <w:sz w:val="21"/>
              </w:rPr>
            </w:r>
          </w:p>
        </w:tc>
        <w:tc>
          <w:tcPr>
            <w:tcW w:w="14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514" w:right="0"/>
              <w:jc w:val="left"/>
              <w:rPr>
                <w:rFonts w:ascii="Times New Roman" w:hAnsi="Times New Roman" w:cs="Times New Roman" w:eastAsia="Times New Roman" w:hint="default"/>
                <w:sz w:val="21"/>
                <w:szCs w:val="21"/>
              </w:rPr>
            </w:pPr>
            <w:r>
              <w:rPr>
                <w:rFonts w:ascii="Times New Roman"/>
                <w:sz w:val="21"/>
              </w:rPr>
              <w:t>61,309.55</w:t>
            </w:r>
          </w:p>
        </w:tc>
        <w:tc>
          <w:tcPr>
            <w:tcW w:w="1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20.75%</w:t>
            </w:r>
          </w:p>
        </w:tc>
        <w:tc>
          <w:tcPr>
            <w:tcW w:w="3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23,189.53</w:t>
            </w:r>
          </w:p>
        </w:tc>
        <w:tc>
          <w:tcPr>
            <w:tcW w:w="16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69,612.58</w:t>
            </w:r>
          </w:p>
        </w:tc>
      </w:tr>
    </w:tbl>
    <w:p>
      <w:pPr>
        <w:spacing w:line="240" w:lineRule="auto" w:before="10"/>
        <w:rPr>
          <w:rFonts w:ascii="宋体" w:hAnsi="宋体" w:cs="宋体" w:eastAsia="宋体" w:hint="default"/>
          <w:sz w:val="18"/>
          <w:szCs w:val="18"/>
        </w:rPr>
      </w:pPr>
    </w:p>
    <w:p>
      <w:pPr>
        <w:pStyle w:val="Heading3"/>
        <w:spacing w:line="240" w:lineRule="auto" w:before="26"/>
        <w:ind w:left="238" w:right="107"/>
        <w:jc w:val="left"/>
        <w:rPr>
          <w:b w:val="0"/>
          <w:bCs w:val="0"/>
        </w:rPr>
      </w:pPr>
      <w:r>
        <w:rPr/>
        <w:t>6、同方知网(北京)技术有限公司</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238" w:right="123"/>
        <w:jc w:val="both"/>
      </w:pPr>
      <w:r>
        <w:rPr/>
        <w:t>同方知网注册资本</w:t>
      </w:r>
      <w:r>
        <w:rPr>
          <w:spacing w:val="-53"/>
        </w:rPr>
        <w:t> </w:t>
      </w:r>
      <w:r>
        <w:rPr/>
        <w:t>100</w:t>
      </w:r>
      <w:r>
        <w:rPr>
          <w:spacing w:val="-53"/>
        </w:rPr>
        <w:t> </w:t>
      </w:r>
      <w:r>
        <w:rPr/>
        <w:t>万美元，公司合并持股</w:t>
      </w:r>
      <w:r>
        <w:rPr>
          <w:spacing w:val="-53"/>
        </w:rPr>
        <w:t> </w:t>
      </w:r>
      <w:r>
        <w:rPr/>
        <w:t>100%，系公司为推动互联网业务的国际化</w:t>
      </w:r>
      <w:r>
        <w:rPr/>
        <w:t> 进程，通过海外投资平台 ResuccessInvestmentsLimited</w:t>
      </w:r>
      <w:r>
        <w:rPr>
          <w:spacing w:val="-40"/>
        </w:rPr>
        <w:t> </w:t>
      </w:r>
      <w:r>
        <w:rPr/>
        <w:t>设立的面向全球市场的互联网</w:t>
      </w:r>
      <w:r>
        <w:rPr/>
        <w:t> </w:t>
      </w:r>
      <w:r>
        <w:rPr>
          <w:spacing w:val="-2"/>
        </w:rPr>
        <w:t>技术开发公司，同方知网主要从事互联网出版与服务业务，目前已经形成了“中国知网”</w:t>
      </w:r>
    </w:p>
    <w:p>
      <w:pPr>
        <w:pStyle w:val="BodyText"/>
        <w:spacing w:line="310" w:lineRule="exact" w:before="2"/>
        <w:ind w:left="238" w:right="229"/>
        <w:jc w:val="left"/>
      </w:pPr>
      <w:r>
        <w:rPr>
          <w:spacing w:val="2"/>
        </w:rPr>
        <w:t>（</w:t>
      </w:r>
      <w:r>
        <w:rPr/>
        <w:t>CNK</w:t>
      </w:r>
      <w:r>
        <w:rPr>
          <w:spacing w:val="2"/>
        </w:rPr>
        <w:t>I）门户网站，为用户提供《中国知识资源总库</w:t>
      </w:r>
      <w:r>
        <w:rPr>
          <w:spacing w:val="-118"/>
        </w:rPr>
        <w:t>》、</w:t>
      </w:r>
      <w:r>
        <w:rPr>
          <w:spacing w:val="2"/>
        </w:rPr>
        <w:t>《中国学术期刊数据库</w:t>
      </w:r>
      <w:r>
        <w:rPr>
          <w:spacing w:val="-118"/>
        </w:rPr>
        <w:t>》</w:t>
      </w:r>
      <w:r>
        <w:rPr>
          <w:spacing w:val="-119"/>
        </w:rPr>
        <w:t>、</w:t>
      </w:r>
      <w:r>
        <w:rPr>
          <w:spacing w:val="2"/>
        </w:rPr>
        <w:t>《中国</w:t>
      </w:r>
      <w:r>
        <w:rPr>
          <w:spacing w:val="2"/>
        </w:rPr>
        <w:t> 博硕士论文数据库</w:t>
      </w:r>
      <w:r>
        <w:rPr>
          <w:spacing w:val="-118"/>
        </w:rPr>
        <w:t>》</w:t>
      </w:r>
      <w:r>
        <w:rPr>
          <w:spacing w:val="-119"/>
        </w:rPr>
        <w:t>、</w:t>
      </w:r>
      <w:r>
        <w:rPr>
          <w:spacing w:val="2"/>
        </w:rPr>
        <w:t>《中国年鉴全文数据库</w:t>
      </w:r>
      <w:r>
        <w:rPr>
          <w:spacing w:val="-120"/>
        </w:rPr>
        <w:t>》</w:t>
      </w:r>
      <w:r>
        <w:rPr>
          <w:spacing w:val="-119"/>
        </w:rPr>
        <w:t>、</w:t>
      </w:r>
      <w:r>
        <w:rPr>
          <w:spacing w:val="2"/>
        </w:rPr>
        <w:t>《中国工具书网络出版总库》等一系列产</w:t>
      </w:r>
      <w:r>
        <w:rPr/>
      </w:r>
    </w:p>
    <w:p>
      <w:pPr>
        <w:pStyle w:val="BodyText"/>
        <w:spacing w:line="284" w:lineRule="exact"/>
        <w:ind w:left="238" w:right="107"/>
        <w:jc w:val="left"/>
      </w:pPr>
      <w:r>
        <w:rPr/>
        <w:t>品，以及知识资源互联网搜索、共享和网络出版服务。</w:t>
      </w:r>
    </w:p>
    <w:p>
      <w:pPr>
        <w:spacing w:line="240" w:lineRule="auto" w:before="9"/>
        <w:rPr>
          <w:rFonts w:ascii="宋体" w:hAnsi="宋体" w:cs="宋体" w:eastAsia="宋体" w:hint="default"/>
          <w:sz w:val="23"/>
          <w:szCs w:val="23"/>
        </w:rPr>
      </w:pPr>
    </w:p>
    <w:p>
      <w:pPr>
        <w:pStyle w:val="BodyText"/>
        <w:spacing w:line="237" w:lineRule="auto"/>
        <w:ind w:left="238" w:right="120"/>
        <w:jc w:val="left"/>
      </w:pPr>
      <w:r>
        <w:rPr/>
        <w:t>2008</w:t>
      </w:r>
      <w:r>
        <w:rPr>
          <w:spacing w:val="-40"/>
        </w:rPr>
        <w:t> </w:t>
      </w:r>
      <w:r>
        <w:rPr/>
        <w:t>年，面对全球金融危机的挑战以及国家与各行业坚持自主创新、强化科学发展带来</w:t>
      </w:r>
      <w:r>
        <w:rPr/>
        <w:t> 的机遇，同方知网加强数字出版商业模式创新，持续深化打造个性化服务产品，广泛开</w:t>
      </w:r>
      <w:r>
        <w:rPr>
          <w:spacing w:val="-47"/>
        </w:rPr>
        <w:t> </w:t>
      </w:r>
      <w:r>
        <w:rPr>
          <w:spacing w:val="-47"/>
        </w:rPr>
      </w:r>
      <w:r>
        <w:rPr/>
        <w:t>展内容增值服务，开拓知识资源应用新领域，为实现知识管理与知识服务的行业转型迈</w:t>
      </w:r>
      <w:r>
        <w:rPr>
          <w:spacing w:val="-47"/>
        </w:rPr>
        <w:t> </w:t>
      </w:r>
      <w:r>
        <w:rPr>
          <w:spacing w:val="-47"/>
        </w:rPr>
      </w:r>
      <w:r>
        <w:rPr/>
        <w:t>出了坚实的一步。本年度，同方知网以知识管理与增值利用为目标的软件产品与增值服</w:t>
      </w:r>
      <w:r>
        <w:rPr>
          <w:spacing w:val="-47"/>
        </w:rPr>
        <w:t> </w:t>
      </w:r>
      <w:r>
        <w:rPr>
          <w:spacing w:val="-47"/>
        </w:rPr>
      </w:r>
      <w:r>
        <w:rPr>
          <w:spacing w:val="-7"/>
        </w:rPr>
        <w:t>务技术在行业重大信息化工程中扮演重要角色，新开发了学术不端文献检测系统（AMLC）、</w:t>
      </w:r>
      <w:r>
        <w:rPr>
          <w:spacing w:val="-106"/>
        </w:rPr>
        <w:t> </w:t>
      </w:r>
      <w:r>
        <w:rPr>
          <w:spacing w:val="-106"/>
        </w:rPr>
      </w:r>
      <w:r>
        <w:rPr/>
        <w:t>国家发改委金宏工程——经济文献共享数据库系统、新闻出版总署网络不良信息监管及</w:t>
      </w:r>
    </w:p>
    <w:p>
      <w:pPr>
        <w:spacing w:after="0" w:line="237" w:lineRule="auto"/>
        <w:jc w:val="left"/>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left="238" w:right="238"/>
        <w:jc w:val="both"/>
      </w:pPr>
      <w:r>
        <w:rPr/>
        <w:t>网络舆情监控系统等一批重点产品。2008</w:t>
      </w:r>
      <w:r>
        <w:rPr>
          <w:spacing w:val="-40"/>
        </w:rPr>
        <w:t> </w:t>
      </w:r>
      <w:r>
        <w:rPr/>
        <w:t>年，同方知网还入选商务部、文化部、国家广</w:t>
      </w:r>
      <w:r>
        <w:rPr/>
        <w:t> </w:t>
      </w:r>
      <w:r>
        <w:rPr>
          <w:spacing w:val="1"/>
        </w:rPr>
        <w:t>电总局、国家新闻出版总署批准的</w:t>
      </w:r>
      <w:r>
        <w:rPr>
          <w:spacing w:val="29"/>
        </w:rPr>
        <w:t> </w:t>
      </w:r>
      <w:r>
        <w:rPr>
          <w:spacing w:val="-4"/>
        </w:rPr>
        <w:t>“国家文化出口重点企业”，并获得中国版权协会授</w:t>
      </w:r>
      <w:r>
        <w:rPr>
          <w:spacing w:val="-117"/>
        </w:rPr>
        <w:t> </w:t>
      </w:r>
      <w:r>
        <w:rPr>
          <w:spacing w:val="-117"/>
        </w:rPr>
      </w:r>
      <w:r>
        <w:rPr/>
        <w:t>予的“2008</w:t>
      </w:r>
      <w:r>
        <w:rPr>
          <w:spacing w:val="-40"/>
        </w:rPr>
        <w:t> </w:t>
      </w:r>
      <w:r>
        <w:rPr/>
        <w:t>中国版权产业最具影响力企业”称号，中国知网的《中国农业知识仓库（农</w:t>
      </w:r>
      <w:r>
        <w:rPr/>
        <w:t> </w:t>
      </w:r>
      <w:r>
        <w:rPr>
          <w:spacing w:val="-8"/>
        </w:rPr>
        <w:t>村版）》还获得了“国家百种‘三农’优秀音像制品和电子出版物奖”。</w:t>
      </w:r>
    </w:p>
    <w:p>
      <w:pPr>
        <w:spacing w:line="240" w:lineRule="auto" w:before="7"/>
        <w:rPr>
          <w:rFonts w:ascii="宋体" w:hAnsi="宋体" w:cs="宋体" w:eastAsia="宋体" w:hint="default"/>
          <w:sz w:val="23"/>
          <w:szCs w:val="23"/>
        </w:rPr>
      </w:pPr>
    </w:p>
    <w:p>
      <w:pPr>
        <w:pStyle w:val="BodyText"/>
        <w:spacing w:line="240" w:lineRule="auto"/>
        <w:ind w:left="238" w:right="0"/>
        <w:jc w:val="both"/>
      </w:pPr>
      <w:r>
        <w:rPr/>
        <w:t>同方知网近三年主要财务数据：</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07"/>
        <w:gridCol w:w="1471"/>
        <w:gridCol w:w="1069"/>
        <w:gridCol w:w="3228"/>
        <w:gridCol w:w="1642"/>
      </w:tblGrid>
      <w:tr>
        <w:trPr>
          <w:trHeight w:val="340" w:hRule="exact"/>
        </w:trPr>
        <w:tc>
          <w:tcPr>
            <w:tcW w:w="2007"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3"/>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69"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126"/>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2"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1" w:hRule="exact"/>
        </w:trPr>
        <w:tc>
          <w:tcPr>
            <w:tcW w:w="200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34,443.46</w:t>
            </w:r>
          </w:p>
        </w:tc>
        <w:tc>
          <w:tcPr>
            <w:tcW w:w="1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64.08%</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24,421.95</w:t>
            </w:r>
          </w:p>
        </w:tc>
        <w:tc>
          <w:tcPr>
            <w:tcW w:w="164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37,955.10</w:t>
            </w:r>
          </w:p>
        </w:tc>
      </w:tr>
      <w:tr>
        <w:trPr>
          <w:trHeight w:val="332" w:hRule="exact"/>
        </w:trPr>
        <w:tc>
          <w:tcPr>
            <w:tcW w:w="200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28,011.77</w:t>
            </w:r>
          </w:p>
        </w:tc>
        <w:tc>
          <w:tcPr>
            <w:tcW w:w="10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58.09%</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16,262.41</w:t>
            </w:r>
          </w:p>
        </w:tc>
        <w:tc>
          <w:tcPr>
            <w:tcW w:w="164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27,258.72</w:t>
            </w:r>
          </w:p>
        </w:tc>
      </w:tr>
      <w:tr>
        <w:trPr>
          <w:trHeight w:val="338" w:hRule="exact"/>
        </w:trPr>
        <w:tc>
          <w:tcPr>
            <w:tcW w:w="2007"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4"/>
              <w:jc w:val="center"/>
              <w:rPr>
                <w:rFonts w:ascii="Times New Roman" w:hAnsi="Times New Roman" w:cs="Times New Roman" w:eastAsia="Times New Roman" w:hint="default"/>
                <w:sz w:val="21"/>
                <w:szCs w:val="21"/>
              </w:rPr>
            </w:pPr>
            <w:r>
              <w:rPr>
                <w:rFonts w:ascii="Times New Roman"/>
                <w:b/>
                <w:sz w:val="21"/>
              </w:rPr>
              <w:t>2006</w:t>
            </w:r>
            <w:r>
              <w:rPr>
                <w:rFonts w:ascii="Times New Roman"/>
                <w:sz w:val="21"/>
              </w:rPr>
            </w:r>
          </w:p>
        </w:tc>
        <w:tc>
          <w:tcPr>
            <w:tcW w:w="14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22,626.78</w:t>
            </w:r>
          </w:p>
        </w:tc>
        <w:tc>
          <w:tcPr>
            <w:tcW w:w="106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57.30%</w:t>
            </w:r>
          </w:p>
        </w:tc>
        <w:tc>
          <w:tcPr>
            <w:tcW w:w="32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11,368.73</w:t>
            </w:r>
          </w:p>
        </w:tc>
        <w:tc>
          <w:tcPr>
            <w:tcW w:w="1642"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17,065.67</w:t>
            </w:r>
          </w:p>
        </w:tc>
      </w:tr>
    </w:tbl>
    <w:p>
      <w:pPr>
        <w:spacing w:line="240" w:lineRule="auto" w:before="10"/>
        <w:rPr>
          <w:rFonts w:ascii="宋体" w:hAnsi="宋体" w:cs="宋体" w:eastAsia="宋体" w:hint="default"/>
          <w:sz w:val="18"/>
          <w:szCs w:val="18"/>
        </w:rPr>
      </w:pPr>
    </w:p>
    <w:p>
      <w:pPr>
        <w:pStyle w:val="Heading3"/>
        <w:spacing w:line="240" w:lineRule="auto" w:before="26"/>
        <w:ind w:left="238" w:right="0"/>
        <w:jc w:val="both"/>
        <w:rPr>
          <w:b w:val="0"/>
          <w:bCs w:val="0"/>
        </w:rPr>
      </w:pPr>
      <w:r>
        <w:rPr/>
        <w:t>7、同方环境股份有限公司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0"/>
        <w:jc w:val="both"/>
      </w:pPr>
      <w:r>
        <w:rPr/>
        <w:t>同方环境股份有限公司成立于</w:t>
      </w:r>
      <w:r>
        <w:rPr>
          <w:spacing w:val="-59"/>
        </w:rPr>
        <w:t> </w:t>
      </w:r>
      <w:r>
        <w:rPr>
          <w:spacing w:val="20"/>
        </w:rPr>
        <w:t>2003年9</w:t>
      </w:r>
      <w:r>
        <w:rPr>
          <w:spacing w:val="-59"/>
        </w:rPr>
        <w:t> </w:t>
      </w:r>
      <w:r>
        <w:rPr>
          <w:spacing w:val="-9"/>
        </w:rPr>
        <w:t>月，2007</w:t>
      </w:r>
      <w:r>
        <w:rPr>
          <w:spacing w:val="-59"/>
        </w:rPr>
        <w:t> </w:t>
      </w:r>
      <w:r>
        <w:rPr>
          <w:spacing w:val="-3"/>
        </w:rPr>
        <w:t>年，同方环境实施了增资扩股以及股份</w:t>
      </w:r>
      <w:r>
        <w:rPr/>
        <w:t> 制改造，2008 年上述增资及股份制改造已经完成。完成后，同方环境注册资本由</w:t>
      </w:r>
      <w:r>
        <w:rPr>
          <w:spacing w:val="-40"/>
        </w:rPr>
        <w:t> </w:t>
      </w:r>
      <w:r>
        <w:rPr/>
        <w:t>10000</w:t>
      </w:r>
      <w:r>
        <w:rPr/>
        <w:t> 万元增至</w:t>
      </w:r>
      <w:r>
        <w:rPr>
          <w:spacing w:val="-59"/>
        </w:rPr>
        <w:t> </w:t>
      </w:r>
      <w:r>
        <w:rPr/>
        <w:t>11120</w:t>
      </w:r>
      <w:r>
        <w:rPr>
          <w:spacing w:val="-59"/>
        </w:rPr>
        <w:t> </w:t>
      </w:r>
      <w:r>
        <w:rPr>
          <w:spacing w:val="-4"/>
        </w:rPr>
        <w:t>万元，公司持股</w:t>
      </w:r>
      <w:r>
        <w:rPr>
          <w:spacing w:val="-59"/>
        </w:rPr>
        <w:t> </w:t>
      </w:r>
      <w:r>
        <w:rPr>
          <w:spacing w:val="-3"/>
        </w:rPr>
        <w:t>31.5%。同方环境主要从事脱硫、脱硝及除尘、洁净新能</w:t>
      </w:r>
      <w:r>
        <w:rPr/>
        <w:t> 源发电、城市生活垃圾处理、工业与危险废物处理、资源综合利用等技术开发与环保工</w:t>
      </w:r>
      <w:r>
        <w:rPr>
          <w:spacing w:val="-47"/>
        </w:rPr>
        <w:t> </w:t>
      </w:r>
      <w:r>
        <w:rPr>
          <w:spacing w:val="-47"/>
        </w:rPr>
      </w:r>
      <w:r>
        <w:rPr/>
        <w:t>程的咨询、设计、施工运营业务。</w:t>
      </w:r>
    </w:p>
    <w:p>
      <w:pPr>
        <w:spacing w:line="240" w:lineRule="auto" w:before="1"/>
        <w:rPr>
          <w:rFonts w:ascii="宋体" w:hAnsi="宋体" w:cs="宋体" w:eastAsia="宋体" w:hint="default"/>
          <w:sz w:val="26"/>
          <w:szCs w:val="26"/>
        </w:rPr>
      </w:pPr>
    </w:p>
    <w:p>
      <w:pPr>
        <w:pStyle w:val="BodyText"/>
        <w:spacing w:line="310" w:lineRule="exact"/>
        <w:ind w:left="238" w:right="243"/>
        <w:jc w:val="both"/>
      </w:pPr>
      <w:r>
        <w:rPr/>
        <w:t>2008</w:t>
      </w:r>
      <w:r>
        <w:rPr>
          <w:spacing w:val="-40"/>
        </w:rPr>
        <w:t> </w:t>
      </w:r>
      <w:r>
        <w:rPr/>
        <w:t>年，为进一步推动同方环境的做大作强，并考虑其未来发展规划，公司经与同方环</w:t>
      </w:r>
      <w:r>
        <w:rPr/>
        <w:t> 境其他股东协商，对该公司董事会成员进行了调整，不再将其纳入合并范围。</w:t>
      </w:r>
    </w:p>
    <w:p>
      <w:pPr>
        <w:spacing w:line="240" w:lineRule="auto" w:before="8"/>
        <w:rPr>
          <w:rFonts w:ascii="宋体" w:hAnsi="宋体" w:cs="宋体" w:eastAsia="宋体" w:hint="default"/>
          <w:sz w:val="21"/>
          <w:szCs w:val="21"/>
        </w:rPr>
      </w:pPr>
    </w:p>
    <w:p>
      <w:pPr>
        <w:pStyle w:val="BodyText"/>
        <w:spacing w:line="237" w:lineRule="auto"/>
        <w:ind w:left="238" w:right="240"/>
        <w:jc w:val="both"/>
      </w:pPr>
      <w:r>
        <w:rPr/>
        <w:t>2008</w:t>
      </w:r>
      <w:r>
        <w:rPr>
          <w:spacing w:val="-40"/>
        </w:rPr>
        <w:t> </w:t>
      </w:r>
      <w:r>
        <w:rPr/>
        <w:t>年，同方环境立足于脱硫、脱硝、烟气除尘市场，积极实施市场拓展，承接了一系</w:t>
      </w:r>
      <w:r>
        <w:rPr/>
        <w:t> 列大型项目工程，并先后中标了上海石化热电总厂</w:t>
      </w:r>
      <w:r>
        <w:rPr>
          <w:spacing w:val="-40"/>
        </w:rPr>
        <w:t> </w:t>
      </w:r>
      <w:r>
        <w:rPr/>
        <w:t>3#、4#炉烟气脱硫工程、蔚县发电厂</w:t>
      </w:r>
      <w:r>
        <w:rPr/>
        <w:t> 2×660MW</w:t>
      </w:r>
      <w:r>
        <w:rPr>
          <w:spacing w:val="-54"/>
        </w:rPr>
        <w:t> </w:t>
      </w:r>
      <w:r>
        <w:rPr>
          <w:spacing w:val="-4"/>
        </w:rPr>
        <w:t>机组烟气脱硫工程、天津大巷发电厂</w:t>
      </w:r>
      <w:r>
        <w:rPr>
          <w:spacing w:val="-54"/>
        </w:rPr>
        <w:t> </w:t>
      </w:r>
      <w:r>
        <w:rPr/>
        <w:t>2×330MW</w:t>
      </w:r>
      <w:r>
        <w:rPr>
          <w:spacing w:val="-54"/>
        </w:rPr>
        <w:t> </w:t>
      </w:r>
      <w:r>
        <w:rPr>
          <w:spacing w:val="-4"/>
        </w:rPr>
        <w:t>烟气脱硫工程、河北西柏坡发电</w:t>
      </w:r>
      <w:r>
        <w:rPr/>
        <w:t> </w:t>
      </w:r>
      <w:r>
        <w:rPr>
          <w:spacing w:val="-3"/>
        </w:rPr>
        <w:t>有限责任公司一号炉除尘器改造工程等大型项目。在国家发改委</w:t>
      </w:r>
      <w:r>
        <w:rPr>
          <w:spacing w:val="-59"/>
        </w:rPr>
        <w:t> </w:t>
      </w:r>
      <w:r>
        <w:rPr/>
        <w:t>2008</w:t>
      </w:r>
      <w:r>
        <w:rPr>
          <w:spacing w:val="-59"/>
        </w:rPr>
        <w:t> </w:t>
      </w:r>
      <w:r>
        <w:rPr/>
        <w:t>年度脱硫公司排名</w:t>
      </w:r>
      <w:r>
        <w:rPr>
          <w:spacing w:val="-118"/>
        </w:rPr>
        <w:t> </w:t>
      </w:r>
      <w:r>
        <w:rPr>
          <w:spacing w:val="-118"/>
        </w:rPr>
      </w:r>
      <w:r>
        <w:rPr/>
        <w:t>统计中，同方环境名列全国投运脱硫总容量第九名、累计签订合同总容量第七名。报告</w:t>
      </w:r>
      <w:r>
        <w:rPr>
          <w:spacing w:val="-47"/>
        </w:rPr>
        <w:t> </w:t>
      </w:r>
      <w:r>
        <w:rPr>
          <w:spacing w:val="-47"/>
        </w:rPr>
      </w:r>
      <w:r>
        <w:rPr/>
        <w:t>期内，同方环境还依托丰富的工程经验和自主核心技术能力，采取一系列有效措施，优</w:t>
      </w:r>
      <w:r>
        <w:rPr>
          <w:spacing w:val="-47"/>
        </w:rPr>
        <w:t> </w:t>
      </w:r>
      <w:r>
        <w:rPr>
          <w:spacing w:val="-47"/>
        </w:rPr>
      </w:r>
      <w:r>
        <w:rPr/>
        <w:t>化技术方案，保证了承接工程的顺利实施，完成了承建的京能石景山热电厂</w:t>
      </w:r>
      <w:r>
        <w:rPr>
          <w:spacing w:val="-79"/>
        </w:rPr>
        <w:t> </w:t>
      </w:r>
      <w:r>
        <w:rPr/>
        <w:t>4×200MW</w:t>
      </w:r>
      <w:r>
        <w:rPr>
          <w:spacing w:val="-79"/>
        </w:rPr>
        <w:t> </w:t>
      </w:r>
      <w:r>
        <w:rPr/>
        <w:t>机</w:t>
      </w:r>
      <w:r>
        <w:rPr/>
        <w:t> 组烟气脱硝工程、大唐国际张家口发电厂</w:t>
      </w:r>
      <w:r>
        <w:rPr>
          <w:spacing w:val="-79"/>
        </w:rPr>
        <w:t> </w:t>
      </w:r>
      <w:r>
        <w:rPr/>
        <w:t>8×300MW</w:t>
      </w:r>
      <w:r>
        <w:rPr>
          <w:spacing w:val="-79"/>
        </w:rPr>
        <w:t> </w:t>
      </w:r>
      <w:r>
        <w:rPr/>
        <w:t>机组烟气脱硫工程等奥运工程。本年</w:t>
      </w:r>
      <w:r>
        <w:rPr/>
        <w:t> 度，同方环境还加大自主创新投入，积极培育新的业务增长点，推动新技术的产业化应</w:t>
      </w:r>
      <w:r>
        <w:rPr>
          <w:spacing w:val="-47"/>
        </w:rPr>
        <w:t> </w:t>
      </w:r>
      <w:r>
        <w:rPr>
          <w:spacing w:val="-47"/>
        </w:rPr>
      </w:r>
      <w:r>
        <w:rPr/>
        <w:t>用，其投资的高铝粉煤灰综合利用项目经过四年的孵化，成功实现了综合利用粉煤灰生</w:t>
      </w:r>
      <w:r>
        <w:rPr>
          <w:spacing w:val="-47"/>
        </w:rPr>
        <w:t> </w:t>
      </w:r>
      <w:r>
        <w:rPr>
          <w:spacing w:val="-47"/>
        </w:rPr>
      </w:r>
      <w:r>
        <w:rPr/>
        <w:t>产硅铝合金示范项目的重要节点工程――工业化试验，为未来的产业化发展奠定了重要</w:t>
      </w:r>
      <w:r>
        <w:rPr>
          <w:spacing w:val="-47"/>
        </w:rPr>
        <w:t> </w:t>
      </w:r>
      <w:r>
        <w:rPr>
          <w:spacing w:val="-47"/>
        </w:rPr>
      </w:r>
      <w:r>
        <w:rPr/>
        <w:t>基础。</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同方环境近三年主要财务数据：</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07"/>
        <w:gridCol w:w="1471"/>
        <w:gridCol w:w="1069"/>
        <w:gridCol w:w="3228"/>
        <w:gridCol w:w="1642"/>
      </w:tblGrid>
      <w:tr>
        <w:trPr>
          <w:trHeight w:val="337" w:hRule="exact"/>
        </w:trPr>
        <w:tc>
          <w:tcPr>
            <w:tcW w:w="2007"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69"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10"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29"/>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2"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49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8" w:hRule="exact"/>
        </w:trPr>
        <w:tc>
          <w:tcPr>
            <w:tcW w:w="2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6"/>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107,729.27</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15.25%</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33,185.87</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102,948.99</w:t>
            </w:r>
          </w:p>
        </w:tc>
      </w:tr>
      <w:tr>
        <w:trPr>
          <w:trHeight w:val="330" w:hRule="exact"/>
        </w:trPr>
        <w:tc>
          <w:tcPr>
            <w:tcW w:w="2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6"/>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pacing w:val="-1"/>
                <w:sz w:val="21"/>
              </w:rPr>
              <w:t>84,390.34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5"/>
              <w:jc w:val="right"/>
              <w:rPr>
                <w:rFonts w:ascii="Times New Roman" w:hAnsi="Times New Roman" w:cs="Times New Roman" w:eastAsia="Times New Roman" w:hint="default"/>
                <w:sz w:val="21"/>
                <w:szCs w:val="21"/>
              </w:rPr>
            </w:pPr>
            <w:r>
              <w:rPr>
                <w:rFonts w:ascii="Times New Roman"/>
                <w:spacing w:val="-1"/>
                <w:sz w:val="21"/>
              </w:rPr>
              <w:t>15.01%</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pacing w:val="-1"/>
                <w:sz w:val="21"/>
              </w:rPr>
              <w:t>23,295.94</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7"/>
              <w:ind w:right="91"/>
              <w:jc w:val="right"/>
              <w:rPr>
                <w:rFonts w:ascii="Times New Roman" w:hAnsi="Times New Roman" w:cs="Times New Roman" w:eastAsia="Times New Roman" w:hint="default"/>
                <w:sz w:val="21"/>
                <w:szCs w:val="21"/>
              </w:rPr>
            </w:pPr>
            <w:r>
              <w:rPr>
                <w:rFonts w:ascii="Times New Roman"/>
                <w:spacing w:val="-1"/>
                <w:sz w:val="21"/>
              </w:rPr>
              <w:t>72,392.96</w:t>
            </w:r>
          </w:p>
        </w:tc>
      </w:tr>
      <w:tr>
        <w:trPr>
          <w:trHeight w:val="334" w:hRule="exact"/>
        </w:trPr>
        <w:tc>
          <w:tcPr>
            <w:tcW w:w="20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6"/>
              <w:jc w:val="center"/>
              <w:rPr>
                <w:rFonts w:ascii="Times New Roman" w:hAnsi="Times New Roman" w:cs="Times New Roman" w:eastAsia="Times New Roman" w:hint="default"/>
                <w:sz w:val="21"/>
                <w:szCs w:val="21"/>
              </w:rPr>
            </w:pPr>
            <w:r>
              <w:rPr>
                <w:rFonts w:ascii="Times New Roman"/>
                <w:b/>
                <w:sz w:val="21"/>
              </w:rPr>
              <w:t>2006</w:t>
            </w:r>
            <w:r>
              <w:rPr>
                <w:rFonts w:ascii="Times New Roman"/>
                <w:sz w:val="21"/>
              </w:rPr>
            </w:r>
          </w:p>
        </w:tc>
        <w:tc>
          <w:tcPr>
            <w:tcW w:w="14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68,581.59</w:t>
            </w:r>
          </w:p>
        </w:tc>
        <w:tc>
          <w:tcPr>
            <w:tcW w:w="10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9.98%</w:t>
            </w:r>
          </w:p>
        </w:tc>
        <w:tc>
          <w:tcPr>
            <w:tcW w:w="3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17,317.67</w:t>
            </w:r>
          </w:p>
        </w:tc>
        <w:tc>
          <w:tcPr>
            <w:tcW w:w="16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62,118.78</w:t>
            </w:r>
          </w:p>
        </w:tc>
      </w:tr>
    </w:tbl>
    <w:p>
      <w:pPr>
        <w:spacing w:after="0" w:line="240" w:lineRule="auto"/>
        <w:jc w:val="right"/>
        <w:rPr>
          <w:rFonts w:ascii="Times New Roman" w:hAnsi="Times New Roman" w:cs="Times New Roman" w:eastAsia="Times New Roman" w:hint="default"/>
          <w:sz w:val="21"/>
          <w:szCs w:val="21"/>
        </w:rPr>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13"/>
        <w:ind w:right="0"/>
        <w:jc w:val="both"/>
        <w:rPr>
          <w:b w:val="0"/>
          <w:bCs w:val="0"/>
        </w:rPr>
      </w:pPr>
      <w:r>
        <w:rPr/>
        <w:t>(三)管理层讨论及财务状况的分析说明</w:t>
      </w:r>
      <w:r>
        <w:rPr>
          <w:b w:val="0"/>
          <w:bCs w:val="0"/>
        </w:rPr>
      </w:r>
    </w:p>
    <w:p>
      <w:pPr>
        <w:spacing w:line="240" w:lineRule="auto" w:before="13"/>
        <w:rPr>
          <w:rFonts w:ascii="宋体" w:hAnsi="宋体" w:cs="宋体" w:eastAsia="宋体" w:hint="default"/>
          <w:b/>
          <w:bCs/>
          <w:sz w:val="23"/>
          <w:szCs w:val="23"/>
        </w:rPr>
      </w:pPr>
    </w:p>
    <w:p>
      <w:pPr>
        <w:pStyle w:val="BodyText"/>
        <w:spacing w:line="313" w:lineRule="exact"/>
        <w:ind w:left="238" w:right="0"/>
        <w:jc w:val="both"/>
      </w:pPr>
      <w:r>
        <w:rPr/>
        <w:t>2008</w:t>
      </w:r>
      <w:r>
        <w:rPr>
          <w:spacing w:val="-59"/>
        </w:rPr>
        <w:t> </w:t>
      </w:r>
      <w:r>
        <w:rPr>
          <w:spacing w:val="-4"/>
        </w:rPr>
        <w:t>年，公司资产规模持续扩大，盈利水平继续提高，虽然受到</w:t>
      </w:r>
      <w:r>
        <w:rPr>
          <w:spacing w:val="-59"/>
        </w:rPr>
        <w:t> </w:t>
      </w:r>
      <w:r>
        <w:rPr/>
        <w:t>2008</w:t>
      </w:r>
      <w:r>
        <w:rPr>
          <w:spacing w:val="-59"/>
        </w:rPr>
        <w:t> </w:t>
      </w:r>
      <w:r>
        <w:rPr/>
        <w:t>年四季度宏观经济</w:t>
      </w:r>
    </w:p>
    <w:p>
      <w:pPr>
        <w:pStyle w:val="BodyText"/>
        <w:spacing w:line="237" w:lineRule="auto" w:before="1"/>
        <w:ind w:left="238" w:right="240"/>
        <w:jc w:val="both"/>
      </w:pPr>
      <w:r>
        <w:rPr/>
        <w:t>形势的影响以及由于</w:t>
      </w:r>
      <w:r>
        <w:rPr>
          <w:spacing w:val="-60"/>
        </w:rPr>
        <w:t> </w:t>
      </w:r>
      <w:r>
        <w:rPr/>
        <w:t>2007</w:t>
      </w:r>
      <w:r>
        <w:rPr>
          <w:spacing w:val="-60"/>
        </w:rPr>
        <w:t> </w:t>
      </w:r>
      <w:r>
        <w:rPr>
          <w:spacing w:val="-3"/>
        </w:rPr>
        <w:t>年非经常性损益金额较大，公司整体净利润水平较去年同期相</w:t>
      </w:r>
      <w:r>
        <w:rPr>
          <w:spacing w:val="-1"/>
        </w:rPr>
        <w:t> 比下降了-42.95%，然而主营业务仍然保持了健康的成长，本年度扣除非经常性损益的净</w:t>
      </w:r>
      <w:r>
        <w:rPr>
          <w:spacing w:val="-118"/>
        </w:rPr>
        <w:t> </w:t>
      </w:r>
      <w:r>
        <w:rPr>
          <w:spacing w:val="-118"/>
        </w:rPr>
      </w:r>
      <w:r>
        <w:rPr/>
        <w:t>利润同比上升了</w:t>
      </w:r>
      <w:r>
        <w:rPr>
          <w:spacing w:val="-60"/>
        </w:rPr>
        <w:t> </w:t>
      </w:r>
      <w:r>
        <w:rPr/>
        <w:t>17.24%。</w:t>
      </w:r>
    </w:p>
    <w:p>
      <w:pPr>
        <w:spacing w:line="240" w:lineRule="auto" w:before="10"/>
        <w:rPr>
          <w:rFonts w:ascii="宋体" w:hAnsi="宋体" w:cs="宋体" w:eastAsia="宋体" w:hint="default"/>
          <w:sz w:val="23"/>
          <w:szCs w:val="23"/>
        </w:rPr>
      </w:pPr>
    </w:p>
    <w:p>
      <w:pPr>
        <w:pStyle w:val="BodyText"/>
        <w:spacing w:line="237" w:lineRule="auto"/>
        <w:ind w:left="238" w:right="240"/>
        <w:jc w:val="both"/>
      </w:pPr>
      <w:r>
        <w:rPr/>
        <w:t>从公司整体的收入、费用、资产情况来看，公司继续呈现“二、八”格局，即在公司纳</w:t>
      </w:r>
      <w:r>
        <w:rPr>
          <w:spacing w:val="-47"/>
        </w:rPr>
        <w:t> </w:t>
      </w:r>
      <w:r>
        <w:rPr>
          <w:spacing w:val="-47"/>
        </w:rPr>
      </w:r>
      <w:r>
        <w:rPr/>
        <w:t>入合并范围的子公司中，威视股份、泰豪科技、工业公司、微电子等骨干控股子公司为</w:t>
      </w:r>
      <w:r>
        <w:rPr>
          <w:spacing w:val="-47"/>
        </w:rPr>
        <w:t> </w:t>
      </w:r>
      <w:r>
        <w:rPr>
          <w:spacing w:val="-47"/>
        </w:rPr>
      </w:r>
      <w:r>
        <w:rPr/>
        <w:t>公司贡献了较多的收入和利润，同样其费用、资产也在公司整体当中占有很高比例。</w:t>
      </w:r>
    </w:p>
    <w:p>
      <w:pPr>
        <w:spacing w:line="240" w:lineRule="auto" w:before="8"/>
        <w:rPr>
          <w:rFonts w:ascii="宋体" w:hAnsi="宋体" w:cs="宋体" w:eastAsia="宋体" w:hint="default"/>
          <w:sz w:val="23"/>
          <w:szCs w:val="23"/>
        </w:rPr>
      </w:pPr>
    </w:p>
    <w:p>
      <w:pPr>
        <w:spacing w:line="475" w:lineRule="auto" w:before="0"/>
        <w:ind w:left="238" w:right="7626" w:firstLine="0"/>
        <w:jc w:val="left"/>
        <w:rPr>
          <w:rFonts w:ascii="宋体" w:hAnsi="宋体" w:cs="宋体" w:eastAsia="宋体" w:hint="default"/>
          <w:sz w:val="24"/>
          <w:szCs w:val="24"/>
        </w:rPr>
      </w:pPr>
      <w:r>
        <w:rPr>
          <w:rFonts w:ascii="宋体" w:hAnsi="宋体" w:cs="宋体" w:eastAsia="宋体" w:hint="default"/>
          <w:b/>
          <w:bCs/>
          <w:sz w:val="24"/>
          <w:szCs w:val="24"/>
        </w:rPr>
        <w:t>1、经营业绩</w:t>
      </w:r>
      <w:r>
        <w:rPr>
          <w:rFonts w:ascii="宋体" w:hAnsi="宋体" w:cs="宋体" w:eastAsia="宋体" w:hint="default"/>
          <w:b/>
          <w:bCs/>
          <w:spacing w:val="1"/>
          <w:w w:val="99"/>
          <w:sz w:val="24"/>
          <w:szCs w:val="24"/>
        </w:rPr>
        <w:t> </w:t>
      </w:r>
      <w:r>
        <w:rPr>
          <w:rFonts w:ascii="宋体" w:hAnsi="宋体" w:cs="宋体" w:eastAsia="宋体" w:hint="default"/>
          <w:sz w:val="24"/>
          <w:szCs w:val="24"/>
        </w:rPr>
        <w:t>(1)收入情况分析</w:t>
      </w:r>
    </w:p>
    <w:p>
      <w:pPr>
        <w:pStyle w:val="BodyText"/>
        <w:spacing w:line="312" w:lineRule="exact" w:before="103"/>
        <w:ind w:left="238" w:right="227"/>
        <w:jc w:val="both"/>
      </w:pPr>
      <w:r>
        <w:rPr/>
        <w:t>本报告期，公司实现主营业务收入</w:t>
      </w:r>
      <w:r>
        <w:rPr>
          <w:spacing w:val="-77"/>
        </w:rPr>
        <w:t> </w:t>
      </w:r>
      <w:r>
        <w:rPr/>
        <w:t>137.06</w:t>
      </w:r>
      <w:r>
        <w:rPr>
          <w:spacing w:val="-77"/>
        </w:rPr>
        <w:t> </w:t>
      </w:r>
      <w:r>
        <w:rPr/>
        <w:t>亿元，受本年度第四季度宏观经济形势的影响</w:t>
      </w:r>
      <w:r>
        <w:rPr/>
        <w:t> </w:t>
      </w:r>
      <w:r>
        <w:rPr>
          <w:spacing w:val="15"/>
        </w:rPr>
        <w:t>以及由于同方环境股份有限公司不再纳入合并范围，公司主营业务收入同比下滑了</w:t>
      </w:r>
      <w:r>
        <w:rPr>
          <w:spacing w:val="-103"/>
        </w:rPr>
        <w:t> </w:t>
      </w:r>
      <w:r>
        <w:rPr>
          <w:spacing w:val="-103"/>
        </w:rPr>
      </w:r>
      <w:r>
        <w:rPr/>
        <w:t>5.91%。</w:t>
      </w:r>
    </w:p>
    <w:p>
      <w:pPr>
        <w:spacing w:line="240" w:lineRule="auto" w:before="11"/>
        <w:rPr>
          <w:rFonts w:ascii="宋体" w:hAnsi="宋体" w:cs="宋体" w:eastAsia="宋体" w:hint="default"/>
          <w:sz w:val="23"/>
          <w:szCs w:val="23"/>
        </w:rPr>
      </w:pPr>
    </w:p>
    <w:p>
      <w:pPr>
        <w:pStyle w:val="BodyText"/>
        <w:spacing w:line="312" w:lineRule="exact"/>
        <w:ind w:left="238" w:right="240"/>
        <w:jc w:val="both"/>
      </w:pPr>
      <w:r>
        <w:rPr/>
        <w:t>在主营收入构成中，计算机产品受到四季度市场形势恶化、消费者消费意愿急剧下降的</w:t>
      </w:r>
      <w:r>
        <w:rPr>
          <w:spacing w:val="-47"/>
        </w:rPr>
        <w:t> </w:t>
      </w:r>
      <w:r>
        <w:rPr>
          <w:spacing w:val="-47"/>
        </w:rPr>
      </w:r>
      <w:r>
        <w:rPr/>
        <w:t>影响，其收入出现了较大幅度下滑，进而影响到了公司整体的销售收入增长，其他核心</w:t>
      </w:r>
      <w:r>
        <w:rPr>
          <w:spacing w:val="-47"/>
        </w:rPr>
        <w:t> </w:t>
      </w:r>
      <w:r>
        <w:rPr>
          <w:spacing w:val="-47"/>
        </w:rPr>
      </w:r>
      <w:r>
        <w:rPr/>
        <w:t>业务均保持了稳定增长。</w:t>
      </w: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952"/>
        <w:gridCol w:w="1466"/>
        <w:gridCol w:w="919"/>
        <w:gridCol w:w="1469"/>
        <w:gridCol w:w="984"/>
        <w:gridCol w:w="1590"/>
        <w:gridCol w:w="1037"/>
      </w:tblGrid>
      <w:tr>
        <w:trPr>
          <w:trHeight w:val="338" w:hRule="exact"/>
        </w:trPr>
        <w:tc>
          <w:tcPr>
            <w:tcW w:w="1952" w:type="dxa"/>
            <w:tcBorders>
              <w:top w:val="single" w:sz="12" w:space="0" w:color="000000"/>
              <w:left w:val="single" w:sz="12" w:space="0" w:color="000000"/>
              <w:bottom w:val="single" w:sz="6" w:space="0" w:color="000000"/>
              <w:right w:val="single" w:sz="6" w:space="0" w:color="000000"/>
            </w:tcBorders>
          </w:tcPr>
          <w:p>
            <w:pPr>
              <w:pStyle w:val="TableParagraph"/>
              <w:spacing w:line="264" w:lineRule="exact"/>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8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45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627"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9"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398" w:right="0"/>
              <w:jc w:val="left"/>
              <w:rPr>
                <w:rFonts w:ascii="宋体" w:hAnsi="宋体" w:cs="宋体" w:eastAsia="宋体" w:hint="default"/>
                <w:sz w:val="21"/>
                <w:szCs w:val="21"/>
              </w:rPr>
            </w:pPr>
            <w:r>
              <w:rPr>
                <w:rFonts w:ascii="宋体" w:hAnsi="宋体" w:cs="宋体" w:eastAsia="宋体" w:hint="default"/>
                <w:b/>
                <w:bCs/>
                <w:sz w:val="21"/>
                <w:szCs w:val="21"/>
              </w:rPr>
              <w:t>(单位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万元)</w:t>
            </w:r>
            <w:r>
              <w:rPr>
                <w:rFonts w:ascii="宋体" w:hAnsi="宋体" w:cs="宋体" w:eastAsia="宋体" w:hint="default"/>
                <w:sz w:val="21"/>
                <w:szCs w:val="21"/>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1"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4"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037"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299"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r>
      <w:tr>
        <w:trPr>
          <w:trHeight w:val="32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一．信息产业</w:t>
            </w:r>
          </w:p>
        </w:tc>
        <w:tc>
          <w:tcPr>
            <w:tcW w:w="1466"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计算机</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358,929.89</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441,436.49</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457,867.34</w:t>
            </w:r>
          </w:p>
        </w:tc>
        <w:tc>
          <w:tcPr>
            <w:tcW w:w="10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40%</w:t>
            </w:r>
          </w:p>
        </w:tc>
      </w:tr>
      <w:tr>
        <w:trPr>
          <w:trHeight w:val="32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应用信息</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461,173.59</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34%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425,239.44</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318,331.15</w:t>
            </w:r>
          </w:p>
        </w:tc>
        <w:tc>
          <w:tcPr>
            <w:tcW w:w="10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28%</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数字电视系统</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280,456.54</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233,851.19</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140,455.25</w:t>
            </w:r>
          </w:p>
        </w:tc>
        <w:tc>
          <w:tcPr>
            <w:tcW w:w="10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z w:val="21"/>
              </w:rPr>
              <w:t>12%</w:t>
            </w:r>
          </w:p>
        </w:tc>
      </w:tr>
      <w:tr>
        <w:trPr>
          <w:trHeight w:val="32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二、能源环境业</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263,774.34</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19%</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239,428.40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219,652.36</w:t>
            </w:r>
          </w:p>
        </w:tc>
        <w:tc>
          <w:tcPr>
            <w:tcW w:w="10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19%</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三、科技园及其他</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6,312.31</w:t>
            </w:r>
          </w:p>
        </w:tc>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32,350.55</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6,853.48</w:t>
            </w:r>
          </w:p>
        </w:tc>
        <w:tc>
          <w:tcPr>
            <w:tcW w:w="10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1%</w:t>
            </w:r>
          </w:p>
        </w:tc>
      </w:tr>
      <w:tr>
        <w:trPr>
          <w:trHeight w:val="335" w:hRule="exact"/>
        </w:trPr>
        <w:tc>
          <w:tcPr>
            <w:tcW w:w="1952"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四、总计</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1,370,646.67</w:t>
            </w:r>
          </w:p>
        </w:tc>
        <w:tc>
          <w:tcPr>
            <w:tcW w:w="9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1,372,306.07</w:t>
            </w: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5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1,143,159.58</w:t>
            </w:r>
          </w:p>
        </w:tc>
        <w:tc>
          <w:tcPr>
            <w:tcW w:w="10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316" w:lineRule="auto" w:before="10"/>
        <w:ind w:left="238" w:right="242" w:firstLine="0"/>
        <w:jc w:val="both"/>
        <w:rPr>
          <w:rFonts w:ascii="宋体" w:hAnsi="宋体" w:cs="宋体" w:eastAsia="宋体" w:hint="default"/>
          <w:sz w:val="18"/>
          <w:szCs w:val="18"/>
        </w:rPr>
      </w:pPr>
      <w:r>
        <w:rPr>
          <w:rFonts w:ascii="宋体" w:hAnsi="宋体" w:cs="宋体" w:eastAsia="宋体" w:hint="default"/>
          <w:spacing w:val="-3"/>
          <w:sz w:val="18"/>
          <w:szCs w:val="18"/>
        </w:rPr>
        <w:t>注：2007</w:t>
      </w:r>
      <w:r>
        <w:rPr>
          <w:rFonts w:ascii="宋体" w:hAnsi="宋体" w:cs="宋体" w:eastAsia="宋体" w:hint="default"/>
          <w:spacing w:val="-69"/>
          <w:sz w:val="18"/>
          <w:szCs w:val="18"/>
        </w:rPr>
        <w:t> </w:t>
      </w:r>
      <w:r>
        <w:rPr>
          <w:rFonts w:ascii="宋体" w:hAnsi="宋体" w:cs="宋体" w:eastAsia="宋体" w:hint="default"/>
          <w:sz w:val="18"/>
          <w:szCs w:val="18"/>
        </w:rPr>
        <w:t>年公司对原环保产业中的蓄能业务进行调整，转入建筑节能产业领域进行核算。2008</w:t>
      </w:r>
      <w:r>
        <w:rPr>
          <w:rFonts w:ascii="宋体" w:hAnsi="宋体" w:cs="宋体" w:eastAsia="宋体" w:hint="default"/>
          <w:spacing w:val="-69"/>
          <w:sz w:val="18"/>
          <w:szCs w:val="18"/>
        </w:rPr>
        <w:t> </w:t>
      </w:r>
      <w:r>
        <w:rPr>
          <w:rFonts w:ascii="宋体" w:hAnsi="宋体" w:cs="宋体" w:eastAsia="宋体" w:hint="default"/>
          <w:sz w:val="18"/>
          <w:szCs w:val="18"/>
        </w:rPr>
        <w:t>年，因公司下属同方环</w:t>
      </w:r>
      <w:r>
        <w:rPr>
          <w:rFonts w:ascii="宋体" w:hAnsi="宋体" w:cs="宋体" w:eastAsia="宋体" w:hint="default"/>
          <w:sz w:val="18"/>
          <w:szCs w:val="18"/>
        </w:rPr>
        <w:t> 境股份有限公司不再纳入公司合并范围，为统一比较口径，在财务分析中，公司相应剔除了以往年度环保收入中同方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环境股份有限公司数据并相应调整了相关数据。</w:t>
      </w:r>
    </w:p>
    <w:p>
      <w:pPr>
        <w:spacing w:line="240" w:lineRule="auto" w:before="5"/>
        <w:rPr>
          <w:rFonts w:ascii="宋体" w:hAnsi="宋体" w:cs="宋体" w:eastAsia="宋体" w:hint="default"/>
          <w:sz w:val="21"/>
          <w:szCs w:val="21"/>
        </w:rPr>
      </w:pPr>
    </w:p>
    <w:p>
      <w:pPr>
        <w:pStyle w:val="BodyText"/>
        <w:spacing w:line="240" w:lineRule="auto"/>
        <w:ind w:left="238" w:right="0"/>
        <w:jc w:val="both"/>
      </w:pPr>
      <w:r>
        <w:rPr/>
        <w:t>其中，公司核心控股子公司收入情况如下：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762"/>
        <w:gridCol w:w="2168"/>
        <w:gridCol w:w="2372"/>
        <w:gridCol w:w="2115"/>
      </w:tblGrid>
      <w:tr>
        <w:trPr>
          <w:trHeight w:val="334" w:hRule="exact"/>
        </w:trPr>
        <w:tc>
          <w:tcPr>
            <w:tcW w:w="2762" w:type="dxa"/>
            <w:vMerge w:val="restart"/>
            <w:tcBorders>
              <w:top w:val="single" w:sz="12" w:space="0" w:color="000000"/>
              <w:left w:val="single" w:sz="12" w:space="0" w:color="000000"/>
              <w:right w:val="single" w:sz="6" w:space="0" w:color="000000"/>
            </w:tcBorders>
          </w:tcPr>
          <w:p>
            <w:pPr>
              <w:pStyle w:val="TableParagraph"/>
              <w:spacing w:line="240" w:lineRule="auto" w:before="142"/>
              <w:ind w:left="865" w:right="0"/>
              <w:jc w:val="left"/>
              <w:rPr>
                <w:rFonts w:ascii="宋体" w:hAnsi="宋体" w:cs="宋体" w:eastAsia="宋体" w:hint="default"/>
                <w:sz w:val="20"/>
                <w:szCs w:val="20"/>
              </w:rPr>
            </w:pPr>
            <w:r>
              <w:rPr>
                <w:rFonts w:ascii="宋体" w:hAnsi="宋体" w:cs="宋体" w:eastAsia="宋体" w:hint="default"/>
                <w:sz w:val="20"/>
                <w:szCs w:val="20"/>
              </w:rPr>
              <w:t>单位：万元</w:t>
            </w:r>
          </w:p>
        </w:tc>
        <w:tc>
          <w:tcPr>
            <w:tcW w:w="2168"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650"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372"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75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115" w:type="dxa"/>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62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2006</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26" w:hRule="exact"/>
        </w:trPr>
        <w:tc>
          <w:tcPr>
            <w:tcW w:w="2762" w:type="dxa"/>
            <w:vMerge/>
            <w:tcBorders>
              <w:left w:val="single" w:sz="12"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73"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77"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447"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一、母公司合计</w:t>
            </w:r>
            <w:r>
              <w:rPr>
                <w:rFonts w:ascii="Times New Roman" w:hAnsi="Times New Roman" w:cs="Times New Roman" w:eastAsia="Times New Roman" w:hint="default"/>
                <w:b/>
                <w:bCs/>
                <w:sz w:val="20"/>
                <w:szCs w:val="20"/>
              </w:rPr>
              <w:t>(a)</w:t>
            </w:r>
            <w:r>
              <w:rPr>
                <w:rFonts w:ascii="Times New Roman" w:hAnsi="Times New Roman" w:cs="Times New Roman" w:eastAsia="Times New Roman" w:hint="default"/>
                <w:sz w:val="20"/>
                <w:szCs w:val="20"/>
              </w:rPr>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627,514.83</w:t>
            </w:r>
            <w:r>
              <w:rPr>
                <w:rFonts w:ascii="Times New Roman"/>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649,696.82</w:t>
            </w:r>
            <w:r>
              <w:rPr>
                <w:rFonts w:ascii="Times New Roman"/>
                <w:sz w:val="20"/>
              </w:rPr>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635,774.60</w:t>
            </w:r>
            <w:r>
              <w:rPr>
                <w:rFonts w:ascii="Times New Roman"/>
                <w:sz w:val="20"/>
              </w:rPr>
            </w:r>
          </w:p>
        </w:tc>
      </w:tr>
      <w:tr>
        <w:trPr>
          <w:trHeight w:val="334" w:hRule="exact"/>
        </w:trPr>
        <w:tc>
          <w:tcPr>
            <w:tcW w:w="2762"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146,850.18</w:t>
            </w:r>
            <w:r>
              <w:rPr>
                <w:rFonts w:ascii="Times New Roman"/>
                <w:sz w:val="20"/>
              </w:rPr>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130,912.09</w:t>
            </w:r>
            <w:r>
              <w:rPr>
                <w:rFonts w:ascii="Times New Roman"/>
                <w:sz w:val="20"/>
              </w:rPr>
            </w:r>
          </w:p>
        </w:tc>
        <w:tc>
          <w:tcPr>
            <w:tcW w:w="2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111,103.98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762"/>
        <w:gridCol w:w="2168"/>
        <w:gridCol w:w="2372"/>
        <w:gridCol w:w="2115"/>
      </w:tblGrid>
      <w:tr>
        <w:trPr>
          <w:trHeight w:val="333" w:hRule="exact"/>
        </w:trPr>
        <w:tc>
          <w:tcPr>
            <w:tcW w:w="2762"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693"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21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356,237.26</w:t>
            </w:r>
            <w:r>
              <w:rPr>
                <w:rFonts w:ascii="Times New Roman"/>
                <w:sz w:val="20"/>
              </w:rPr>
            </w:r>
          </w:p>
        </w:tc>
        <w:tc>
          <w:tcPr>
            <w:tcW w:w="23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441,436.49</w:t>
            </w:r>
            <w:r>
              <w:rPr>
                <w:rFonts w:ascii="Times New Roman"/>
                <w:sz w:val="20"/>
              </w:rPr>
            </w:r>
          </w:p>
        </w:tc>
        <w:tc>
          <w:tcPr>
            <w:tcW w:w="211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right="94"/>
              <w:jc w:val="right"/>
              <w:rPr>
                <w:rFonts w:ascii="Times New Roman" w:hAnsi="Times New Roman" w:cs="Times New Roman" w:eastAsia="Times New Roman" w:hint="default"/>
                <w:sz w:val="20"/>
                <w:szCs w:val="20"/>
              </w:rPr>
            </w:pPr>
            <w:r>
              <w:rPr>
                <w:rFonts w:ascii="Times New Roman"/>
                <w:spacing w:val="-1"/>
                <w:sz w:val="20"/>
              </w:rPr>
              <w:t>457,867.34</w:t>
            </w:r>
            <w:r>
              <w:rPr>
                <w:rFonts w:ascii="Times New Roman"/>
                <w:sz w:val="20"/>
              </w:rPr>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4" w:right="0"/>
              <w:jc w:val="left"/>
              <w:rPr>
                <w:rFonts w:ascii="宋体" w:hAnsi="宋体" w:cs="宋体" w:eastAsia="宋体" w:hint="default"/>
                <w:sz w:val="20"/>
                <w:szCs w:val="20"/>
              </w:rPr>
            </w:pPr>
            <w:r>
              <w:rPr>
                <w:rFonts w:ascii="宋体" w:hAnsi="宋体" w:cs="宋体" w:eastAsia="宋体" w:hint="default"/>
                <w:sz w:val="20"/>
                <w:szCs w:val="20"/>
              </w:rPr>
              <w:t>水务工程</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22,169.32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18,303.79</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36,413.30</w:t>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743,131.84</w:t>
            </w:r>
            <w:r>
              <w:rPr>
                <w:rFonts w:ascii="Times New Roman"/>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722,609.25</w:t>
            </w:r>
            <w:r>
              <w:rPr>
                <w:rFonts w:ascii="Times New Roman"/>
                <w:sz w:val="20"/>
              </w:rPr>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507,384.98</w:t>
            </w:r>
            <w:r>
              <w:rPr>
                <w:rFonts w:ascii="Times New Roman"/>
                <w:sz w:val="20"/>
              </w:rPr>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、其中：同方威视</w:t>
            </w:r>
            <w:r>
              <w:rPr>
                <w:rFonts w:ascii="Times New Roman" w:hAnsi="Times New Roman" w:cs="Times New Roman" w:eastAsia="Times New Roman" w:hint="default"/>
                <w:sz w:val="20"/>
                <w:szCs w:val="20"/>
              </w:rPr>
              <w:t>(b)</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243,912.54</w:t>
            </w:r>
            <w:r>
              <w:rPr>
                <w:rFonts w:ascii="Times New Roman"/>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230,386.32</w:t>
            </w:r>
            <w:r>
              <w:rPr>
                <w:rFonts w:ascii="Times New Roman"/>
                <w:sz w:val="20"/>
              </w:rPr>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163,203.41</w:t>
            </w:r>
            <w:r>
              <w:rPr>
                <w:rFonts w:ascii="Times New Roman"/>
                <w:sz w:val="20"/>
              </w:rPr>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85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泰豪科技</w:t>
            </w:r>
            <w:r>
              <w:rPr>
                <w:rFonts w:ascii="Times New Roman" w:hAnsi="Times New Roman" w:cs="Times New Roman" w:eastAsia="Times New Roman" w:hint="default"/>
                <w:sz w:val="20"/>
                <w:szCs w:val="20"/>
              </w:rPr>
              <w:t>(c)</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224,100.07</w:t>
            </w:r>
            <w:r>
              <w:rPr>
                <w:rFonts w:ascii="Times New Roman"/>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198,459.34</w:t>
            </w:r>
            <w:r>
              <w:rPr>
                <w:rFonts w:ascii="Times New Roman"/>
                <w:sz w:val="20"/>
              </w:rPr>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spacing w:val="-1"/>
                <w:sz w:val="20"/>
              </w:rPr>
              <w:t>109,655.22</w:t>
            </w:r>
            <w:r>
              <w:rPr>
                <w:rFonts w:ascii="Times New Roman"/>
                <w:sz w:val="20"/>
              </w:rPr>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84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同方微电子</w:t>
            </w:r>
            <w:r>
              <w:rPr>
                <w:rFonts w:ascii="Times New Roman" w:hAnsi="Times New Roman" w:cs="Times New Roman" w:eastAsia="Times New Roman" w:hint="default"/>
                <w:sz w:val="20"/>
                <w:szCs w:val="20"/>
              </w:rPr>
              <w:t>(d)</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39,666.52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45,740.35</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50,573.94</w:t>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85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工业公司</w:t>
            </w:r>
            <w:r>
              <w:rPr>
                <w:rFonts w:ascii="Times New Roman" w:hAnsi="Times New Roman" w:cs="Times New Roman" w:eastAsia="Times New Roman" w:hint="default"/>
                <w:sz w:val="20"/>
                <w:szCs w:val="20"/>
              </w:rPr>
              <w:t>(e)</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86,504.92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80,892.65</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61,309.55</w:t>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86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同方知网</w:t>
            </w:r>
            <w:r>
              <w:rPr>
                <w:rFonts w:ascii="Times New Roman" w:hAnsi="Times New Roman" w:cs="Times New Roman" w:eastAsia="Times New Roman" w:hint="default"/>
                <w:sz w:val="20"/>
                <w:szCs w:val="20"/>
              </w:rPr>
              <w:t>(f)</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34,443.46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28,011.77</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22,626.78</w:t>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84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沈阳多媒体</w:t>
            </w:r>
            <w:r>
              <w:rPr>
                <w:rFonts w:ascii="Times New Roman" w:hAnsi="Times New Roman" w:cs="Times New Roman" w:eastAsia="Times New Roman" w:hint="default"/>
                <w:sz w:val="20"/>
                <w:szCs w:val="20"/>
              </w:rPr>
              <w:t>(g)</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91,874.91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79,221.52</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22,119.43</w:t>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、其他子公司合计</w:t>
            </w:r>
            <w:r>
              <w:rPr>
                <w:rFonts w:ascii="宋体" w:hAnsi="宋体" w:cs="宋体" w:eastAsia="宋体" w:hint="default"/>
                <w:sz w:val="20"/>
                <w:szCs w:val="20"/>
              </w:rPr>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22,629.41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59,897.29</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77,896.65</w:t>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pacing w:val="-3"/>
                <w:sz w:val="20"/>
                <w:szCs w:val="20"/>
              </w:rPr>
              <w:t>3</w:t>
            </w:r>
            <w:r>
              <w:rPr>
                <w:rFonts w:ascii="宋体" w:hAnsi="宋体" w:cs="宋体" w:eastAsia="宋体" w:hint="default"/>
                <w:b/>
                <w:bCs/>
                <w:spacing w:val="-3"/>
                <w:sz w:val="20"/>
                <w:szCs w:val="20"/>
              </w:rPr>
              <w:t>、</w:t>
            </w:r>
            <w:r>
              <w:rPr>
                <w:rFonts w:ascii="Times New Roman" w:hAnsi="Times New Roman" w:cs="Times New Roman" w:eastAsia="Times New Roman" w:hint="default"/>
                <w:b/>
                <w:bCs/>
                <w:spacing w:val="-3"/>
                <w:sz w:val="20"/>
                <w:szCs w:val="20"/>
              </w:rPr>
              <w:t>(b)</w:t>
            </w:r>
            <w:r>
              <w:rPr>
                <w:rFonts w:ascii="宋体" w:hAnsi="宋体" w:cs="宋体" w:eastAsia="宋体" w:hint="default"/>
                <w:b/>
                <w:bCs/>
                <w:spacing w:val="-3"/>
                <w:sz w:val="20"/>
                <w:szCs w:val="20"/>
              </w:rPr>
              <w:t>～</w:t>
            </w:r>
            <w:r>
              <w:rPr>
                <w:rFonts w:ascii="Times New Roman" w:hAnsi="Times New Roman" w:cs="Times New Roman" w:eastAsia="Times New Roman" w:hint="default"/>
                <w:b/>
                <w:bCs/>
                <w:spacing w:val="-3"/>
                <w:sz w:val="20"/>
                <w:szCs w:val="20"/>
              </w:rPr>
              <w:t>(g)</w:t>
            </w:r>
            <w:r>
              <w:rPr>
                <w:rFonts w:ascii="宋体" w:hAnsi="宋体" w:cs="宋体" w:eastAsia="宋体" w:hint="default"/>
                <w:b/>
                <w:bCs/>
                <w:spacing w:val="-3"/>
                <w:sz w:val="20"/>
                <w:szCs w:val="20"/>
              </w:rPr>
              <w:t>占子公司合计比例</w:t>
            </w:r>
            <w:r>
              <w:rPr>
                <w:rFonts w:ascii="宋体" w:hAnsi="宋体" w:cs="宋体" w:eastAsia="宋体" w:hint="default"/>
                <w:spacing w:val="-3"/>
                <w:sz w:val="20"/>
                <w:szCs w:val="20"/>
              </w:rPr>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96.95%</w:t>
            </w:r>
            <w:r>
              <w:rPr>
                <w:rFonts w:ascii="Times New Roman"/>
                <w:spacing w:val="-1"/>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b/>
                <w:spacing w:val="-1"/>
                <w:sz w:val="20"/>
              </w:rPr>
              <w:t>91.71%</w:t>
            </w:r>
            <w:r>
              <w:rPr>
                <w:rFonts w:ascii="Times New Roman"/>
                <w:spacing w:val="-1"/>
                <w:sz w:val="20"/>
              </w:rPr>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7"/>
              <w:jc w:val="right"/>
              <w:rPr>
                <w:rFonts w:ascii="Times New Roman" w:hAnsi="Times New Roman" w:cs="Times New Roman" w:eastAsia="Times New Roman" w:hint="default"/>
                <w:sz w:val="20"/>
                <w:szCs w:val="20"/>
              </w:rPr>
            </w:pPr>
            <w:r>
              <w:rPr>
                <w:rFonts w:ascii="Times New Roman"/>
                <w:b/>
                <w:spacing w:val="-1"/>
                <w:sz w:val="20"/>
              </w:rPr>
              <w:t>84.65%</w:t>
            </w:r>
            <w:r>
              <w:rPr>
                <w:rFonts w:ascii="Times New Roman"/>
                <w:spacing w:val="-1"/>
                <w:sz w:val="20"/>
              </w:rPr>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(g)</w:t>
            </w:r>
            <w:r>
              <w:rPr>
                <w:rFonts w:ascii="宋体" w:hAnsi="宋体" w:cs="宋体" w:eastAsia="宋体" w:hint="default"/>
                <w:b/>
                <w:bCs/>
                <w:sz w:val="20"/>
                <w:szCs w:val="20"/>
              </w:rPr>
              <w:t>小计</w:t>
            </w:r>
            <w:r>
              <w:rPr>
                <w:rFonts w:ascii="宋体" w:hAnsi="宋体" w:cs="宋体" w:eastAsia="宋体" w:hint="default"/>
                <w:sz w:val="20"/>
                <w:szCs w:val="20"/>
              </w:rPr>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1,348,017.26</w:t>
            </w:r>
            <w:r>
              <w:rPr>
                <w:rFonts w:ascii="Times New Roman"/>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1,312,408.77</w:t>
            </w:r>
            <w:r>
              <w:rPr>
                <w:rFonts w:ascii="Times New Roman"/>
                <w:sz w:val="20"/>
              </w:rPr>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1,065,262.93</w:t>
            </w:r>
            <w:r>
              <w:rPr>
                <w:rFonts w:ascii="Times New Roman"/>
                <w:sz w:val="20"/>
              </w:rPr>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1,370,646.67</w:t>
            </w:r>
            <w:r>
              <w:rPr>
                <w:rFonts w:ascii="Times New Roman"/>
                <w:sz w:val="20"/>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b/>
                <w:spacing w:val="-1"/>
                <w:sz w:val="20"/>
              </w:rPr>
              <w:t>1,372,306.07</w:t>
            </w:r>
            <w:r>
              <w:rPr>
                <w:rFonts w:ascii="Times New Roman"/>
                <w:sz w:val="20"/>
              </w:rPr>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b/>
                <w:spacing w:val="-1"/>
                <w:sz w:val="20"/>
              </w:rPr>
              <w:t>1,143,159.58</w:t>
            </w:r>
            <w:r>
              <w:rPr>
                <w:rFonts w:ascii="Times New Roman"/>
                <w:sz w:val="20"/>
              </w:rPr>
            </w:r>
          </w:p>
        </w:tc>
      </w:tr>
      <w:tr>
        <w:trPr>
          <w:trHeight w:val="335" w:hRule="exact"/>
        </w:trPr>
        <w:tc>
          <w:tcPr>
            <w:tcW w:w="2762"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(g)</w:t>
            </w:r>
            <w:r>
              <w:rPr>
                <w:rFonts w:ascii="宋体" w:hAnsi="宋体" w:cs="宋体" w:eastAsia="宋体" w:hint="default"/>
                <w:b/>
                <w:bCs/>
                <w:sz w:val="20"/>
                <w:szCs w:val="20"/>
              </w:rPr>
              <w:t>占公司总计比例</w:t>
            </w:r>
            <w:r>
              <w:rPr>
                <w:rFonts w:ascii="宋体" w:hAnsi="宋体" w:cs="宋体" w:eastAsia="宋体" w:hint="default"/>
                <w:sz w:val="20"/>
                <w:szCs w:val="20"/>
              </w:rPr>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98.35%</w:t>
            </w:r>
            <w:r>
              <w:rPr>
                <w:rFonts w:ascii="Times New Roman"/>
                <w:spacing w:val="-1"/>
                <w:sz w:val="20"/>
              </w:rPr>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b/>
                <w:spacing w:val="-1"/>
                <w:sz w:val="20"/>
              </w:rPr>
              <w:t>95.64%</w:t>
            </w:r>
            <w:r>
              <w:rPr>
                <w:rFonts w:ascii="Times New Roman"/>
                <w:spacing w:val="-1"/>
                <w:sz w:val="20"/>
              </w:rPr>
            </w:r>
          </w:p>
        </w:tc>
        <w:tc>
          <w:tcPr>
            <w:tcW w:w="2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7"/>
              <w:jc w:val="right"/>
              <w:rPr>
                <w:rFonts w:ascii="Times New Roman" w:hAnsi="Times New Roman" w:cs="Times New Roman" w:eastAsia="Times New Roman" w:hint="default"/>
                <w:sz w:val="20"/>
                <w:szCs w:val="20"/>
              </w:rPr>
            </w:pPr>
            <w:r>
              <w:rPr>
                <w:rFonts w:ascii="Times New Roman"/>
                <w:b/>
                <w:spacing w:val="-1"/>
                <w:sz w:val="20"/>
              </w:rPr>
              <w:t>93.19%</w:t>
            </w:r>
            <w:r>
              <w:rPr>
                <w:rFonts w:ascii="Times New Roman"/>
                <w:spacing w:val="-1"/>
                <w:sz w:val="20"/>
              </w:rPr>
            </w:r>
          </w:p>
        </w:tc>
      </w:tr>
    </w:tbl>
    <w:p>
      <w:pPr>
        <w:spacing w:line="240" w:lineRule="auto" w:before="10"/>
        <w:rPr>
          <w:rFonts w:ascii="宋体" w:hAnsi="宋体" w:cs="宋体" w:eastAsia="宋体" w:hint="default"/>
          <w:sz w:val="18"/>
          <w:szCs w:val="18"/>
        </w:rPr>
      </w:pPr>
    </w:p>
    <w:p>
      <w:pPr>
        <w:pStyle w:val="BodyText"/>
        <w:spacing w:line="240" w:lineRule="auto" w:before="26"/>
        <w:ind w:left="238" w:right="0"/>
        <w:jc w:val="both"/>
      </w:pPr>
      <w:r>
        <w:rPr/>
        <w:t>(2)盈利情况分析</w:t>
      </w:r>
    </w:p>
    <w:p>
      <w:pPr>
        <w:spacing w:line="240" w:lineRule="auto" w:before="11"/>
        <w:rPr>
          <w:rFonts w:ascii="宋体" w:hAnsi="宋体" w:cs="宋体" w:eastAsia="宋体" w:hint="default"/>
          <w:sz w:val="23"/>
          <w:szCs w:val="23"/>
        </w:rPr>
      </w:pPr>
    </w:p>
    <w:p>
      <w:pPr>
        <w:pStyle w:val="BodyText"/>
        <w:spacing w:line="237" w:lineRule="auto"/>
        <w:ind w:left="238" w:right="380"/>
        <w:jc w:val="both"/>
      </w:pPr>
      <w:r>
        <w:rPr/>
        <w:t>在盈利能力方面，公司一直贯彻加强自主核心竞争能力的经营策略，不断提升核心技术</w:t>
      </w:r>
      <w:r>
        <w:rPr>
          <w:spacing w:val="-47"/>
        </w:rPr>
        <w:t> </w:t>
      </w:r>
      <w:r>
        <w:rPr>
          <w:spacing w:val="-47"/>
        </w:rPr>
      </w:r>
      <w:r>
        <w:rPr/>
        <w:t>水平，公司盈利能力持续提升，整体毛利率水平由</w:t>
      </w:r>
      <w:r>
        <w:rPr>
          <w:spacing w:val="-40"/>
        </w:rPr>
        <w:t> </w:t>
      </w:r>
      <w:r>
        <w:rPr/>
        <w:t>2007</w:t>
      </w:r>
      <w:r>
        <w:rPr>
          <w:spacing w:val="-40"/>
        </w:rPr>
        <w:t> </w:t>
      </w:r>
      <w:r>
        <w:rPr/>
        <w:t>年的</w:t>
      </w:r>
      <w:r>
        <w:rPr>
          <w:spacing w:val="-40"/>
        </w:rPr>
        <w:t> </w:t>
      </w:r>
      <w:r>
        <w:rPr/>
        <w:t>15.83%提高至</w:t>
      </w:r>
      <w:r>
        <w:rPr>
          <w:spacing w:val="-40"/>
        </w:rPr>
        <w:t> </w:t>
      </w:r>
      <w:r>
        <w:rPr/>
        <w:t>18.48%。在</w:t>
      </w:r>
      <w:r>
        <w:rPr/>
        <w:t> 费用管理方面，公司继续深化完善计划预算考核制度，规范管理流程、提高管理效率，</w:t>
      </w:r>
      <w:r>
        <w:rPr>
          <w:spacing w:val="-47"/>
        </w:rPr>
        <w:t> </w:t>
      </w:r>
      <w:r>
        <w:rPr>
          <w:spacing w:val="-47"/>
        </w:rPr>
      </w:r>
      <w:r>
        <w:rPr/>
        <w:t>然而受到市场宏观环境变化的影响，公司为进一步拓展市场，增大了销售费用的支出，</w:t>
      </w:r>
      <w:r>
        <w:rPr>
          <w:spacing w:val="-47"/>
        </w:rPr>
        <w:t> </w:t>
      </w:r>
      <w:r>
        <w:rPr>
          <w:spacing w:val="-47"/>
        </w:rPr>
      </w:r>
      <w:r>
        <w:rPr/>
        <w:t>以及加大了研发投入力度，管理费用出现较大增长，同时受到汇兑损益影响，公司财务</w:t>
      </w:r>
      <w:r>
        <w:rPr>
          <w:spacing w:val="-47"/>
        </w:rPr>
        <w:t> </w:t>
      </w:r>
      <w:r>
        <w:rPr>
          <w:spacing w:val="-47"/>
        </w:rPr>
      </w:r>
      <w:r>
        <w:rPr/>
        <w:t>费用也略有增加。因此综合来看，期间费用率较以往年度有所提高。</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公司</w:t>
      </w:r>
      <w:r>
        <w:rPr>
          <w:spacing w:val="-60"/>
        </w:rPr>
        <w:t> </w:t>
      </w:r>
      <w:r>
        <w:rPr/>
        <w:t>2008</w:t>
      </w:r>
      <w:r>
        <w:rPr>
          <w:spacing w:val="-60"/>
        </w:rPr>
        <w:t> </w:t>
      </w:r>
      <w:r>
        <w:rPr/>
        <w:t>年利润表的各项财务比率如下：</w:t>
      </w: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762"/>
        <w:gridCol w:w="2168"/>
        <w:gridCol w:w="2372"/>
        <w:gridCol w:w="2115"/>
      </w:tblGrid>
      <w:tr>
        <w:trPr>
          <w:trHeight w:val="338" w:hRule="exact"/>
        </w:trPr>
        <w:tc>
          <w:tcPr>
            <w:tcW w:w="2762" w:type="dxa"/>
            <w:tcBorders>
              <w:top w:val="single" w:sz="12" w:space="0" w:color="000000"/>
              <w:left w:val="single" w:sz="12" w:space="0" w:color="000000"/>
              <w:bottom w:val="single" w:sz="6" w:space="0" w:color="000000"/>
              <w:right w:val="single" w:sz="6" w:space="0" w:color="000000"/>
            </w:tcBorders>
          </w:tcPr>
          <w:p>
            <w:pPr/>
          </w:p>
        </w:tc>
        <w:tc>
          <w:tcPr>
            <w:tcW w:w="2168"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72"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15" w:type="dxa"/>
            <w:tcBorders>
              <w:top w:val="single" w:sz="12" w:space="0" w:color="000000"/>
              <w:left w:val="single" w:sz="6" w:space="0" w:color="000000"/>
              <w:bottom w:val="single" w:sz="6" w:space="0" w:color="000000"/>
              <w:right w:val="single" w:sz="12" w:space="0" w:color="000000"/>
            </w:tcBorders>
          </w:tcPr>
          <w:p>
            <w:pPr>
              <w:pStyle w:val="TableParagraph"/>
              <w:spacing w:line="27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15.83%</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14.04%</w:t>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期间费率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15.05%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11.43%</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10.64%</w:t>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其中：营业费用率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4.84%</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4.64%</w:t>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965"/>
              <w:jc w:val="right"/>
              <w:rPr>
                <w:rFonts w:ascii="宋体" w:hAnsi="宋体" w:cs="宋体" w:eastAsia="宋体" w:hint="default"/>
                <w:sz w:val="21"/>
                <w:szCs w:val="21"/>
              </w:rPr>
            </w:pPr>
            <w:r>
              <w:rPr>
                <w:rFonts w:ascii="宋体" w:hAnsi="宋体" w:cs="宋体" w:eastAsia="宋体" w:hint="default"/>
                <w:sz w:val="21"/>
                <w:szCs w:val="21"/>
              </w:rPr>
              <w:t>管理费用率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5.21%</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4.79%</w:t>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965"/>
              <w:jc w:val="right"/>
              <w:rPr>
                <w:rFonts w:ascii="宋体" w:hAnsi="宋体" w:cs="宋体" w:eastAsia="宋体" w:hint="default"/>
                <w:sz w:val="21"/>
                <w:szCs w:val="21"/>
              </w:rPr>
            </w:pPr>
            <w:r>
              <w:rPr>
                <w:rFonts w:ascii="宋体" w:hAnsi="宋体" w:cs="宋体" w:eastAsia="宋体" w:hint="default"/>
                <w:sz w:val="21"/>
                <w:szCs w:val="21"/>
              </w:rPr>
              <w:t>财务费用率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1.38%</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1.20%</w:t>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净利润率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3.03%</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1.31%</w:t>
            </w:r>
          </w:p>
        </w:tc>
      </w:tr>
      <w:tr>
        <w:trPr>
          <w:trHeight w:val="334" w:hRule="exact"/>
        </w:trPr>
        <w:tc>
          <w:tcPr>
            <w:tcW w:w="2762"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3.88%</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10.05%</w:t>
            </w:r>
          </w:p>
        </w:tc>
        <w:tc>
          <w:tcPr>
            <w:tcW w:w="2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4.88%</w:t>
            </w:r>
          </w:p>
        </w:tc>
      </w:tr>
    </w:tbl>
    <w:p>
      <w:pPr>
        <w:spacing w:line="240" w:lineRule="auto" w:before="11"/>
        <w:rPr>
          <w:rFonts w:ascii="宋体" w:hAnsi="宋体" w:cs="宋体" w:eastAsia="宋体" w:hint="default"/>
          <w:sz w:val="18"/>
          <w:szCs w:val="18"/>
        </w:rPr>
      </w:pPr>
    </w:p>
    <w:p>
      <w:pPr>
        <w:pStyle w:val="BodyText"/>
        <w:spacing w:line="310" w:lineRule="exact" w:before="58"/>
        <w:ind w:left="238" w:right="0"/>
        <w:jc w:val="left"/>
      </w:pPr>
      <w:r>
        <w:rPr>
          <w:spacing w:val="-2"/>
        </w:rPr>
        <w:t>从各骨干控股子公司的营业费用、管理费用水平看，公司的费用构成也呈现出“二、八”</w:t>
      </w:r>
      <w:r>
        <w:rPr>
          <w:spacing w:val="-82"/>
        </w:rPr>
        <w:t> </w:t>
      </w:r>
      <w:r>
        <w:rPr>
          <w:spacing w:val="-82"/>
        </w:rPr>
      </w:r>
      <w:r>
        <w:rPr/>
        <w:t>局面，具体费用情况为：</w:t>
      </w:r>
    </w:p>
    <w:p>
      <w:pPr>
        <w:spacing w:line="240" w:lineRule="auto" w:before="6"/>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2716"/>
        <w:gridCol w:w="1080"/>
        <w:gridCol w:w="1084"/>
        <w:gridCol w:w="1076"/>
        <w:gridCol w:w="1109"/>
        <w:gridCol w:w="1166"/>
        <w:gridCol w:w="1238"/>
      </w:tblGrid>
      <w:tr>
        <w:trPr>
          <w:trHeight w:val="334" w:hRule="exact"/>
        </w:trPr>
        <w:tc>
          <w:tcPr>
            <w:tcW w:w="2716" w:type="dxa"/>
            <w:vMerge w:val="restart"/>
            <w:tcBorders>
              <w:top w:val="single" w:sz="12" w:space="0" w:color="000000"/>
              <w:left w:val="single" w:sz="12" w:space="0" w:color="000000"/>
              <w:right w:val="single" w:sz="6" w:space="0" w:color="000000"/>
            </w:tcBorders>
          </w:tcPr>
          <w:p>
            <w:pPr>
              <w:pStyle w:val="TableParagraph"/>
              <w:spacing w:line="240" w:lineRule="auto" w:before="142"/>
              <w:ind w:left="843" w:right="0"/>
              <w:jc w:val="left"/>
              <w:rPr>
                <w:rFonts w:ascii="宋体" w:hAnsi="宋体" w:cs="宋体" w:eastAsia="宋体" w:hint="default"/>
                <w:sz w:val="20"/>
                <w:szCs w:val="20"/>
              </w:rPr>
            </w:pPr>
            <w:r>
              <w:rPr>
                <w:rFonts w:ascii="宋体" w:hAnsi="宋体" w:cs="宋体" w:eastAsia="宋体" w:hint="default"/>
                <w:sz w:val="20"/>
                <w:szCs w:val="20"/>
              </w:rPr>
              <w:t>单位：万元</w:t>
            </w:r>
          </w:p>
        </w:tc>
        <w:tc>
          <w:tcPr>
            <w:tcW w:w="216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64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18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65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404"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76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2006</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26" w:hRule="exact"/>
        </w:trPr>
        <w:tc>
          <w:tcPr>
            <w:tcW w:w="2716" w:type="dxa"/>
            <w:vMerge/>
            <w:tcBorders>
              <w:left w:val="single" w:sz="12"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30"/>
              <w:jc w:val="right"/>
              <w:rPr>
                <w:rFonts w:ascii="宋体" w:hAnsi="宋体" w:cs="宋体" w:eastAsia="宋体" w:hint="default"/>
                <w:sz w:val="20"/>
                <w:szCs w:val="20"/>
              </w:rPr>
            </w:pPr>
            <w:r>
              <w:rPr>
                <w:rFonts w:ascii="宋体" w:hAnsi="宋体" w:cs="宋体" w:eastAsia="宋体" w:hint="default"/>
                <w:b/>
                <w:bCs/>
                <w:w w:val="95"/>
                <w:sz w:val="20"/>
                <w:szCs w:val="20"/>
              </w:rPr>
              <w:t>营业费用</w:t>
            </w:r>
            <w:r>
              <w:rPr>
                <w:rFonts w:ascii="宋体" w:hAnsi="宋体" w:cs="宋体" w:eastAsia="宋体" w:hint="default"/>
                <w:sz w:val="20"/>
                <w:szCs w:val="20"/>
              </w:rPr>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管理费用</w:t>
            </w:r>
            <w:r>
              <w:rPr>
                <w:rFonts w:ascii="宋体" w:hAnsi="宋体" w:cs="宋体" w:eastAsia="宋体" w:hint="default"/>
                <w:sz w:val="20"/>
                <w:szCs w:val="20"/>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28"/>
              <w:jc w:val="right"/>
              <w:rPr>
                <w:rFonts w:ascii="宋体" w:hAnsi="宋体" w:cs="宋体" w:eastAsia="宋体" w:hint="default"/>
                <w:sz w:val="20"/>
                <w:szCs w:val="20"/>
              </w:rPr>
            </w:pPr>
            <w:r>
              <w:rPr>
                <w:rFonts w:ascii="宋体" w:hAnsi="宋体" w:cs="宋体" w:eastAsia="宋体" w:hint="default"/>
                <w:b/>
                <w:bCs/>
                <w:w w:val="95"/>
                <w:sz w:val="20"/>
                <w:szCs w:val="20"/>
              </w:rPr>
              <w:t>营业费用</w:t>
            </w:r>
            <w:r>
              <w:rPr>
                <w:rFonts w:ascii="宋体" w:hAnsi="宋体" w:cs="宋体" w:eastAsia="宋体" w:hint="default"/>
                <w:sz w:val="20"/>
                <w:szCs w:val="20"/>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4"/>
              <w:jc w:val="right"/>
              <w:rPr>
                <w:rFonts w:ascii="宋体" w:hAnsi="宋体" w:cs="宋体" w:eastAsia="宋体" w:hint="default"/>
                <w:sz w:val="20"/>
                <w:szCs w:val="20"/>
              </w:rPr>
            </w:pPr>
            <w:r>
              <w:rPr>
                <w:rFonts w:ascii="宋体" w:hAnsi="宋体" w:cs="宋体" w:eastAsia="宋体" w:hint="default"/>
                <w:b/>
                <w:bCs/>
                <w:w w:val="95"/>
                <w:sz w:val="20"/>
                <w:szCs w:val="20"/>
              </w:rPr>
              <w:t>管理费用</w:t>
            </w:r>
            <w:r>
              <w:rPr>
                <w:rFonts w:ascii="宋体" w:hAnsi="宋体" w:cs="宋体" w:eastAsia="宋体" w:hint="default"/>
                <w:sz w:val="20"/>
                <w:szCs w:val="20"/>
              </w:rPr>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73" w:right="0"/>
              <w:jc w:val="left"/>
              <w:rPr>
                <w:rFonts w:ascii="宋体" w:hAnsi="宋体" w:cs="宋体" w:eastAsia="宋体" w:hint="default"/>
                <w:sz w:val="20"/>
                <w:szCs w:val="20"/>
              </w:rPr>
            </w:pPr>
            <w:r>
              <w:rPr>
                <w:rFonts w:ascii="宋体" w:hAnsi="宋体" w:cs="宋体" w:eastAsia="宋体" w:hint="default"/>
                <w:b/>
                <w:bCs/>
                <w:sz w:val="20"/>
                <w:szCs w:val="20"/>
              </w:rPr>
              <w:t>营业费用</w:t>
            </w:r>
            <w:r>
              <w:rPr>
                <w:rFonts w:ascii="宋体" w:hAnsi="宋体" w:cs="宋体" w:eastAsia="宋体" w:hint="default"/>
                <w:sz w:val="20"/>
                <w:szCs w:val="20"/>
              </w:rPr>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209" w:right="0"/>
              <w:jc w:val="left"/>
              <w:rPr>
                <w:rFonts w:ascii="宋体" w:hAnsi="宋体" w:cs="宋体" w:eastAsia="宋体" w:hint="default"/>
                <w:sz w:val="20"/>
                <w:szCs w:val="20"/>
              </w:rPr>
            </w:pPr>
            <w:r>
              <w:rPr>
                <w:rFonts w:ascii="宋体" w:hAnsi="宋体" w:cs="宋体" w:eastAsia="宋体" w:hint="default"/>
                <w:b/>
                <w:bCs/>
                <w:sz w:val="20"/>
                <w:szCs w:val="20"/>
              </w:rPr>
              <w:t>管理费用</w:t>
            </w:r>
            <w:r>
              <w:rPr>
                <w:rFonts w:ascii="宋体" w:hAnsi="宋体" w:cs="宋体" w:eastAsia="宋体" w:hint="default"/>
                <w:sz w:val="20"/>
                <w:szCs w:val="20"/>
              </w:rPr>
            </w:r>
          </w:p>
        </w:tc>
      </w:tr>
      <w:tr>
        <w:trPr>
          <w:trHeight w:val="328"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4"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一、母公司合计</w:t>
            </w:r>
            <w:r>
              <w:rPr>
                <w:rFonts w:ascii="Times New Roman" w:hAnsi="Times New Roman" w:cs="Times New Roman" w:eastAsia="Times New Roman" w:hint="default"/>
                <w:b/>
                <w:bCs/>
                <w:sz w:val="20"/>
                <w:szCs w:val="20"/>
              </w:rPr>
              <w:t>(a)</w:t>
            </w:r>
            <w:r>
              <w:rPr>
                <w:rFonts w:ascii="Times New Roman" w:hAnsi="Times New Roman" w:cs="Times New Roman" w:eastAsia="Times New Roman" w:hint="default"/>
                <w:sz w:val="20"/>
                <w:szCs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35,440.98</w:t>
            </w:r>
            <w:r>
              <w:rPr>
                <w:rFonts w:ascii="Times New Roman"/>
                <w:spacing w:val="-1"/>
                <w:sz w:val="20"/>
              </w:rPr>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4" w:right="0"/>
              <w:jc w:val="center"/>
              <w:rPr>
                <w:rFonts w:ascii="Times New Roman" w:hAnsi="Times New Roman" w:cs="Times New Roman" w:eastAsia="Times New Roman" w:hint="default"/>
                <w:sz w:val="20"/>
                <w:szCs w:val="20"/>
              </w:rPr>
            </w:pPr>
            <w:r>
              <w:rPr>
                <w:rFonts w:ascii="Times New Roman"/>
                <w:b/>
                <w:sz w:val="20"/>
              </w:rPr>
              <w:t>24,350.46</w:t>
            </w:r>
            <w:r>
              <w:rPr>
                <w:rFonts w:ascii="Times New Roman"/>
                <w:sz w:val="20"/>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34,665.99</w:t>
            </w:r>
            <w:r>
              <w:rPr>
                <w:rFonts w:ascii="Times New Roman"/>
                <w:spacing w:val="-1"/>
                <w:sz w:val="20"/>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21,470.40</w:t>
            </w:r>
            <w:r>
              <w:rPr>
                <w:rFonts w:ascii="Times New Roman"/>
                <w:spacing w:val="-1"/>
                <w:sz w:val="20"/>
              </w:rPr>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25,800.09</w:t>
            </w:r>
            <w:r>
              <w:rPr>
                <w:rFonts w:ascii="Times New Roman"/>
                <w:spacing w:val="-1"/>
                <w:sz w:val="20"/>
              </w:rPr>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Times New Roman" w:hAnsi="Times New Roman" w:cs="Times New Roman" w:eastAsia="Times New Roman" w:hint="default"/>
                <w:sz w:val="20"/>
                <w:szCs w:val="20"/>
              </w:rPr>
            </w:pPr>
            <w:r>
              <w:rPr>
                <w:rFonts w:ascii="Times New Roman"/>
                <w:b/>
                <w:spacing w:val="-1"/>
                <w:sz w:val="20"/>
              </w:rPr>
              <w:t>17,652.29</w:t>
            </w:r>
            <w:r>
              <w:rPr>
                <w:rFonts w:ascii="Times New Roman"/>
                <w:spacing w:val="-1"/>
                <w:sz w:val="20"/>
              </w:rPr>
            </w:r>
          </w:p>
        </w:tc>
      </w:tr>
      <w:tr>
        <w:trPr>
          <w:trHeight w:val="334" w:hRule="exact"/>
        </w:trPr>
        <w:tc>
          <w:tcPr>
            <w:tcW w:w="2716"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4"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4,268.07</w:t>
            </w:r>
          </w:p>
        </w:tc>
        <w:tc>
          <w:tcPr>
            <w:tcW w:w="10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165" w:right="0"/>
              <w:jc w:val="center"/>
              <w:rPr>
                <w:rFonts w:ascii="Times New Roman" w:hAnsi="Times New Roman" w:cs="Times New Roman" w:eastAsia="Times New Roman" w:hint="default"/>
                <w:sz w:val="20"/>
                <w:szCs w:val="20"/>
              </w:rPr>
            </w:pPr>
            <w:r>
              <w:rPr>
                <w:rFonts w:ascii="Times New Roman"/>
                <w:sz w:val="20"/>
              </w:rPr>
              <w:t>3,418.16</w:t>
            </w:r>
          </w:p>
        </w:tc>
        <w:tc>
          <w:tcPr>
            <w:tcW w:w="1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4,155.53</w:t>
            </w:r>
          </w:p>
        </w:tc>
        <w:tc>
          <w:tcPr>
            <w:tcW w:w="11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8,298.73</w:t>
            </w:r>
          </w:p>
        </w:tc>
        <w:tc>
          <w:tcPr>
            <w:tcW w:w="11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4,331.63</w:t>
            </w:r>
          </w:p>
        </w:tc>
        <w:tc>
          <w:tcPr>
            <w:tcW w:w="12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7,033.82</w:t>
            </w:r>
          </w:p>
        </w:tc>
      </w:tr>
    </w:tbl>
    <w:p>
      <w:pPr>
        <w:spacing w:after="0" w:line="240" w:lineRule="auto"/>
        <w:jc w:val="right"/>
        <w:rPr>
          <w:rFonts w:ascii="Times New Roman" w:hAnsi="Times New Roman" w:cs="Times New Roman" w:eastAsia="Times New Roman" w:hint="default"/>
          <w:sz w:val="20"/>
          <w:szCs w:val="20"/>
        </w:rPr>
        <w:sectPr>
          <w:headerReference w:type="default" r:id="rId20"/>
          <w:pgSz w:w="11910" w:h="16840"/>
          <w:pgMar w:header="610" w:footer="764" w:top="1080" w:bottom="980" w:left="11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207" w:type="dxa"/>
        <w:tblLayout w:type="fixed"/>
        <w:tblCellMar>
          <w:top w:w="0" w:type="dxa"/>
          <w:left w:w="0" w:type="dxa"/>
          <w:bottom w:w="0" w:type="dxa"/>
          <w:right w:w="0" w:type="dxa"/>
        </w:tblCellMar>
        <w:tblLook w:val="01E0"/>
      </w:tblPr>
      <w:tblGrid>
        <w:gridCol w:w="2716"/>
        <w:gridCol w:w="1080"/>
        <w:gridCol w:w="1084"/>
        <w:gridCol w:w="1076"/>
        <w:gridCol w:w="1109"/>
        <w:gridCol w:w="1166"/>
        <w:gridCol w:w="1238"/>
      </w:tblGrid>
      <w:tr>
        <w:trPr>
          <w:trHeight w:val="333" w:hRule="exact"/>
        </w:trPr>
        <w:tc>
          <w:tcPr>
            <w:tcW w:w="2716"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694"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18,110.55</w:t>
            </w:r>
          </w:p>
        </w:tc>
        <w:tc>
          <w:tcPr>
            <w:tcW w:w="10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9,467.58</w:t>
            </w:r>
            <w:r>
              <w:rPr>
                <w:rFonts w:ascii="Times New Roman"/>
                <w:sz w:val="20"/>
              </w:rPr>
            </w:r>
          </w:p>
        </w:tc>
        <w:tc>
          <w:tcPr>
            <w:tcW w:w="10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22,104.03</w:t>
            </w:r>
          </w:p>
        </w:tc>
        <w:tc>
          <w:tcPr>
            <w:tcW w:w="11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3,307.50</w:t>
            </w:r>
            <w:r>
              <w:rPr>
                <w:rFonts w:ascii="Times New Roman"/>
                <w:sz w:val="20"/>
              </w:rPr>
            </w:r>
          </w:p>
        </w:tc>
        <w:tc>
          <w:tcPr>
            <w:tcW w:w="11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19,077.85</w:t>
            </w:r>
          </w:p>
        </w:tc>
        <w:tc>
          <w:tcPr>
            <w:tcW w:w="123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right="93"/>
              <w:jc w:val="right"/>
              <w:rPr>
                <w:rFonts w:ascii="Times New Roman" w:hAnsi="Times New Roman" w:cs="Times New Roman" w:eastAsia="Times New Roman" w:hint="default"/>
                <w:sz w:val="20"/>
                <w:szCs w:val="20"/>
              </w:rPr>
            </w:pPr>
            <w:r>
              <w:rPr>
                <w:rFonts w:ascii="Times New Roman"/>
                <w:spacing w:val="-1"/>
                <w:sz w:val="20"/>
              </w:rPr>
              <w:t>2,724.16</w:t>
            </w:r>
            <w:r>
              <w:rPr>
                <w:rFonts w:ascii="Times New Roman"/>
                <w:sz w:val="20"/>
              </w:rPr>
            </w:r>
          </w:p>
        </w:tc>
      </w:tr>
      <w:tr>
        <w:trPr>
          <w:trHeight w:val="328"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6" w:right="0"/>
              <w:jc w:val="left"/>
              <w:rPr>
                <w:rFonts w:ascii="宋体" w:hAnsi="宋体" w:cs="宋体" w:eastAsia="宋体" w:hint="default"/>
                <w:sz w:val="20"/>
                <w:szCs w:val="20"/>
              </w:rPr>
            </w:pPr>
            <w:r>
              <w:rPr>
                <w:rFonts w:ascii="宋体" w:hAnsi="宋体" w:cs="宋体" w:eastAsia="宋体" w:hint="default"/>
                <w:sz w:val="20"/>
                <w:szCs w:val="20"/>
              </w:rPr>
              <w:t>水务工程</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719.81</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856.89</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663.71</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722.23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658.540797</w:t>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545.930472</w:t>
            </w:r>
          </w:p>
        </w:tc>
      </w:tr>
      <w:tr>
        <w:trPr>
          <w:trHeight w:val="326"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4"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48,857.16</w:t>
            </w:r>
            <w:r>
              <w:rPr>
                <w:rFonts w:ascii="Times New Roman"/>
                <w:spacing w:val="-1"/>
                <w:sz w:val="20"/>
              </w:rPr>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71,485.11</w:t>
            </w:r>
            <w:r>
              <w:rPr>
                <w:rFonts w:ascii="Times New Roman"/>
                <w:spacing w:val="-1"/>
                <w:sz w:val="20"/>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35,902.27</w:t>
            </w:r>
            <w:r>
              <w:rPr>
                <w:rFonts w:ascii="Times New Roman"/>
                <w:spacing w:val="-1"/>
                <w:sz w:val="20"/>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54,370.16</w:t>
            </w:r>
            <w:r>
              <w:rPr>
                <w:rFonts w:ascii="Times New Roman"/>
                <w:spacing w:val="-1"/>
                <w:sz w:val="20"/>
              </w:rPr>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30,469.73</w:t>
            </w:r>
            <w:r>
              <w:rPr>
                <w:rFonts w:ascii="Times New Roman"/>
                <w:spacing w:val="-1"/>
                <w:sz w:val="20"/>
              </w:rPr>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2"/>
              <w:jc w:val="right"/>
              <w:rPr>
                <w:rFonts w:ascii="Times New Roman" w:hAnsi="Times New Roman" w:cs="Times New Roman" w:eastAsia="Times New Roman" w:hint="default"/>
                <w:sz w:val="20"/>
                <w:szCs w:val="20"/>
              </w:rPr>
            </w:pPr>
            <w:r>
              <w:rPr>
                <w:rFonts w:ascii="Times New Roman"/>
                <w:b/>
                <w:spacing w:val="-1"/>
                <w:sz w:val="20"/>
              </w:rPr>
              <w:t>40,406.14</w:t>
            </w:r>
            <w:r>
              <w:rPr>
                <w:rFonts w:ascii="Times New Roman"/>
                <w:spacing w:val="-1"/>
                <w:sz w:val="20"/>
              </w:rPr>
            </w:r>
          </w:p>
        </w:tc>
      </w:tr>
      <w:tr>
        <w:trPr>
          <w:trHeight w:val="328"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、其中：同方威视</w:t>
            </w:r>
            <w:r>
              <w:rPr>
                <w:rFonts w:ascii="Times New Roman" w:hAnsi="Times New Roman" w:cs="Times New Roman" w:eastAsia="Times New Roman" w:hint="default"/>
                <w:sz w:val="20"/>
                <w:szCs w:val="20"/>
              </w:rPr>
              <w:t>(b)</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10,527.37</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23,283.30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8,582.03</w:t>
            </w:r>
            <w:r>
              <w:rPr>
                <w:rFonts w:ascii="Times New Roman"/>
                <w:sz w:val="20"/>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20,503.13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6,450.89</w:t>
            </w:r>
            <w:r>
              <w:rPr>
                <w:rFonts w:ascii="Times New Roman"/>
                <w:sz w:val="20"/>
              </w:rPr>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3"/>
              <w:jc w:val="right"/>
              <w:rPr>
                <w:rFonts w:ascii="Times New Roman" w:hAnsi="Times New Roman" w:cs="Times New Roman" w:eastAsia="Times New Roman" w:hint="default"/>
                <w:sz w:val="20"/>
                <w:szCs w:val="20"/>
              </w:rPr>
            </w:pPr>
            <w:r>
              <w:rPr>
                <w:rFonts w:ascii="Times New Roman"/>
                <w:spacing w:val="-1"/>
                <w:sz w:val="20"/>
              </w:rPr>
              <w:t>17,059.78</w:t>
            </w:r>
          </w:p>
        </w:tc>
      </w:tr>
      <w:tr>
        <w:trPr>
          <w:trHeight w:val="326"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泰豪科技</w:t>
            </w:r>
            <w:r>
              <w:rPr>
                <w:rFonts w:ascii="Times New Roman" w:hAnsi="Times New Roman" w:cs="Times New Roman" w:eastAsia="Times New Roman" w:hint="default"/>
                <w:sz w:val="20"/>
                <w:szCs w:val="20"/>
              </w:rPr>
              <w:t>(c)</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14,271.72</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14,082.01</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11,105.79</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8,688.84</w:t>
            </w:r>
            <w:r>
              <w:rPr>
                <w:rFonts w:ascii="Times New Roman"/>
                <w:sz w:val="20"/>
              </w:rPr>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6,154.43</w:t>
            </w:r>
            <w:r>
              <w:rPr>
                <w:rFonts w:ascii="Times New Roman"/>
                <w:sz w:val="20"/>
              </w:rPr>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3"/>
              <w:jc w:val="right"/>
              <w:rPr>
                <w:rFonts w:ascii="Times New Roman" w:hAnsi="Times New Roman" w:cs="Times New Roman" w:eastAsia="Times New Roman" w:hint="default"/>
                <w:sz w:val="20"/>
                <w:szCs w:val="20"/>
              </w:rPr>
            </w:pPr>
            <w:r>
              <w:rPr>
                <w:rFonts w:ascii="Times New Roman"/>
                <w:spacing w:val="-1"/>
                <w:sz w:val="20"/>
              </w:rPr>
              <w:t>5,168.99</w:t>
            </w:r>
            <w:r>
              <w:rPr>
                <w:rFonts w:ascii="Times New Roman"/>
                <w:sz w:val="20"/>
              </w:rPr>
            </w:r>
          </w:p>
        </w:tc>
      </w:tr>
      <w:tr>
        <w:trPr>
          <w:trHeight w:val="328"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2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同方微电子</w:t>
            </w:r>
            <w:r>
              <w:rPr>
                <w:rFonts w:ascii="Times New Roman" w:hAnsi="Times New Roman" w:cs="Times New Roman" w:eastAsia="Times New Roman" w:hint="default"/>
                <w:sz w:val="20"/>
                <w:szCs w:val="20"/>
              </w:rPr>
              <w:t>(d)</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651.68</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4,028.14</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890.03</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5,917.67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3,562.55</w:t>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991.95</w:t>
            </w:r>
          </w:p>
        </w:tc>
      </w:tr>
      <w:tr>
        <w:trPr>
          <w:trHeight w:val="326"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工业公司</w:t>
            </w:r>
            <w:r>
              <w:rPr>
                <w:rFonts w:ascii="Times New Roman" w:hAnsi="Times New Roman" w:cs="Times New Roman" w:eastAsia="Times New Roman" w:hint="default"/>
                <w:sz w:val="20"/>
                <w:szCs w:val="20"/>
              </w:rPr>
              <w:t>(e)</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812.14</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8,447.76</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626.00</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5,866.90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601.86</w:t>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4,609.32</w:t>
            </w:r>
          </w:p>
        </w:tc>
      </w:tr>
      <w:tr>
        <w:trPr>
          <w:trHeight w:val="328"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4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同方知网</w:t>
            </w:r>
            <w:r>
              <w:rPr>
                <w:rFonts w:ascii="Times New Roman" w:hAnsi="Times New Roman" w:cs="Times New Roman" w:eastAsia="Times New Roman" w:hint="default"/>
                <w:sz w:val="20"/>
                <w:szCs w:val="20"/>
              </w:rPr>
              <w:t>(f)</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8,796.30</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3,175.76</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5,834.48</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2,196.79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4,866.08</w:t>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1,161.24</w:t>
            </w:r>
          </w:p>
        </w:tc>
      </w:tr>
      <w:tr>
        <w:trPr>
          <w:trHeight w:val="326"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2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沈阳多媒体</w:t>
            </w:r>
            <w:r>
              <w:rPr>
                <w:rFonts w:ascii="Times New Roman" w:hAnsi="Times New Roman" w:cs="Times New Roman" w:eastAsia="Times New Roman" w:hint="default"/>
                <w:sz w:val="20"/>
                <w:szCs w:val="20"/>
              </w:rPr>
              <w:t>(g)</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6,661.21</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2,850.11</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3,993.09</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2,844.73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987.88</w:t>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721.57</w:t>
            </w:r>
          </w:p>
        </w:tc>
      </w:tr>
      <w:tr>
        <w:trPr>
          <w:trHeight w:val="328"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、其他子公司合计</w:t>
            </w:r>
            <w:r>
              <w:rPr>
                <w:rFonts w:ascii="宋体" w:hAnsi="宋体" w:cs="宋体" w:eastAsia="宋体" w:hint="default"/>
                <w:sz w:val="20"/>
                <w:szCs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7,136.74</w:t>
            </w:r>
            <w:r>
              <w:rPr>
                <w:rFonts w:ascii="Times New Roman"/>
                <w:sz w:val="20"/>
              </w:rPr>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15,618.03</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4,870.85</w:t>
            </w:r>
            <w:r>
              <w:rPr>
                <w:rFonts w:ascii="Times New Roman"/>
                <w:sz w:val="20"/>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8,352.10</w:t>
            </w:r>
            <w:r>
              <w:rPr>
                <w:rFonts w:ascii="Times New Roman"/>
                <w:sz w:val="20"/>
              </w:rPr>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7,846.05</w:t>
            </w:r>
            <w:r>
              <w:rPr>
                <w:rFonts w:ascii="Times New Roman"/>
                <w:sz w:val="20"/>
              </w:rPr>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10,693.29</w:t>
            </w:r>
          </w:p>
        </w:tc>
      </w:tr>
      <w:tr>
        <w:trPr>
          <w:trHeight w:val="326"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4" w:right="0"/>
              <w:jc w:val="lef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t>3</w:t>
            </w:r>
            <w:r>
              <w:rPr>
                <w:rFonts w:ascii="宋体" w:hAnsi="宋体" w:cs="宋体" w:eastAsia="宋体" w:hint="default"/>
                <w:b/>
                <w:bCs/>
                <w:spacing w:val="-87"/>
                <w:w w:val="99"/>
                <w:sz w:val="20"/>
                <w:szCs w:val="20"/>
              </w:rPr>
              <w:t>、</w:t>
            </w:r>
            <w:r>
              <w:rPr>
                <w:rFonts w:ascii="Times New Roman" w:hAnsi="Times New Roman" w:cs="Times New Roman" w:eastAsia="Times New Roman" w:hint="default"/>
                <w:b/>
                <w:bCs/>
                <w:w w:val="100"/>
                <w:sz w:val="20"/>
                <w:szCs w:val="20"/>
              </w:rPr>
              <w:t>(</w:t>
            </w:r>
            <w:r>
              <w:rPr>
                <w:rFonts w:ascii="Times New Roman" w:hAnsi="Times New Roman" w:cs="Times New Roman" w:eastAsia="Times New Roman" w:hint="default"/>
                <w:b/>
                <w:bCs/>
                <w:spacing w:val="-2"/>
                <w:w w:val="100"/>
                <w:sz w:val="20"/>
                <w:szCs w:val="20"/>
              </w:rPr>
              <w:t>b</w:t>
            </w:r>
            <w:r>
              <w:rPr>
                <w:rFonts w:ascii="Times New Roman" w:hAnsi="Times New Roman" w:cs="Times New Roman" w:eastAsia="Times New Roman" w:hint="default"/>
                <w:b/>
                <w:bCs/>
                <w:w w:val="100"/>
                <w:sz w:val="20"/>
                <w:szCs w:val="20"/>
              </w:rPr>
              <w:t>)</w:t>
            </w:r>
            <w:r>
              <w:rPr>
                <w:rFonts w:ascii="宋体" w:hAnsi="宋体" w:cs="宋体" w:eastAsia="宋体" w:hint="default"/>
                <w:b/>
                <w:bCs/>
                <w:w w:val="99"/>
                <w:sz w:val="20"/>
                <w:szCs w:val="20"/>
              </w:rPr>
              <w:t>～</w:t>
            </w:r>
            <w:r>
              <w:rPr>
                <w:rFonts w:ascii="Times New Roman" w:hAnsi="Times New Roman" w:cs="Times New Roman" w:eastAsia="Times New Roman" w:hint="default"/>
                <w:b/>
                <w:bCs/>
                <w:spacing w:val="-1"/>
                <w:w w:val="100"/>
                <w:sz w:val="20"/>
                <w:szCs w:val="20"/>
              </w:rPr>
              <w:t>(</w:t>
            </w:r>
            <w:r>
              <w:rPr>
                <w:rFonts w:ascii="Times New Roman" w:hAnsi="Times New Roman" w:cs="Times New Roman" w:eastAsia="Times New Roman" w:hint="default"/>
                <w:b/>
                <w:bCs/>
                <w:w w:val="100"/>
                <w:sz w:val="20"/>
                <w:szCs w:val="20"/>
              </w:rPr>
              <w:t>g</w:t>
            </w:r>
            <w:r>
              <w:rPr>
                <w:rFonts w:ascii="Times New Roman" w:hAnsi="Times New Roman" w:cs="Times New Roman" w:eastAsia="Times New Roman" w:hint="default"/>
                <w:b/>
                <w:bCs/>
                <w:spacing w:val="-1"/>
                <w:w w:val="100"/>
                <w:sz w:val="20"/>
                <w:szCs w:val="20"/>
              </w:rPr>
              <w:t>)</w:t>
            </w:r>
            <w:r>
              <w:rPr>
                <w:rFonts w:ascii="宋体" w:hAnsi="宋体" w:cs="宋体" w:eastAsia="宋体" w:hint="default"/>
                <w:b/>
                <w:bCs/>
                <w:w w:val="99"/>
                <w:sz w:val="20"/>
                <w:szCs w:val="20"/>
              </w:rPr>
              <w:t>占</w:t>
            </w:r>
            <w:r>
              <w:rPr>
                <w:rFonts w:ascii="宋体" w:hAnsi="宋体" w:cs="宋体" w:eastAsia="宋体" w:hint="default"/>
                <w:b/>
                <w:bCs/>
                <w:spacing w:val="1"/>
                <w:w w:val="99"/>
                <w:sz w:val="20"/>
                <w:szCs w:val="20"/>
              </w:rPr>
              <w:t>子</w:t>
            </w:r>
            <w:r>
              <w:rPr>
                <w:rFonts w:ascii="宋体" w:hAnsi="宋体" w:cs="宋体" w:eastAsia="宋体" w:hint="default"/>
                <w:b/>
                <w:bCs/>
                <w:w w:val="99"/>
                <w:sz w:val="20"/>
                <w:szCs w:val="20"/>
              </w:rPr>
              <w:t>公司</w:t>
            </w:r>
            <w:r>
              <w:rPr>
                <w:rFonts w:ascii="宋体" w:hAnsi="宋体" w:cs="宋体" w:eastAsia="宋体" w:hint="default"/>
                <w:b/>
                <w:bCs/>
                <w:spacing w:val="1"/>
                <w:w w:val="99"/>
                <w:sz w:val="20"/>
                <w:szCs w:val="20"/>
              </w:rPr>
              <w:t>合</w:t>
            </w:r>
            <w:r>
              <w:rPr>
                <w:rFonts w:ascii="宋体" w:hAnsi="宋体" w:cs="宋体" w:eastAsia="宋体" w:hint="default"/>
                <w:b/>
                <w:bCs/>
                <w:w w:val="99"/>
                <w:sz w:val="20"/>
                <w:szCs w:val="20"/>
              </w:rPr>
              <w:t>计比例</w:t>
            </w:r>
            <w:r>
              <w:rPr>
                <w:rFonts w:ascii="宋体" w:hAnsi="宋体" w:cs="宋体" w:eastAsia="宋体" w:hint="default"/>
                <w:sz w:val="20"/>
                <w:szCs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85.39%</w:t>
            </w:r>
            <w:r>
              <w:rPr>
                <w:rFonts w:ascii="Times New Roman"/>
                <w:spacing w:val="-1"/>
                <w:sz w:val="20"/>
              </w:rPr>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78.15%</w:t>
            </w:r>
            <w:r>
              <w:rPr>
                <w:rFonts w:ascii="Times New Roman"/>
                <w:spacing w:val="-1"/>
                <w:sz w:val="20"/>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86.43%</w:t>
            </w:r>
            <w:r>
              <w:rPr>
                <w:rFonts w:ascii="Times New Roman"/>
                <w:spacing w:val="-1"/>
                <w:sz w:val="20"/>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84.64%</w:t>
            </w:r>
            <w:r>
              <w:rPr>
                <w:rFonts w:ascii="Times New Roman"/>
                <w:spacing w:val="-1"/>
                <w:sz w:val="20"/>
              </w:rPr>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74.25%</w:t>
            </w:r>
            <w:r>
              <w:rPr>
                <w:rFonts w:ascii="Times New Roman"/>
                <w:spacing w:val="-1"/>
                <w:sz w:val="20"/>
              </w:rPr>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5"/>
              <w:jc w:val="right"/>
              <w:rPr>
                <w:rFonts w:ascii="Times New Roman" w:hAnsi="Times New Roman" w:cs="Times New Roman" w:eastAsia="Times New Roman" w:hint="default"/>
                <w:sz w:val="20"/>
                <w:szCs w:val="20"/>
              </w:rPr>
            </w:pPr>
            <w:r>
              <w:rPr>
                <w:rFonts w:ascii="Times New Roman"/>
                <w:b/>
                <w:spacing w:val="-1"/>
                <w:sz w:val="20"/>
              </w:rPr>
              <w:t>73.54%</w:t>
            </w:r>
            <w:r>
              <w:rPr>
                <w:rFonts w:ascii="Times New Roman"/>
                <w:spacing w:val="-1"/>
                <w:sz w:val="20"/>
              </w:rPr>
            </w:r>
          </w:p>
        </w:tc>
      </w:tr>
      <w:tr>
        <w:trPr>
          <w:trHeight w:val="328"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4"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(g)</w:t>
            </w:r>
            <w:r>
              <w:rPr>
                <w:rFonts w:ascii="宋体" w:hAnsi="宋体" w:cs="宋体" w:eastAsia="宋体" w:hint="default"/>
                <w:b/>
                <w:bCs/>
                <w:sz w:val="20"/>
                <w:szCs w:val="20"/>
              </w:rPr>
              <w:t>小计</w:t>
            </w:r>
            <w:r>
              <w:rPr>
                <w:rFonts w:ascii="宋体" w:hAnsi="宋体" w:cs="宋体" w:eastAsia="宋体" w:hint="default"/>
                <w:sz w:val="20"/>
                <w:szCs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77,161.40</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80,217.53</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65,697.41</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67,488.46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48,423.77</w:t>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47,365.14</w:t>
            </w:r>
          </w:p>
        </w:tc>
      </w:tr>
      <w:tr>
        <w:trPr>
          <w:trHeight w:val="326" w:hRule="exact"/>
        </w:trPr>
        <w:tc>
          <w:tcPr>
            <w:tcW w:w="27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4"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84,298.14</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95,835.57</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70,568.26</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75,840.56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56,269.82</w:t>
            </w:r>
          </w:p>
        </w:tc>
        <w:tc>
          <w:tcPr>
            <w:tcW w:w="12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58,058.43</w:t>
            </w:r>
          </w:p>
        </w:tc>
      </w:tr>
      <w:tr>
        <w:trPr>
          <w:trHeight w:val="335" w:hRule="exact"/>
        </w:trPr>
        <w:tc>
          <w:tcPr>
            <w:tcW w:w="2716"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left="94" w:right="0"/>
              <w:jc w:val="left"/>
              <w:rPr>
                <w:rFonts w:ascii="宋体" w:hAnsi="宋体" w:cs="宋体" w:eastAsia="宋体" w:hint="default"/>
                <w:sz w:val="20"/>
                <w:szCs w:val="20"/>
              </w:rPr>
            </w:pPr>
            <w:r>
              <w:rPr>
                <w:rFonts w:ascii="宋体" w:hAnsi="宋体" w:cs="宋体" w:eastAsia="宋体" w:hint="default"/>
                <w:b/>
                <w:bCs/>
                <w:sz w:val="20"/>
                <w:szCs w:val="20"/>
              </w:rPr>
              <w:t>五、</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(g)</w:t>
            </w:r>
            <w:r>
              <w:rPr>
                <w:rFonts w:ascii="宋体" w:hAnsi="宋体" w:cs="宋体" w:eastAsia="宋体" w:hint="default"/>
                <w:b/>
                <w:bCs/>
                <w:sz w:val="20"/>
                <w:szCs w:val="20"/>
              </w:rPr>
              <w:t>占公司总计比例</w:t>
            </w:r>
            <w:r>
              <w:rPr>
                <w:rFonts w:ascii="宋体" w:hAnsi="宋体" w:cs="宋体" w:eastAsia="宋体" w:hint="default"/>
                <w:sz w:val="20"/>
                <w:szCs w:val="20"/>
              </w:rPr>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91.53%</w:t>
            </w:r>
            <w:r>
              <w:rPr>
                <w:rFonts w:ascii="Times New Roman"/>
                <w:spacing w:val="-1"/>
                <w:sz w:val="20"/>
              </w:rPr>
            </w:r>
          </w:p>
        </w:tc>
        <w:tc>
          <w:tcPr>
            <w:tcW w:w="10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83.70%</w:t>
            </w:r>
            <w:r>
              <w:rPr>
                <w:rFonts w:ascii="Times New Roman"/>
                <w:spacing w:val="-1"/>
                <w:sz w:val="20"/>
              </w:rPr>
            </w:r>
          </w:p>
        </w:tc>
        <w:tc>
          <w:tcPr>
            <w:tcW w:w="1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93.10%</w:t>
            </w:r>
            <w:r>
              <w:rPr>
                <w:rFonts w:ascii="Times New Roman"/>
                <w:spacing w:val="-1"/>
                <w:sz w:val="20"/>
              </w:rPr>
            </w:r>
          </w:p>
        </w:tc>
        <w:tc>
          <w:tcPr>
            <w:tcW w:w="11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88.99%</w:t>
            </w:r>
            <w:r>
              <w:rPr>
                <w:rFonts w:ascii="Times New Roman"/>
                <w:spacing w:val="-1"/>
                <w:sz w:val="20"/>
              </w:rPr>
            </w:r>
          </w:p>
        </w:tc>
        <w:tc>
          <w:tcPr>
            <w:tcW w:w="11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86.06%</w:t>
            </w:r>
            <w:r>
              <w:rPr>
                <w:rFonts w:ascii="Times New Roman"/>
                <w:spacing w:val="-1"/>
                <w:sz w:val="20"/>
              </w:rPr>
            </w:r>
          </w:p>
        </w:tc>
        <w:tc>
          <w:tcPr>
            <w:tcW w:w="12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5"/>
              <w:jc w:val="right"/>
              <w:rPr>
                <w:rFonts w:ascii="Times New Roman" w:hAnsi="Times New Roman" w:cs="Times New Roman" w:eastAsia="Times New Roman" w:hint="default"/>
                <w:sz w:val="20"/>
                <w:szCs w:val="20"/>
              </w:rPr>
            </w:pPr>
            <w:r>
              <w:rPr>
                <w:rFonts w:ascii="Times New Roman"/>
                <w:b/>
                <w:spacing w:val="-1"/>
                <w:sz w:val="20"/>
              </w:rPr>
              <w:t>81.58%</w:t>
            </w:r>
            <w:r>
              <w:rPr>
                <w:rFonts w:ascii="Times New Roman"/>
                <w:spacing w:val="-1"/>
                <w:sz w:val="20"/>
              </w:rPr>
            </w:r>
          </w:p>
        </w:tc>
      </w:tr>
    </w:tbl>
    <w:p>
      <w:pPr>
        <w:spacing w:line="240" w:lineRule="auto" w:before="10"/>
        <w:rPr>
          <w:rFonts w:ascii="宋体" w:hAnsi="宋体" w:cs="宋体" w:eastAsia="宋体" w:hint="default"/>
          <w:sz w:val="18"/>
          <w:szCs w:val="18"/>
        </w:rPr>
      </w:pPr>
    </w:p>
    <w:p>
      <w:pPr>
        <w:pStyle w:val="BodyText"/>
        <w:spacing w:line="237" w:lineRule="auto" w:before="28"/>
        <w:ind w:left="238" w:right="380"/>
        <w:jc w:val="both"/>
      </w:pPr>
      <w:r>
        <w:rPr/>
        <w:t>其中，公司营业费用增长主要系威视股份、泰豪科技、沈阳多媒体等骨干业务单位因业</w:t>
      </w:r>
      <w:r>
        <w:rPr>
          <w:spacing w:val="-47"/>
        </w:rPr>
        <w:t> </w:t>
      </w:r>
      <w:r>
        <w:rPr>
          <w:spacing w:val="-47"/>
        </w:rPr>
      </w:r>
      <w:r>
        <w:rPr/>
        <w:t>务拓展需要加大了营业费用支出所致；公司管理费用增长较大主要系计算机产品业务为</w:t>
      </w:r>
      <w:r>
        <w:rPr>
          <w:spacing w:val="-47"/>
        </w:rPr>
        <w:t> </w:t>
      </w:r>
      <w:r>
        <w:rPr>
          <w:spacing w:val="-47"/>
        </w:rPr>
      </w:r>
      <w:r>
        <w:rPr/>
        <w:t>应对市场竞争，加大了安全电脑平台等核心技术的研发投入、威视股份、泰豪科技等业</w:t>
      </w:r>
      <w:r>
        <w:rPr>
          <w:spacing w:val="-47"/>
        </w:rPr>
        <w:t> </w:t>
      </w:r>
      <w:r>
        <w:rPr>
          <w:spacing w:val="-47"/>
        </w:rPr>
      </w:r>
      <w:r>
        <w:rPr/>
        <w:t>务单位经营规模扩大所致。</w:t>
      </w:r>
    </w:p>
    <w:p>
      <w:pPr>
        <w:spacing w:line="240" w:lineRule="auto" w:before="11"/>
        <w:rPr>
          <w:rFonts w:ascii="宋体" w:hAnsi="宋体" w:cs="宋体" w:eastAsia="宋体" w:hint="default"/>
          <w:sz w:val="23"/>
          <w:szCs w:val="23"/>
        </w:rPr>
      </w:pPr>
    </w:p>
    <w:p>
      <w:pPr>
        <w:pStyle w:val="BodyText"/>
        <w:spacing w:line="237" w:lineRule="auto"/>
        <w:ind w:left="238" w:right="380"/>
        <w:jc w:val="both"/>
      </w:pPr>
      <w:r>
        <w:rPr>
          <w:spacing w:val="-4"/>
        </w:rPr>
        <w:t>在公司整体收益方面，由于</w:t>
      </w:r>
      <w:r>
        <w:rPr>
          <w:spacing w:val="-57"/>
        </w:rPr>
        <w:t> </w:t>
      </w:r>
      <w:r>
        <w:rPr/>
        <w:t>2007</w:t>
      </w:r>
      <w:r>
        <w:rPr>
          <w:spacing w:val="-57"/>
        </w:rPr>
        <w:t> </w:t>
      </w:r>
      <w:r>
        <w:rPr/>
        <w:t>年公司存在出售诚志股份有限公司股权等大额非经常性</w:t>
      </w:r>
      <w:r>
        <w:rPr/>
        <w:t> 损益项目，而本年度公司实施了奥运门票捐赠等公益事宜，对净利润有所影响，因此本</w:t>
      </w:r>
      <w:r>
        <w:rPr>
          <w:spacing w:val="-47"/>
        </w:rPr>
        <w:t> </w:t>
      </w:r>
      <w:r>
        <w:rPr>
          <w:spacing w:val="-47"/>
        </w:rPr>
      </w:r>
      <w:r>
        <w:rPr/>
        <w:t>年度公司净利润为</w:t>
      </w:r>
      <w:r>
        <w:rPr>
          <w:spacing w:val="-53"/>
        </w:rPr>
        <w:t> </w:t>
      </w:r>
      <w:r>
        <w:rPr/>
        <w:t>2.51</w:t>
      </w:r>
      <w:r>
        <w:rPr>
          <w:spacing w:val="-53"/>
        </w:rPr>
        <w:t> </w:t>
      </w:r>
      <w:r>
        <w:rPr>
          <w:spacing w:val="-7"/>
        </w:rPr>
        <w:t>亿元，同比降低了</w:t>
      </w:r>
      <w:r>
        <w:rPr>
          <w:spacing w:val="-53"/>
        </w:rPr>
        <w:t> </w:t>
      </w:r>
      <w:r>
        <w:rPr>
          <w:spacing w:val="-3"/>
        </w:rPr>
        <w:t>42.95%，然而公司主营业务仍然保持了健康的</w:t>
      </w:r>
      <w:r>
        <w:rPr/>
        <w:t> 发展态势，扣除非经常性损益的净利润为</w:t>
      </w:r>
      <w:r>
        <w:rPr>
          <w:spacing w:val="-60"/>
        </w:rPr>
        <w:t> </w:t>
      </w:r>
      <w:r>
        <w:rPr/>
        <w:t>2.70</w:t>
      </w:r>
      <w:r>
        <w:rPr>
          <w:spacing w:val="-60"/>
        </w:rPr>
        <w:t> </w:t>
      </w:r>
      <w:r>
        <w:rPr/>
        <w:t>亿元，同比增长了</w:t>
      </w:r>
      <w:r>
        <w:rPr>
          <w:spacing w:val="-60"/>
        </w:rPr>
        <w:t> </w:t>
      </w:r>
      <w:r>
        <w:rPr/>
        <w:t>17.24%。</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762"/>
        <w:gridCol w:w="2168"/>
        <w:gridCol w:w="2372"/>
        <w:gridCol w:w="2115"/>
      </w:tblGrid>
      <w:tr>
        <w:trPr>
          <w:trHeight w:val="334" w:hRule="exact"/>
        </w:trPr>
        <w:tc>
          <w:tcPr>
            <w:tcW w:w="2762"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763" w:right="0"/>
              <w:jc w:val="left"/>
              <w:rPr>
                <w:rFonts w:ascii="宋体" w:hAnsi="宋体" w:cs="宋体" w:eastAsia="宋体" w:hint="default"/>
                <w:sz w:val="20"/>
                <w:szCs w:val="20"/>
              </w:rPr>
            </w:pPr>
            <w:r>
              <w:rPr>
                <w:rFonts w:ascii="宋体" w:hAnsi="宋体" w:cs="宋体" w:eastAsia="宋体" w:hint="default"/>
                <w:b/>
                <w:bCs/>
                <w:sz w:val="20"/>
                <w:szCs w:val="20"/>
              </w:rPr>
              <w:t>主要财务指标</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372"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115" w:type="dxa"/>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2006</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25,142.68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44,074.99</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15,853.28</w:t>
            </w:r>
          </w:p>
        </w:tc>
      </w:tr>
      <w:tr>
        <w:trPr>
          <w:trHeight w:val="334" w:hRule="exact"/>
        </w:trPr>
        <w:tc>
          <w:tcPr>
            <w:tcW w:w="2762"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扣除非经常性净利润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26,998.79</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23,029.57</w:t>
            </w:r>
          </w:p>
        </w:tc>
        <w:tc>
          <w:tcPr>
            <w:tcW w:w="2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9,275.51</w:t>
            </w:r>
          </w:p>
        </w:tc>
      </w:tr>
    </w:tbl>
    <w:p>
      <w:pPr>
        <w:spacing w:line="238"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注：公司根据中国证监会发布的《公开发行证券的公司信息披露解释性公告第</w:t>
      </w:r>
      <w:r>
        <w:rPr>
          <w:rFonts w:ascii="宋体" w:hAnsi="宋体" w:cs="宋体" w:eastAsia="宋体" w:hint="default"/>
          <w:spacing w:val="-73"/>
          <w:sz w:val="21"/>
          <w:szCs w:val="21"/>
        </w:rPr>
        <w:t> </w:t>
      </w: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z w:val="21"/>
          <w:szCs w:val="21"/>
        </w:rPr>
        <w:t>号——非经常性损益</w:t>
      </w:r>
    </w:p>
    <w:p>
      <w:pPr>
        <w:spacing w:line="274" w:lineRule="exact" w:before="0"/>
        <w:ind w:left="238" w:right="0" w:firstLine="0"/>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8</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所</w:t>
      </w:r>
      <w:r>
        <w:rPr>
          <w:rFonts w:ascii="宋体" w:hAnsi="宋体" w:cs="宋体" w:eastAsia="宋体" w:hint="default"/>
          <w:sz w:val="21"/>
          <w:szCs w:val="21"/>
        </w:rPr>
        <w:t>规定的新口径，对以往年度的非经常性损益进行了一致性调整。</w:t>
      </w:r>
    </w:p>
    <w:p>
      <w:pPr>
        <w:spacing w:line="240" w:lineRule="auto" w:before="6"/>
        <w:rPr>
          <w:rFonts w:ascii="宋体" w:hAnsi="宋体" w:cs="宋体" w:eastAsia="宋体" w:hint="default"/>
          <w:sz w:val="23"/>
          <w:szCs w:val="23"/>
        </w:rPr>
      </w:pPr>
    </w:p>
    <w:p>
      <w:pPr>
        <w:pStyle w:val="BodyText"/>
        <w:spacing w:line="237" w:lineRule="auto"/>
        <w:ind w:left="238" w:right="380"/>
        <w:jc w:val="both"/>
      </w:pPr>
      <w:r>
        <w:rPr>
          <w:spacing w:val="-8"/>
        </w:rPr>
        <w:t>本年度，受奥运门票捐赠、地震灾区捐赠等公益性支出的影响，公司非经常性损益为-0.19</w:t>
      </w:r>
      <w:r>
        <w:rPr>
          <w:spacing w:val="-85"/>
        </w:rPr>
        <w:t> </w:t>
      </w:r>
      <w:r>
        <w:rPr>
          <w:spacing w:val="-85"/>
        </w:rPr>
      </w:r>
      <w:r>
        <w:rPr>
          <w:spacing w:val="-6"/>
        </w:rPr>
        <w:t>亿元，同比降低</w:t>
      </w:r>
      <w:r>
        <w:rPr>
          <w:spacing w:val="-57"/>
        </w:rPr>
        <w:t> </w:t>
      </w:r>
      <w:r>
        <w:rPr>
          <w:spacing w:val="-3"/>
        </w:rPr>
        <w:t>108.82%。根据中国证监会发布的《公开发行证券的公司信息披露解释性</w:t>
      </w:r>
      <w:r>
        <w:rPr>
          <w:spacing w:val="-116"/>
        </w:rPr>
        <w:t> </w:t>
      </w:r>
      <w:r>
        <w:rPr>
          <w:spacing w:val="-116"/>
        </w:rPr>
      </w:r>
      <w:r>
        <w:rPr/>
        <w:t>公告第</w:t>
      </w:r>
      <w:r>
        <w:rPr>
          <w:spacing w:val="-50"/>
        </w:rPr>
        <w:t> </w:t>
      </w:r>
      <w:r>
        <w:rPr/>
        <w:t>1</w:t>
      </w:r>
      <w:r>
        <w:rPr>
          <w:spacing w:val="-50"/>
        </w:rPr>
        <w:t> </w:t>
      </w:r>
      <w:r>
        <w:rPr>
          <w:spacing w:val="-5"/>
        </w:rPr>
        <w:t>号——非经常性损益（2008）》所规定的新口径，公司对以往年度的非经常性损</w:t>
      </w:r>
      <w:r>
        <w:rPr>
          <w:spacing w:val="-118"/>
        </w:rPr>
        <w:t> </w:t>
      </w:r>
      <w:r>
        <w:rPr>
          <w:spacing w:val="-118"/>
        </w:rPr>
      </w:r>
      <w:r>
        <w:rPr/>
        <w:t>益进行了一致性调整。公司近年的非经常损益主要由非流动资产处置、政府补助构成。</w:t>
      </w:r>
      <w:r>
        <w:rPr>
          <w:spacing w:val="-47"/>
        </w:rPr>
        <w:t> </w:t>
      </w:r>
      <w:r>
        <w:rPr>
          <w:spacing w:val="-47"/>
        </w:rPr>
      </w:r>
      <w:r>
        <w:rPr/>
        <w:t>具体构成如下：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5374"/>
        <w:gridCol w:w="1992"/>
        <w:gridCol w:w="2051"/>
      </w:tblGrid>
      <w:tr>
        <w:trPr>
          <w:trHeight w:val="337" w:hRule="exact"/>
        </w:trPr>
        <w:tc>
          <w:tcPr>
            <w:tcW w:w="5374" w:type="dxa"/>
            <w:tcBorders>
              <w:top w:val="single" w:sz="12" w:space="0" w:color="000000"/>
              <w:left w:val="single" w:sz="12" w:space="0" w:color="000000"/>
              <w:bottom w:val="single" w:sz="6" w:space="0" w:color="000000"/>
              <w:right w:val="single" w:sz="6" w:space="0" w:color="000000"/>
            </w:tcBorders>
          </w:tcPr>
          <w:p>
            <w:pPr>
              <w:pStyle w:val="TableParagraph"/>
              <w:spacing w:line="259" w:lineRule="exact"/>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92"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51" w:type="dxa"/>
            <w:tcBorders>
              <w:top w:val="single" w:sz="12" w:space="0" w:color="000000"/>
              <w:left w:val="single" w:sz="6" w:space="0" w:color="000000"/>
              <w:bottom w:val="single" w:sz="6" w:space="0" w:color="000000"/>
              <w:right w:val="single" w:sz="12" w:space="0" w:color="000000"/>
            </w:tcBorders>
          </w:tcPr>
          <w:p>
            <w:pPr>
              <w:pStyle w:val="TableParagraph"/>
              <w:spacing w:line="259" w:lineRule="exact"/>
              <w:ind w:left="59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00"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pacing w:val="-1"/>
                <w:sz w:val="21"/>
              </w:rPr>
              <w:t>8,914,906.95</w:t>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1"/>
                <w:szCs w:val="21"/>
              </w:rPr>
            </w:pPr>
            <w:r>
              <w:rPr>
                <w:rFonts w:ascii="Times New Roman"/>
                <w:spacing w:val="-1"/>
                <w:sz w:val="21"/>
              </w:rPr>
              <w:t>99,975,386.05</w:t>
            </w:r>
          </w:p>
        </w:tc>
      </w:tr>
      <w:tr>
        <w:trPr>
          <w:trHeight w:val="300"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pacing w:val="-1"/>
                <w:sz w:val="21"/>
              </w:rPr>
              <w:t>67,447,888.27</w:t>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Times New Roman" w:hAnsi="Times New Roman" w:cs="Times New Roman" w:eastAsia="Times New Roman" w:hint="default"/>
                <w:sz w:val="21"/>
                <w:szCs w:val="21"/>
              </w:rPr>
            </w:pPr>
            <w:r>
              <w:rPr>
                <w:rFonts w:ascii="Times New Roman"/>
                <w:spacing w:val="-1"/>
                <w:sz w:val="21"/>
              </w:rPr>
              <w:t>49,164,191.59</w:t>
            </w:r>
          </w:p>
        </w:tc>
      </w:tr>
      <w:tr>
        <w:trPr>
          <w:trHeight w:val="245" w:hRule="exact"/>
        </w:trPr>
        <w:tc>
          <w:tcPr>
            <w:tcW w:w="5374" w:type="dxa"/>
            <w:tcBorders>
              <w:top w:val="single" w:sz="6" w:space="0" w:color="000000"/>
              <w:left w:val="single" w:sz="12" w:space="0" w:color="000000"/>
              <w:bottom w:val="nil" w:sz="6" w:space="0" w:color="auto"/>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企业取得子公司</w:t>
            </w:r>
            <w:r>
              <w:rPr>
                <w:rFonts w:ascii="宋体" w:hAnsi="宋体" w:cs="宋体" w:eastAsia="宋体" w:hint="default"/>
                <w:spacing w:val="-93"/>
                <w:sz w:val="21"/>
                <w:szCs w:val="21"/>
              </w:rPr>
              <w:t>、</w:t>
            </w:r>
            <w:r>
              <w:rPr>
                <w:rFonts w:ascii="宋体" w:hAnsi="宋体" w:cs="宋体" w:eastAsia="宋体" w:hint="default"/>
                <w:sz w:val="21"/>
                <w:szCs w:val="21"/>
              </w:rPr>
              <w:t>联营</w:t>
            </w:r>
            <w:r>
              <w:rPr>
                <w:rFonts w:ascii="宋体" w:hAnsi="宋体" w:cs="宋体" w:eastAsia="宋体" w:hint="default"/>
                <w:spacing w:val="-2"/>
                <w:sz w:val="21"/>
                <w:szCs w:val="21"/>
              </w:rPr>
              <w:t>企</w:t>
            </w:r>
            <w:r>
              <w:rPr>
                <w:rFonts w:ascii="宋体" w:hAnsi="宋体" w:cs="宋体" w:eastAsia="宋体" w:hint="default"/>
                <w:sz w:val="21"/>
                <w:szCs w:val="21"/>
              </w:rPr>
              <w:t>业及合营企业的投资成本小于取</w:t>
            </w:r>
          </w:p>
        </w:tc>
        <w:tc>
          <w:tcPr>
            <w:tcW w:w="1992" w:type="dxa"/>
            <w:tcBorders>
              <w:top w:val="single" w:sz="6" w:space="0" w:color="000000"/>
              <w:left w:val="single" w:sz="6" w:space="0" w:color="000000"/>
              <w:bottom w:val="nil" w:sz="6" w:space="0" w:color="auto"/>
              <w:right w:val="single" w:sz="6" w:space="0" w:color="000000"/>
            </w:tcBorders>
          </w:tcPr>
          <w:p>
            <w:pPr/>
          </w:p>
        </w:tc>
        <w:tc>
          <w:tcPr>
            <w:tcW w:w="2051" w:type="dxa"/>
            <w:tcBorders>
              <w:top w:val="single" w:sz="6" w:space="0" w:color="000000"/>
              <w:left w:val="single" w:sz="6" w:space="0" w:color="000000"/>
              <w:bottom w:val="nil" w:sz="6" w:space="0" w:color="auto"/>
              <w:right w:val="single" w:sz="12" w:space="0" w:color="000000"/>
            </w:tcBorders>
          </w:tcPr>
          <w:p>
            <w:pPr/>
          </w:p>
        </w:tc>
      </w:tr>
      <w:tr>
        <w:trPr>
          <w:trHeight w:val="246" w:hRule="exact"/>
        </w:trPr>
        <w:tc>
          <w:tcPr>
            <w:tcW w:w="5374" w:type="dxa"/>
            <w:tcBorders>
              <w:top w:val="nil" w:sz="6" w:space="0" w:color="auto"/>
              <w:left w:val="single" w:sz="12" w:space="0" w:color="000000"/>
              <w:bottom w:val="nil" w:sz="6" w:space="0" w:color="auto"/>
              <w:right w:val="single" w:sz="6" w:space="0" w:color="000000"/>
            </w:tcBorders>
          </w:tcPr>
          <w:p>
            <w:pPr>
              <w:pStyle w:val="TableParagraph"/>
              <w:spacing w:line="225" w:lineRule="exact"/>
              <w:ind w:left="93" w:right="0"/>
              <w:jc w:val="left"/>
              <w:rPr>
                <w:rFonts w:ascii="宋体" w:hAnsi="宋体" w:cs="宋体" w:eastAsia="宋体" w:hint="default"/>
                <w:sz w:val="21"/>
                <w:szCs w:val="21"/>
              </w:rPr>
            </w:pPr>
            <w:r>
              <w:rPr>
                <w:rFonts w:ascii="宋体" w:hAnsi="宋体" w:cs="宋体" w:eastAsia="宋体" w:hint="default"/>
                <w:sz w:val="21"/>
                <w:szCs w:val="21"/>
              </w:rPr>
              <w:t>得投资时应享有被投资单位可辨认净资产公允价值产生</w:t>
            </w:r>
          </w:p>
        </w:tc>
        <w:tc>
          <w:tcPr>
            <w:tcW w:w="199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z w:val="21"/>
              </w:rPr>
              <w:t>-</w:t>
            </w:r>
          </w:p>
        </w:tc>
        <w:tc>
          <w:tcPr>
            <w:tcW w:w="2051" w:type="dxa"/>
            <w:tcBorders>
              <w:top w:val="nil" w:sz="6" w:space="0" w:color="auto"/>
              <w:left w:val="single" w:sz="6" w:space="0" w:color="000000"/>
              <w:bottom w:val="nil" w:sz="6" w:space="0" w:color="auto"/>
              <w:right w:val="single" w:sz="12" w:space="0" w:color="000000"/>
            </w:tcBorders>
          </w:tcPr>
          <w:p>
            <w:pPr>
              <w:pStyle w:val="TableParagraph"/>
              <w:spacing w:line="241" w:lineRule="exact"/>
              <w:ind w:right="91"/>
              <w:jc w:val="right"/>
              <w:rPr>
                <w:rFonts w:ascii="Times New Roman" w:hAnsi="Times New Roman" w:cs="Times New Roman" w:eastAsia="Times New Roman" w:hint="default"/>
                <w:sz w:val="21"/>
                <w:szCs w:val="21"/>
              </w:rPr>
            </w:pPr>
            <w:r>
              <w:rPr>
                <w:rFonts w:ascii="Times New Roman"/>
                <w:spacing w:val="-1"/>
                <w:sz w:val="21"/>
              </w:rPr>
              <w:t>1,988,296.84</w:t>
            </w:r>
          </w:p>
        </w:tc>
      </w:tr>
      <w:tr>
        <w:trPr>
          <w:trHeight w:val="253" w:hRule="exact"/>
        </w:trPr>
        <w:tc>
          <w:tcPr>
            <w:tcW w:w="5374" w:type="dxa"/>
            <w:tcBorders>
              <w:top w:val="nil" w:sz="6" w:space="0" w:color="auto"/>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21"/>
                <w:szCs w:val="21"/>
              </w:rPr>
            </w:pPr>
            <w:r>
              <w:rPr>
                <w:rFonts w:ascii="宋体" w:hAnsi="宋体" w:cs="宋体" w:eastAsia="宋体" w:hint="default"/>
                <w:sz w:val="21"/>
                <w:szCs w:val="21"/>
              </w:rPr>
              <w:t>的收益</w:t>
            </w:r>
          </w:p>
        </w:tc>
        <w:tc>
          <w:tcPr>
            <w:tcW w:w="1992" w:type="dxa"/>
            <w:tcBorders>
              <w:top w:val="nil" w:sz="6" w:space="0" w:color="auto"/>
              <w:left w:val="single" w:sz="6" w:space="0" w:color="000000"/>
              <w:bottom w:val="single" w:sz="12" w:space="0" w:color="000000"/>
              <w:right w:val="single" w:sz="6" w:space="0" w:color="000000"/>
            </w:tcBorders>
          </w:tcPr>
          <w:p>
            <w:pPr/>
          </w:p>
        </w:tc>
        <w:tc>
          <w:tcPr>
            <w:tcW w:w="2051"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610" w:footer="764" w:top="1080" w:bottom="980" w:left="11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5374"/>
        <w:gridCol w:w="1992"/>
        <w:gridCol w:w="2051"/>
      </w:tblGrid>
      <w:tr>
        <w:trPr>
          <w:trHeight w:val="307" w:hRule="exact"/>
        </w:trPr>
        <w:tc>
          <w:tcPr>
            <w:tcW w:w="5374"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200.00</w:t>
            </w:r>
          </w:p>
        </w:tc>
        <w:tc>
          <w:tcPr>
            <w:tcW w:w="20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
              <w:ind w:right="91"/>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Times New Roman" w:hAnsi="Times New Roman" w:cs="Times New Roman" w:eastAsia="Times New Roman" w:hint="default"/>
                <w:sz w:val="21"/>
                <w:szCs w:val="21"/>
              </w:rPr>
            </w:pPr>
            <w:r>
              <w:rPr>
                <w:rFonts w:ascii="Times New Roman"/>
                <w:spacing w:val="-1"/>
                <w:sz w:val="21"/>
              </w:rPr>
              <w:t>54,130.40</w:t>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1"/>
                <w:szCs w:val="21"/>
              </w:rPr>
            </w:pPr>
            <w:r>
              <w:rPr>
                <w:rFonts w:ascii="Times New Roman"/>
                <w:spacing w:val="-1"/>
                <w:sz w:val="21"/>
              </w:rPr>
              <w:t>15,859,619.30</w:t>
            </w:r>
          </w:p>
        </w:tc>
      </w:tr>
      <w:tr>
        <w:trPr>
          <w:trHeight w:val="976"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98"/>
              <w:jc w:val="both"/>
              <w:rPr>
                <w:rFonts w:ascii="宋体" w:hAnsi="宋体" w:cs="宋体" w:eastAsia="宋体" w:hint="default"/>
                <w:sz w:val="21"/>
                <w:szCs w:val="21"/>
              </w:rPr>
            </w:pPr>
            <w:r>
              <w:rPr>
                <w:rFonts w:ascii="宋体" w:hAnsi="宋体" w:cs="宋体" w:eastAsia="宋体" w:hint="default"/>
                <w:spacing w:val="-4"/>
                <w:sz w:val="21"/>
                <w:szCs w:val="21"/>
              </w:rPr>
              <w:t>除同公司正常经营业务相关的有效套期保值业务外，持有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交易性金融资产、交易性金融负债产生的公允价值变动损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益，以及处置交易性金融资产、交易性金融负债和可供出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售金融资产取得的投资收益</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-16,977,894.81</w:t>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59,730,832.11</w:t>
            </w:r>
          </w:p>
        </w:tc>
      </w:tr>
      <w:tr>
        <w:trPr>
          <w:trHeight w:val="300"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143,150.24</w:t>
            </w:r>
            <w:r>
              <w:rPr>
                <w:rFonts w:ascii="Times New Roman"/>
                <w:sz w:val="21"/>
              </w:rPr>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Times New Roman" w:hAnsi="Times New Roman" w:cs="Times New Roman" w:eastAsia="Times New Roman" w:hint="default"/>
                <w:sz w:val="21"/>
                <w:szCs w:val="21"/>
              </w:rPr>
            </w:pPr>
            <w:r>
              <w:rPr>
                <w:rFonts w:ascii="Times New Roman"/>
                <w:sz w:val="21"/>
              </w:rPr>
              <w:t>-</w:t>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Times New Roman" w:hAnsi="Times New Roman" w:cs="Times New Roman" w:eastAsia="Times New Roman" w:hint="default"/>
                <w:sz w:val="21"/>
                <w:szCs w:val="21"/>
              </w:rPr>
            </w:pPr>
            <w:r>
              <w:rPr>
                <w:rFonts w:ascii="Times New Roman"/>
                <w:spacing w:val="-1"/>
                <w:sz w:val="21"/>
              </w:rPr>
              <w:t>-68,911,547.20</w:t>
            </w:r>
            <w:r>
              <w:rPr>
                <w:rFonts w:ascii="Times New Roman"/>
                <w:sz w:val="21"/>
              </w:rPr>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spacing w:val="-1"/>
                <w:sz w:val="21"/>
              </w:rPr>
              <w:t>-14,877,480.20</w:t>
            </w:r>
            <w:r>
              <w:rPr>
                <w:rFonts w:ascii="Times New Roman"/>
                <w:sz w:val="21"/>
              </w:rPr>
            </w:r>
          </w:p>
        </w:tc>
      </w:tr>
      <w:tr>
        <w:trPr>
          <w:trHeight w:val="300"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pacing w:val="-1"/>
                <w:sz w:val="21"/>
              </w:rPr>
              <w:t>7,643,042.33</w:t>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1"/>
                <w:szCs w:val="21"/>
              </w:rPr>
            </w:pPr>
            <w:r>
              <w:rPr>
                <w:rFonts w:ascii="Times New Roman"/>
                <w:spacing w:val="-1"/>
                <w:sz w:val="21"/>
              </w:rPr>
              <w:t>48,135,837.80</w:t>
            </w:r>
          </w:p>
        </w:tc>
      </w:tr>
      <w:tr>
        <w:trPr>
          <w:trHeight w:val="300"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Times New Roman" w:hAnsi="Times New Roman" w:cs="Times New Roman" w:eastAsia="Times New Roman" w:hint="default"/>
                <w:sz w:val="21"/>
                <w:szCs w:val="21"/>
              </w:rPr>
            </w:pPr>
            <w:r>
              <w:rPr>
                <w:rFonts w:ascii="Times New Roman"/>
                <w:spacing w:val="-1"/>
                <w:sz w:val="21"/>
              </w:rPr>
              <w:t>-1,686,123.82</w:t>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spacing w:val="-1"/>
                <w:sz w:val="21"/>
              </w:rPr>
              <w:t>259,976,683.49</w:t>
            </w:r>
            <w:r>
              <w:rPr>
                <w:rFonts w:ascii="Times New Roman"/>
                <w:sz w:val="21"/>
              </w:rPr>
            </w:r>
          </w:p>
        </w:tc>
      </w:tr>
      <w:tr>
        <w:trPr>
          <w:trHeight w:val="300"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6"/>
              <w:jc w:val="right"/>
              <w:rPr>
                <w:rFonts w:ascii="Times New Roman" w:hAnsi="Times New Roman" w:cs="Times New Roman" w:eastAsia="Times New Roman" w:hint="default"/>
                <w:sz w:val="21"/>
                <w:szCs w:val="21"/>
              </w:rPr>
            </w:pPr>
            <w:r>
              <w:rPr>
                <w:rFonts w:ascii="Times New Roman"/>
                <w:spacing w:val="-1"/>
                <w:sz w:val="21"/>
              </w:rPr>
              <w:t>-4,027,001.71</w:t>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spacing w:val="-1"/>
                <w:sz w:val="21"/>
              </w:rPr>
              <w:t>-34,967,125.95</w:t>
            </w:r>
            <w:r>
              <w:rPr>
                <w:rFonts w:ascii="Times New Roman"/>
                <w:sz w:val="21"/>
              </w:rPr>
            </w:r>
          </w:p>
        </w:tc>
      </w:tr>
      <w:tr>
        <w:trPr>
          <w:trHeight w:val="300"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非经常性净损益合计</w:t>
            </w:r>
            <w:r>
              <w:rPr>
                <w:rFonts w:ascii="宋体" w:hAnsi="宋体" w:cs="宋体" w:eastAsia="宋体" w:hint="default"/>
                <w:sz w:val="21"/>
                <w:szCs w:val="21"/>
              </w:rPr>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7"/>
              <w:jc w:val="right"/>
              <w:rPr>
                <w:rFonts w:ascii="Times New Roman" w:hAnsi="Times New Roman" w:cs="Times New Roman" w:eastAsia="Times New Roman" w:hint="default"/>
                <w:sz w:val="21"/>
                <w:szCs w:val="21"/>
              </w:rPr>
            </w:pPr>
            <w:r>
              <w:rPr>
                <w:rFonts w:ascii="Times New Roman"/>
                <w:b/>
                <w:spacing w:val="-1"/>
                <w:sz w:val="21"/>
              </w:rPr>
              <w:t>-5,713,125.53</w:t>
            </w:r>
            <w:r>
              <w:rPr>
                <w:rFonts w:ascii="Times New Roman"/>
                <w:spacing w:val="-1"/>
                <w:sz w:val="21"/>
              </w:rPr>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b/>
                <w:spacing w:val="-1"/>
                <w:sz w:val="21"/>
              </w:rPr>
              <w:t>225,009,557.54</w:t>
            </w:r>
            <w:r>
              <w:rPr>
                <w:rFonts w:ascii="Times New Roman"/>
                <w:sz w:val="21"/>
              </w:rPr>
            </w:r>
          </w:p>
        </w:tc>
      </w:tr>
      <w:tr>
        <w:trPr>
          <w:trHeight w:val="314" w:hRule="exact"/>
        </w:trPr>
        <w:tc>
          <w:tcPr>
            <w:tcW w:w="5374" w:type="dxa"/>
            <w:tcBorders>
              <w:top w:val="single" w:sz="6" w:space="0" w:color="000000"/>
              <w:left w:val="single" w:sz="12" w:space="0" w:color="000000"/>
              <w:bottom w:val="single" w:sz="6" w:space="0" w:color="000000"/>
              <w:right w:val="single" w:sz="6" w:space="0" w:color="000000"/>
            </w:tcBorders>
          </w:tcPr>
          <w:p>
            <w:pPr>
              <w:pStyle w:val="TableParagraph"/>
              <w:spacing w:line="25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其中：归属于母公司股东的非经常性损益</w:t>
            </w:r>
            <w:r>
              <w:rPr>
                <w:rFonts w:ascii="宋体" w:hAnsi="宋体" w:cs="宋体" w:eastAsia="宋体" w:hint="default"/>
                <w:sz w:val="21"/>
                <w:szCs w:val="21"/>
              </w:rPr>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b/>
                <w:spacing w:val="-1"/>
                <w:sz w:val="21"/>
              </w:rPr>
              <w:t>-18,561,076.72</w:t>
            </w:r>
            <w:r>
              <w:rPr>
                <w:rFonts w:ascii="Times New Roman"/>
                <w:sz w:val="21"/>
              </w:rPr>
            </w:r>
          </w:p>
        </w:tc>
        <w:tc>
          <w:tcPr>
            <w:tcW w:w="20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b/>
                <w:spacing w:val="-1"/>
                <w:sz w:val="21"/>
              </w:rPr>
              <w:t>210,454,202.20</w:t>
            </w:r>
            <w:r>
              <w:rPr>
                <w:rFonts w:ascii="Times New Roman"/>
                <w:sz w:val="21"/>
              </w:rPr>
            </w:r>
          </w:p>
        </w:tc>
      </w:tr>
      <w:tr>
        <w:trPr>
          <w:trHeight w:val="323" w:hRule="exact"/>
        </w:trPr>
        <w:tc>
          <w:tcPr>
            <w:tcW w:w="5374" w:type="dxa"/>
            <w:tcBorders>
              <w:top w:val="single" w:sz="6" w:space="0" w:color="000000"/>
              <w:left w:val="single" w:sz="12" w:space="0" w:color="000000"/>
              <w:bottom w:val="single" w:sz="12" w:space="0" w:color="000000"/>
              <w:right w:val="single" w:sz="6" w:space="0" w:color="000000"/>
            </w:tcBorders>
          </w:tcPr>
          <w:p>
            <w:pPr>
              <w:pStyle w:val="TableParagraph"/>
              <w:spacing w:line="253" w:lineRule="exact"/>
              <w:ind w:left="723" w:right="0"/>
              <w:jc w:val="left"/>
              <w:rPr>
                <w:rFonts w:ascii="宋体" w:hAnsi="宋体" w:cs="宋体" w:eastAsia="宋体" w:hint="default"/>
                <w:sz w:val="21"/>
                <w:szCs w:val="21"/>
              </w:rPr>
            </w:pPr>
            <w:r>
              <w:rPr>
                <w:rFonts w:ascii="宋体" w:hAnsi="宋体" w:cs="宋体" w:eastAsia="宋体" w:hint="default"/>
                <w:sz w:val="21"/>
                <w:szCs w:val="21"/>
              </w:rPr>
              <w:t>归属于少数股东的非经常性损益</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12,847,951.19</w:t>
            </w:r>
          </w:p>
        </w:tc>
        <w:tc>
          <w:tcPr>
            <w:tcW w:w="20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1"/>
                <w:szCs w:val="21"/>
              </w:rPr>
            </w:pPr>
            <w:r>
              <w:rPr>
                <w:rFonts w:ascii="Times New Roman"/>
                <w:spacing w:val="-1"/>
                <w:sz w:val="21"/>
              </w:rPr>
              <w:t>14,555,355.34</w:t>
            </w:r>
          </w:p>
        </w:tc>
      </w:tr>
    </w:tbl>
    <w:p>
      <w:pPr>
        <w:spacing w:line="240" w:lineRule="auto" w:before="10"/>
        <w:rPr>
          <w:rFonts w:ascii="宋体" w:hAnsi="宋体" w:cs="宋体" w:eastAsia="宋体" w:hint="default"/>
          <w:sz w:val="18"/>
          <w:szCs w:val="18"/>
        </w:rPr>
      </w:pPr>
    </w:p>
    <w:p>
      <w:pPr>
        <w:pStyle w:val="BodyText"/>
        <w:spacing w:line="237" w:lineRule="auto" w:before="28"/>
        <w:ind w:left="238" w:right="240"/>
        <w:jc w:val="both"/>
      </w:pPr>
      <w:r>
        <w:rPr/>
        <w:t>其中，政府补贴为政府扶持公司某些新技术开发或产业化投资予以的贴息支持，随着公</w:t>
      </w:r>
      <w:r>
        <w:rPr>
          <w:spacing w:val="-47"/>
        </w:rPr>
        <w:t> </w:t>
      </w:r>
      <w:r>
        <w:rPr>
          <w:spacing w:val="-47"/>
        </w:rPr>
      </w:r>
      <w:r>
        <w:rPr/>
        <w:t>司承担国家扶持的技术研发数量增加将会持续存在并有望获得增长；在处置非流动资产</w:t>
      </w:r>
      <w:r>
        <w:rPr>
          <w:spacing w:val="-47"/>
        </w:rPr>
        <w:t> </w:t>
      </w:r>
      <w:r>
        <w:rPr>
          <w:spacing w:val="-47"/>
        </w:rPr>
      </w:r>
      <w:r>
        <w:rPr/>
        <w:t>方面，公司在围绕核心资产及自身竞争优势，不断开辟新领域的同时，积极实施战略调</w:t>
      </w:r>
      <w:r>
        <w:rPr>
          <w:spacing w:val="-47"/>
        </w:rPr>
        <w:t> </w:t>
      </w:r>
      <w:r>
        <w:rPr>
          <w:spacing w:val="-47"/>
        </w:rPr>
      </w:r>
      <w:r>
        <w:rPr/>
        <w:t>整，剥离边缘化非核心资产和小额股权投资。本年度对非经常性损益影响较大的项目还</w:t>
      </w:r>
      <w:r>
        <w:rPr>
          <w:spacing w:val="-47"/>
        </w:rPr>
        <w:t> </w:t>
      </w:r>
      <w:r>
        <w:rPr>
          <w:spacing w:val="-47"/>
        </w:rPr>
      </w:r>
      <w:r>
        <w:rPr/>
        <w:t>包括奥运门票项目捐赠、地震灾区捐赠等。</w:t>
      </w:r>
    </w:p>
    <w:p>
      <w:pPr>
        <w:spacing w:line="240" w:lineRule="auto" w:before="8"/>
        <w:rPr>
          <w:rFonts w:ascii="宋体" w:hAnsi="宋体" w:cs="宋体" w:eastAsia="宋体" w:hint="default"/>
          <w:sz w:val="23"/>
          <w:szCs w:val="23"/>
        </w:rPr>
      </w:pPr>
    </w:p>
    <w:p>
      <w:pPr>
        <w:spacing w:line="475" w:lineRule="auto" w:before="0"/>
        <w:ind w:left="238" w:right="7146" w:firstLine="0"/>
        <w:jc w:val="left"/>
        <w:rPr>
          <w:rFonts w:ascii="宋体" w:hAnsi="宋体" w:cs="宋体" w:eastAsia="宋体" w:hint="default"/>
          <w:sz w:val="24"/>
          <w:szCs w:val="24"/>
        </w:rPr>
      </w:pPr>
      <w:r>
        <w:rPr>
          <w:rFonts w:ascii="宋体" w:hAnsi="宋体" w:cs="宋体" w:eastAsia="宋体" w:hint="default"/>
          <w:b/>
          <w:bCs/>
          <w:sz w:val="24"/>
          <w:szCs w:val="24"/>
        </w:rPr>
        <w:t>2、资产状况</w:t>
      </w:r>
      <w:r>
        <w:rPr>
          <w:rFonts w:ascii="宋体" w:hAnsi="宋体" w:cs="宋体" w:eastAsia="宋体" w:hint="default"/>
          <w:b/>
          <w:bCs/>
          <w:spacing w:val="1"/>
          <w:w w:val="99"/>
          <w:sz w:val="24"/>
          <w:szCs w:val="24"/>
        </w:rPr>
        <w:t> </w:t>
      </w:r>
      <w:r>
        <w:rPr>
          <w:rFonts w:ascii="宋体" w:hAnsi="宋体" w:cs="宋体" w:eastAsia="宋体" w:hint="default"/>
          <w:sz w:val="24"/>
          <w:szCs w:val="24"/>
        </w:rPr>
        <w:t>(1)整体资产状况分析</w:t>
      </w:r>
    </w:p>
    <w:p>
      <w:pPr>
        <w:pStyle w:val="BodyText"/>
        <w:spacing w:line="237" w:lineRule="auto" w:before="76"/>
        <w:ind w:left="238" w:right="107"/>
        <w:jc w:val="left"/>
      </w:pPr>
      <w:r>
        <w:rPr/>
        <w:t>报告期内，从公司资产状况来看，虽然一方面公司本年度实施了配售股份和资本公积金</w:t>
      </w:r>
      <w:r>
        <w:rPr>
          <w:spacing w:val="-47"/>
        </w:rPr>
        <w:t> </w:t>
      </w:r>
      <w:r>
        <w:rPr>
          <w:spacing w:val="-47"/>
        </w:rPr>
      </w:r>
      <w:r>
        <w:rPr/>
        <w:t>转增股本的方案，所有者权益和总股本大幅增加，其中归属母公司所有者权益由期初的</w:t>
      </w:r>
      <w:r>
        <w:rPr>
          <w:spacing w:val="-47"/>
        </w:rPr>
        <w:t> </w:t>
      </w:r>
      <w:r>
        <w:rPr>
          <w:spacing w:val="-47"/>
        </w:rPr>
      </w:r>
      <w:r>
        <w:rPr/>
        <w:t>55.60</w:t>
      </w:r>
      <w:r>
        <w:rPr>
          <w:spacing w:val="-60"/>
        </w:rPr>
        <w:t> </w:t>
      </w:r>
      <w:r>
        <w:rPr/>
        <w:t>亿元增至</w:t>
      </w:r>
      <w:r>
        <w:rPr>
          <w:spacing w:val="-60"/>
        </w:rPr>
        <w:t> </w:t>
      </w:r>
      <w:r>
        <w:rPr/>
        <w:t>70.46</w:t>
      </w:r>
      <w:r>
        <w:rPr>
          <w:spacing w:val="-60"/>
        </w:rPr>
        <w:t> </w:t>
      </w:r>
      <w:r>
        <w:rPr/>
        <w:t>亿元、总股本由期初的</w:t>
      </w:r>
      <w:r>
        <w:rPr>
          <w:spacing w:val="-60"/>
        </w:rPr>
        <w:t> </w:t>
      </w:r>
      <w:r>
        <w:rPr/>
        <w:t>6.29</w:t>
      </w:r>
      <w:r>
        <w:rPr>
          <w:spacing w:val="-60"/>
        </w:rPr>
        <w:t> </w:t>
      </w:r>
      <w:r>
        <w:rPr/>
        <w:t>亿股增至</w:t>
      </w:r>
      <w:r>
        <w:rPr>
          <w:spacing w:val="-60"/>
        </w:rPr>
        <w:t> </w:t>
      </w:r>
      <w:r>
        <w:rPr/>
        <w:t>9.77</w:t>
      </w:r>
      <w:r>
        <w:rPr>
          <w:spacing w:val="-60"/>
        </w:rPr>
        <w:t> </w:t>
      </w:r>
      <w:r>
        <w:rPr/>
        <w:t>亿股；然而另一方面，</w:t>
      </w:r>
      <w:r>
        <w:rPr/>
        <w:t> </w:t>
      </w:r>
      <w:r>
        <w:rPr>
          <w:spacing w:val="-2"/>
        </w:rPr>
        <w:t>在宏观经济环境剧烈变动的情况下，公司采取了谨慎的经营策略，加大了资金回笼力度，</w:t>
      </w:r>
      <w:r>
        <w:rPr>
          <w:spacing w:val="-82"/>
        </w:rPr>
        <w:t> </w:t>
      </w:r>
      <w:r>
        <w:rPr>
          <w:spacing w:val="-82"/>
        </w:rPr>
      </w:r>
      <w:r>
        <w:rPr/>
        <w:t>削减了贷款幅度，通过资金管理保证了营运资金的高效运转。因此本年度公司资产总规</w:t>
      </w:r>
      <w:r>
        <w:rPr>
          <w:spacing w:val="-47"/>
        </w:rPr>
        <w:t> </w:t>
      </w:r>
      <w:r>
        <w:rPr>
          <w:spacing w:val="-47"/>
        </w:rPr>
      </w:r>
      <w:r>
        <w:rPr>
          <w:spacing w:val="-4"/>
        </w:rPr>
        <w:t>模增长幅度不大，同比增长了</w:t>
      </w:r>
      <w:r>
        <w:rPr>
          <w:spacing w:val="-54"/>
        </w:rPr>
        <w:t> </w:t>
      </w:r>
      <w:r>
        <w:rPr>
          <w:spacing w:val="-4"/>
        </w:rPr>
        <w:t>3.79%，资产负债率继续降低，流动比率和速动比率保持了</w:t>
      </w:r>
      <w:r>
        <w:rPr>
          <w:spacing w:val="-100"/>
        </w:rPr>
        <w:t> </w:t>
      </w:r>
      <w:r>
        <w:rPr>
          <w:spacing w:val="-100"/>
        </w:rPr>
      </w:r>
      <w:r>
        <w:rPr/>
        <w:t>合理水平。</w:t>
      </w:r>
    </w:p>
    <w:p>
      <w:pPr>
        <w:spacing w:line="240" w:lineRule="auto" w:before="8"/>
        <w:rPr>
          <w:rFonts w:ascii="宋体" w:hAnsi="宋体" w:cs="宋体" w:eastAsia="宋体" w:hint="default"/>
          <w:sz w:val="23"/>
          <w:szCs w:val="23"/>
        </w:rPr>
      </w:pPr>
    </w:p>
    <w:p>
      <w:pPr>
        <w:pStyle w:val="BodyText"/>
        <w:spacing w:line="240" w:lineRule="auto"/>
        <w:ind w:left="238" w:right="107"/>
        <w:jc w:val="left"/>
      </w:pPr>
      <w:r>
        <w:rPr/>
        <w:t>公司</w:t>
      </w:r>
      <w:r>
        <w:rPr>
          <w:spacing w:val="-60"/>
        </w:rPr>
        <w:t> </w:t>
      </w:r>
      <w:r>
        <w:rPr/>
        <w:t>2008</w:t>
      </w:r>
      <w:r>
        <w:rPr>
          <w:spacing w:val="-60"/>
        </w:rPr>
        <w:t> </w:t>
      </w:r>
      <w:r>
        <w:rPr/>
        <w:t>年资产负债表的各项财务指标如下：</w:t>
      </w: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762"/>
        <w:gridCol w:w="2168"/>
        <w:gridCol w:w="2372"/>
        <w:gridCol w:w="2115"/>
      </w:tblGrid>
      <w:tr>
        <w:trPr>
          <w:trHeight w:val="338" w:hRule="exact"/>
        </w:trPr>
        <w:tc>
          <w:tcPr>
            <w:tcW w:w="2762"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2168"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72"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15" w:type="dxa"/>
            <w:tcBorders>
              <w:top w:val="single" w:sz="12" w:space="0" w:color="000000"/>
              <w:left w:val="single" w:sz="6" w:space="0" w:color="000000"/>
              <w:bottom w:val="single" w:sz="6" w:space="0" w:color="000000"/>
              <w:right w:val="single" w:sz="12" w:space="0" w:color="000000"/>
            </w:tcBorders>
          </w:tcPr>
          <w:p>
            <w:pPr>
              <w:pStyle w:val="TableParagraph"/>
              <w:spacing w:line="276"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59.89%</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64.68%</w:t>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139.63%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126.76%</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112.51%</w:t>
            </w:r>
          </w:p>
        </w:tc>
      </w:tr>
      <w:tr>
        <w:trPr>
          <w:trHeight w:val="334" w:hRule="exact"/>
        </w:trPr>
        <w:tc>
          <w:tcPr>
            <w:tcW w:w="2762"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91.32%</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85.41%</w:t>
            </w:r>
          </w:p>
        </w:tc>
        <w:tc>
          <w:tcPr>
            <w:tcW w:w="2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73.92%</w:t>
            </w:r>
          </w:p>
        </w:tc>
      </w:tr>
    </w:tbl>
    <w:p>
      <w:pPr>
        <w:spacing w:line="240" w:lineRule="auto" w:before="11"/>
        <w:rPr>
          <w:rFonts w:ascii="宋体" w:hAnsi="宋体" w:cs="宋体" w:eastAsia="宋体" w:hint="default"/>
          <w:sz w:val="18"/>
          <w:szCs w:val="18"/>
        </w:rPr>
      </w:pPr>
    </w:p>
    <w:p>
      <w:pPr>
        <w:pStyle w:val="BodyText"/>
        <w:spacing w:line="475" w:lineRule="auto" w:before="26"/>
        <w:ind w:left="238" w:right="107"/>
        <w:jc w:val="left"/>
      </w:pPr>
      <w:r>
        <w:rPr/>
        <w:t>(2)主要资产科目分析 本年度公司整体资产规模增长幅度较小，资产科目变化不大，其中占比较大且变化较大</w:t>
      </w:r>
    </w:p>
    <w:p>
      <w:pPr>
        <w:spacing w:after="0" w:line="475" w:lineRule="auto"/>
        <w:jc w:val="left"/>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369"/>
        <w:jc w:val="left"/>
      </w:pPr>
      <w:r>
        <w:rPr/>
        <w:t>的科目为：</w:t>
      </w:r>
    </w:p>
    <w:p>
      <w:pPr>
        <w:spacing w:line="240" w:lineRule="auto" w:before="7"/>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1726"/>
        <w:gridCol w:w="1440"/>
        <w:gridCol w:w="1086"/>
        <w:gridCol w:w="1445"/>
        <w:gridCol w:w="1085"/>
        <w:gridCol w:w="1610"/>
        <w:gridCol w:w="897"/>
      </w:tblGrid>
      <w:tr>
        <w:trPr>
          <w:trHeight w:val="337" w:hRule="exact"/>
        </w:trPr>
        <w:tc>
          <w:tcPr>
            <w:tcW w:w="1726" w:type="dxa"/>
            <w:tcBorders>
              <w:top w:val="single" w:sz="12" w:space="0" w:color="000000"/>
              <w:left w:val="single" w:sz="12" w:space="0" w:color="000000"/>
              <w:bottom w:val="single" w:sz="6" w:space="0" w:color="000000"/>
              <w:right w:val="single" w:sz="6" w:space="0" w:color="000000"/>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2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left="782" w:right="0"/>
              <w:jc w:val="left"/>
              <w:rPr>
                <w:rFonts w:ascii="Times New Roman" w:hAnsi="Times New Roman" w:cs="Times New Roman" w:eastAsia="Times New Roman" w:hint="default"/>
                <w:sz w:val="21"/>
                <w:szCs w:val="21"/>
              </w:rPr>
            </w:pPr>
            <w:r>
              <w:rPr>
                <w:rFonts w:ascii="Times New Roman"/>
                <w:b/>
                <w:sz w:val="21"/>
              </w:rPr>
              <w:t>2008.12.31</w:t>
            </w:r>
            <w:r>
              <w:rPr>
                <w:rFonts w:ascii="Times New Roman"/>
                <w:sz w:val="21"/>
              </w:rPr>
            </w:r>
          </w:p>
        </w:tc>
        <w:tc>
          <w:tcPr>
            <w:tcW w:w="253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left="784" w:right="0"/>
              <w:jc w:val="left"/>
              <w:rPr>
                <w:rFonts w:ascii="Times New Roman" w:hAnsi="Times New Roman" w:cs="Times New Roman" w:eastAsia="Times New Roman" w:hint="default"/>
                <w:sz w:val="21"/>
                <w:szCs w:val="21"/>
              </w:rPr>
            </w:pPr>
            <w:r>
              <w:rPr>
                <w:rFonts w:ascii="Times New Roman"/>
                <w:b/>
                <w:sz w:val="21"/>
              </w:rPr>
              <w:t>2007.12.31</w:t>
            </w:r>
            <w:r>
              <w:rPr>
                <w:rFonts w:ascii="Times New Roman"/>
                <w:sz w:val="21"/>
              </w:rPr>
            </w:r>
          </w:p>
        </w:tc>
        <w:tc>
          <w:tcPr>
            <w:tcW w:w="1610" w:type="dxa"/>
            <w:vMerge w:val="restart"/>
            <w:tcBorders>
              <w:top w:val="single" w:sz="12" w:space="0" w:color="000000"/>
              <w:left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与去年相比金</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额增减幅度</w:t>
            </w:r>
            <w:r>
              <w:rPr>
                <w:rFonts w:ascii="宋体" w:hAnsi="宋体" w:cs="宋体" w:eastAsia="宋体" w:hint="default"/>
                <w:sz w:val="21"/>
                <w:szCs w:val="21"/>
              </w:rPr>
            </w:r>
          </w:p>
        </w:tc>
        <w:tc>
          <w:tcPr>
            <w:tcW w:w="897" w:type="dxa"/>
            <w:vMerge w:val="restart"/>
            <w:tcBorders>
              <w:top w:val="single" w:sz="12" w:space="0" w:color="000000"/>
              <w:left w:val="single" w:sz="6" w:space="0" w:color="000000"/>
              <w:right w:val="single" w:sz="12"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比重变</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b/>
                <w:bCs/>
                <w:sz w:val="21"/>
                <w:szCs w:val="21"/>
              </w:rPr>
              <w:t>动幅度</w:t>
            </w:r>
            <w:r>
              <w:rPr>
                <w:rFonts w:ascii="宋体" w:hAnsi="宋体" w:cs="宋体" w:eastAsia="宋体" w:hint="default"/>
                <w:sz w:val="21"/>
                <w:szCs w:val="21"/>
              </w:rPr>
            </w:r>
          </w:p>
        </w:tc>
      </w:tr>
      <w:tr>
        <w:trPr>
          <w:trHeight w:val="328" w:hRule="exact"/>
        </w:trPr>
        <w:tc>
          <w:tcPr>
            <w:tcW w:w="172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610" w:type="dxa"/>
            <w:vMerge/>
            <w:tcBorders>
              <w:left w:val="single" w:sz="6" w:space="0" w:color="000000"/>
              <w:bottom w:val="single" w:sz="6" w:space="0" w:color="000000"/>
              <w:right w:val="single" w:sz="6" w:space="0" w:color="000000"/>
            </w:tcBorders>
          </w:tcPr>
          <w:p>
            <w:pPr/>
          </w:p>
        </w:tc>
        <w:tc>
          <w:tcPr>
            <w:tcW w:w="897" w:type="dxa"/>
            <w:vMerge/>
            <w:tcBorders>
              <w:left w:val="single" w:sz="6" w:space="0" w:color="000000"/>
              <w:bottom w:val="single" w:sz="6" w:space="0" w:color="000000"/>
              <w:right w:val="single" w:sz="12" w:space="0" w:color="000000"/>
            </w:tcBorders>
          </w:tcPr>
          <w:p>
            <w:pPr/>
          </w:p>
        </w:tc>
      </w:tr>
      <w:tr>
        <w:trPr>
          <w:trHeight w:val="326" w:hRule="exact"/>
        </w:trPr>
        <w:tc>
          <w:tcPr>
            <w:tcW w:w="172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1,808,043.69</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1,741,973.30</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3.79%</w:t>
            </w:r>
          </w:p>
        </w:tc>
        <w:tc>
          <w:tcPr>
            <w:tcW w:w="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172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应收账款净额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255,057.63</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14.11%</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252,082.66</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14.47%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1.18%</w:t>
            </w:r>
          </w:p>
        </w:tc>
        <w:tc>
          <w:tcPr>
            <w:tcW w:w="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-0.36%</w:t>
            </w:r>
          </w:p>
        </w:tc>
      </w:tr>
      <w:tr>
        <w:trPr>
          <w:trHeight w:val="326" w:hRule="exact"/>
        </w:trPr>
        <w:tc>
          <w:tcPr>
            <w:tcW w:w="172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预付账款净额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119,024.87</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6.58%</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176,490.16</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10.13%</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-32.56%</w:t>
            </w:r>
          </w:p>
        </w:tc>
        <w:tc>
          <w:tcPr>
            <w:tcW w:w="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-3.55%</w:t>
            </w:r>
          </w:p>
        </w:tc>
      </w:tr>
      <w:tr>
        <w:trPr>
          <w:trHeight w:val="328" w:hRule="exact"/>
        </w:trPr>
        <w:tc>
          <w:tcPr>
            <w:tcW w:w="172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存货净额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426,963.57</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23.61%</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391,859.83</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22.50%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8.96%</w:t>
            </w:r>
          </w:p>
        </w:tc>
        <w:tc>
          <w:tcPr>
            <w:tcW w:w="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1.12%</w:t>
            </w:r>
          </w:p>
        </w:tc>
      </w:tr>
      <w:tr>
        <w:trPr>
          <w:trHeight w:val="334" w:hRule="exact"/>
        </w:trPr>
        <w:tc>
          <w:tcPr>
            <w:tcW w:w="1726"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150,690.65</w:t>
            </w:r>
          </w:p>
        </w:tc>
        <w:tc>
          <w:tcPr>
            <w:tcW w:w="10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15.63%</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206,770.53</w:t>
            </w:r>
          </w:p>
        </w:tc>
        <w:tc>
          <w:tcPr>
            <w:tcW w:w="10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19.82%</w:t>
            </w:r>
          </w:p>
        </w:tc>
        <w:tc>
          <w:tcPr>
            <w:tcW w:w="16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-27.12%</w:t>
            </w:r>
          </w:p>
        </w:tc>
        <w:tc>
          <w:tcPr>
            <w:tcW w:w="8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-4.19%</w:t>
            </w:r>
          </w:p>
        </w:tc>
      </w:tr>
    </w:tbl>
    <w:p>
      <w:pPr>
        <w:spacing w:line="240" w:lineRule="auto" w:before="11"/>
        <w:rPr>
          <w:rFonts w:ascii="宋体" w:hAnsi="宋体" w:cs="宋体" w:eastAsia="宋体" w:hint="default"/>
          <w:sz w:val="15"/>
          <w:szCs w:val="15"/>
        </w:rPr>
      </w:pPr>
    </w:p>
    <w:p>
      <w:pPr>
        <w:pStyle w:val="BodyText"/>
        <w:spacing w:line="237" w:lineRule="auto" w:before="28"/>
        <w:ind w:left="238" w:right="369"/>
        <w:jc w:val="left"/>
      </w:pPr>
      <w:r>
        <w:rPr/>
        <w:t>其中： 预付账款减少主要系受到宏观经济环境变化影响，公司控制了资金支付和加大了成本费</w:t>
      </w:r>
      <w:r>
        <w:rPr>
          <w:spacing w:val="-47"/>
        </w:rPr>
        <w:t> </w:t>
      </w:r>
      <w:r>
        <w:rPr>
          <w:spacing w:val="-47"/>
        </w:rPr>
      </w:r>
      <w:r>
        <w:rPr/>
        <w:t>用结算管理力度所致。</w:t>
      </w:r>
      <w:r>
        <w:rPr/>
        <w:t> 预收账款减少主要系受到宏观经济环境变化影响，公司业务合作单位大多采用了谨慎支</w:t>
      </w:r>
      <w:r>
        <w:rPr>
          <w:spacing w:val="-47"/>
        </w:rPr>
        <w:t> </w:t>
      </w:r>
      <w:r>
        <w:rPr>
          <w:spacing w:val="-47"/>
        </w:rPr>
      </w:r>
      <w:r>
        <w:rPr/>
        <w:t>付的原则，延长了付款周期，同时公司也结合自身赊销政策进行了相应调整所致。</w:t>
      </w:r>
    </w:p>
    <w:p>
      <w:pPr>
        <w:spacing w:line="240" w:lineRule="auto" w:before="8"/>
        <w:rPr>
          <w:rFonts w:ascii="宋体" w:hAnsi="宋体" w:cs="宋体" w:eastAsia="宋体" w:hint="default"/>
          <w:sz w:val="23"/>
          <w:szCs w:val="23"/>
        </w:rPr>
      </w:pPr>
    </w:p>
    <w:p>
      <w:pPr>
        <w:pStyle w:val="BodyText"/>
        <w:spacing w:line="240" w:lineRule="auto"/>
        <w:ind w:left="238" w:right="369"/>
        <w:jc w:val="left"/>
      </w:pPr>
      <w:r>
        <w:rPr/>
        <w:t>(3)主要流动资产质量分析</w:t>
      </w:r>
    </w:p>
    <w:p>
      <w:pPr>
        <w:spacing w:line="240" w:lineRule="auto" w:before="9"/>
        <w:rPr>
          <w:rFonts w:ascii="宋体" w:hAnsi="宋体" w:cs="宋体" w:eastAsia="宋体" w:hint="default"/>
          <w:sz w:val="23"/>
          <w:szCs w:val="23"/>
        </w:rPr>
      </w:pPr>
    </w:p>
    <w:p>
      <w:pPr>
        <w:pStyle w:val="BodyText"/>
        <w:spacing w:line="237" w:lineRule="auto"/>
        <w:ind w:left="238" w:right="369"/>
        <w:jc w:val="left"/>
      </w:pPr>
      <w:r>
        <w:rPr/>
        <w:t>本年度，公司采取了谨慎的经营策略，并进一步严格计划预算考核制度，加大了资金回</w:t>
      </w:r>
      <w:r>
        <w:rPr>
          <w:spacing w:val="-47"/>
        </w:rPr>
        <w:t> </w:t>
      </w:r>
      <w:r>
        <w:rPr>
          <w:spacing w:val="-47"/>
        </w:rPr>
      </w:r>
      <w:r>
        <w:rPr>
          <w:spacing w:val="-3"/>
        </w:rPr>
        <w:t>收力度，应收账款增幅较小，存货规模适度增长。其中，应收帐款/销售收入为</w:t>
      </w:r>
      <w:r>
        <w:rPr>
          <w:spacing w:val="-58"/>
        </w:rPr>
        <w:t> </w:t>
      </w:r>
      <w:r>
        <w:rPr/>
        <w:t>18%左右，</w:t>
      </w:r>
      <w:r>
        <w:rPr/>
        <w:t> 较上一年度增幅不大；存货/销售收入为</w:t>
      </w:r>
      <w:r>
        <w:rPr>
          <w:spacing w:val="-40"/>
        </w:rPr>
        <w:t> </w:t>
      </w:r>
      <w:r>
        <w:rPr/>
        <w:t>31%左右，较上年有所提高，主要系公司受到计</w:t>
      </w:r>
      <w:r>
        <w:rPr/>
        <w:t> 算机业务收入下降和合并范围变化影响，收入较去年有所下降，而公司存货分布较多的</w:t>
      </w:r>
      <w:r>
        <w:rPr>
          <w:spacing w:val="-47"/>
        </w:rPr>
        <w:t> </w:t>
      </w:r>
      <w:r>
        <w:rPr>
          <w:spacing w:val="-47"/>
        </w:rPr>
      </w:r>
      <w:r>
        <w:rPr>
          <w:spacing w:val="-2"/>
        </w:rPr>
        <w:t>同方威视、泰豪科技、工业公司造船业务等相关业务规模持续扩大，存货水平有所增长。</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832"/>
        <w:gridCol w:w="2032"/>
        <w:gridCol w:w="2032"/>
        <w:gridCol w:w="1522"/>
      </w:tblGrid>
      <w:tr>
        <w:trPr>
          <w:trHeight w:val="334" w:hRule="exact"/>
        </w:trPr>
        <w:tc>
          <w:tcPr>
            <w:tcW w:w="3832"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1268"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2032"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66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32"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66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22" w:type="dxa"/>
            <w:tcBorders>
              <w:top w:val="single" w:sz="12" w:space="0" w:color="000000"/>
              <w:left w:val="single" w:sz="6" w:space="0" w:color="000000"/>
              <w:bottom w:val="single" w:sz="6" w:space="0" w:color="000000"/>
              <w:right w:val="single" w:sz="12" w:space="0" w:color="000000"/>
            </w:tcBorders>
          </w:tcPr>
          <w:p>
            <w:pPr>
              <w:pStyle w:val="TableParagraph"/>
              <w:spacing w:line="276" w:lineRule="exact"/>
              <w:ind w:left="41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6"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销售收入</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18.61%</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17.31%</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15.82%</w:t>
            </w:r>
          </w:p>
        </w:tc>
      </w:tr>
      <w:tr>
        <w:trPr>
          <w:trHeight w:val="328"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应收款同比净增额</w:t>
            </w:r>
            <w:r>
              <w:rPr>
                <w:rFonts w:ascii="Times New Roman" w:hAnsi="Times New Roman" w:cs="Times New Roman" w:eastAsia="Times New Roman" w:hint="default"/>
                <w:sz w:val="21"/>
                <w:szCs w:val="21"/>
              </w:rPr>
              <w:t>(</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0.30</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6.04</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3.84</w:t>
            </w:r>
          </w:p>
        </w:tc>
      </w:tr>
      <w:tr>
        <w:trPr>
          <w:trHeight w:val="326"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应收账款周转率</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5.41</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6.56</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7.02</w:t>
            </w:r>
          </w:p>
        </w:tc>
      </w:tr>
      <w:tr>
        <w:trPr>
          <w:trHeight w:val="328"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Times New Roman" w:hAnsi="Times New Roman" w:cs="Times New Roman" w:eastAsia="Times New Roman" w:hint="default"/>
                <w:sz w:val="21"/>
                <w:szCs w:val="21"/>
              </w:rPr>
              <w:t>/</w:t>
            </w:r>
            <w:r>
              <w:rPr>
                <w:rFonts w:ascii="宋体" w:hAnsi="宋体" w:cs="宋体" w:eastAsia="宋体" w:hint="default"/>
                <w:sz w:val="21"/>
                <w:szCs w:val="21"/>
              </w:rPr>
              <w:t>销售收入</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31.15%</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26.90%</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24.88%</w:t>
            </w:r>
          </w:p>
        </w:tc>
      </w:tr>
      <w:tr>
        <w:trPr>
          <w:trHeight w:val="326"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存货同比净增额</w:t>
            </w:r>
            <w:r>
              <w:rPr>
                <w:rFonts w:ascii="Times New Roman" w:hAnsi="Times New Roman" w:cs="Times New Roman" w:eastAsia="Times New Roman" w:hint="default"/>
                <w:sz w:val="21"/>
                <w:szCs w:val="21"/>
              </w:rPr>
              <w:t>(</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3.51</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9.04</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4.42</w:t>
            </w:r>
          </w:p>
        </w:tc>
      </w:tr>
      <w:tr>
        <w:trPr>
          <w:trHeight w:val="335" w:hRule="exact"/>
        </w:trPr>
        <w:tc>
          <w:tcPr>
            <w:tcW w:w="3832" w:type="dxa"/>
            <w:tcBorders>
              <w:top w:val="single" w:sz="6" w:space="0" w:color="000000"/>
              <w:left w:val="single" w:sz="12" w:space="0" w:color="000000"/>
              <w:bottom w:val="single" w:sz="12"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存货周转率</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2.73</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3.54</w:t>
            </w:r>
          </w:p>
        </w:tc>
        <w:tc>
          <w:tcPr>
            <w:tcW w:w="15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3.73</w:t>
            </w:r>
          </w:p>
        </w:tc>
      </w:tr>
    </w:tbl>
    <w:p>
      <w:pPr>
        <w:spacing w:line="240" w:lineRule="auto" w:before="10"/>
        <w:rPr>
          <w:rFonts w:ascii="宋体" w:hAnsi="宋体" w:cs="宋体" w:eastAsia="宋体" w:hint="default"/>
          <w:sz w:val="18"/>
          <w:szCs w:val="18"/>
        </w:rPr>
      </w:pPr>
    </w:p>
    <w:p>
      <w:pPr>
        <w:pStyle w:val="BodyText"/>
        <w:spacing w:line="310" w:lineRule="exact" w:before="58"/>
        <w:ind w:left="238" w:right="369"/>
        <w:jc w:val="left"/>
      </w:pPr>
      <w:r>
        <w:rPr/>
        <w:t>从各骨干子公司应收账款、存货情况来看，公司主要资产的构成也呈现了“二、八”格</w:t>
      </w:r>
      <w:r>
        <w:rPr>
          <w:spacing w:val="-47"/>
        </w:rPr>
        <w:t> </w:t>
      </w:r>
      <w:r>
        <w:rPr>
          <w:spacing w:val="-47"/>
        </w:rPr>
      </w:r>
      <w:r>
        <w:rPr/>
        <w:t>局的状况，具体情况为：</w:t>
      </w: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807"/>
        <w:gridCol w:w="1160"/>
        <w:gridCol w:w="1178"/>
        <w:gridCol w:w="1134"/>
        <w:gridCol w:w="1118"/>
        <w:gridCol w:w="1170"/>
        <w:gridCol w:w="1115"/>
      </w:tblGrid>
      <w:tr>
        <w:trPr>
          <w:trHeight w:val="334" w:hRule="exact"/>
        </w:trPr>
        <w:tc>
          <w:tcPr>
            <w:tcW w:w="2807" w:type="dxa"/>
            <w:vMerge w:val="restart"/>
            <w:tcBorders>
              <w:top w:val="single" w:sz="12" w:space="0" w:color="000000"/>
              <w:left w:val="single" w:sz="12" w:space="0" w:color="000000"/>
              <w:right w:val="single" w:sz="6" w:space="0" w:color="000000"/>
            </w:tcBorders>
          </w:tcPr>
          <w:p>
            <w:pPr>
              <w:pStyle w:val="TableParagraph"/>
              <w:spacing w:line="240" w:lineRule="auto" w:before="142"/>
              <w:ind w:left="888" w:right="0"/>
              <w:jc w:val="left"/>
              <w:rPr>
                <w:rFonts w:ascii="宋体" w:hAnsi="宋体" w:cs="宋体" w:eastAsia="宋体" w:hint="default"/>
                <w:sz w:val="20"/>
                <w:szCs w:val="20"/>
              </w:rPr>
            </w:pPr>
            <w:r>
              <w:rPr>
                <w:rFonts w:ascii="宋体" w:hAnsi="宋体" w:cs="宋体" w:eastAsia="宋体" w:hint="default"/>
                <w:sz w:val="20"/>
                <w:szCs w:val="20"/>
              </w:rPr>
              <w:t>单位：万元</w:t>
            </w:r>
          </w:p>
        </w:tc>
        <w:tc>
          <w:tcPr>
            <w:tcW w:w="233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73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25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69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28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709"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2006</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26" w:hRule="exact"/>
        </w:trPr>
        <w:tc>
          <w:tcPr>
            <w:tcW w:w="2807" w:type="dxa"/>
            <w:vMerge/>
            <w:tcBorders>
              <w:left w:val="single" w:sz="12"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70" w:right="0"/>
              <w:jc w:val="left"/>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79"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58" w:right="0"/>
              <w:jc w:val="left"/>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9"/>
              <w:jc w:val="right"/>
              <w:rPr>
                <w:rFonts w:ascii="宋体" w:hAnsi="宋体" w:cs="宋体" w:eastAsia="宋体" w:hint="default"/>
                <w:sz w:val="20"/>
                <w:szCs w:val="20"/>
              </w:rPr>
            </w:pPr>
            <w:r>
              <w:rPr>
                <w:rFonts w:ascii="宋体" w:hAnsi="宋体" w:cs="宋体" w:eastAsia="宋体" w:hint="default"/>
                <w:b/>
                <w:bCs/>
                <w:w w:val="95"/>
                <w:sz w:val="20"/>
                <w:szCs w:val="20"/>
              </w:rPr>
              <w:t>应收账款</w:t>
            </w:r>
            <w:r>
              <w:rPr>
                <w:rFonts w:ascii="宋体" w:hAnsi="宋体" w:cs="宋体" w:eastAsia="宋体" w:hint="default"/>
                <w:sz w:val="20"/>
                <w:szCs w:val="20"/>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75" w:right="0"/>
              <w:jc w:val="left"/>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48"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r>
      <w:tr>
        <w:trPr>
          <w:trHeight w:val="328"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一、母公司合计</w:t>
            </w:r>
            <w:r>
              <w:rPr>
                <w:rFonts w:ascii="Times New Roman" w:hAnsi="Times New Roman" w:cs="Times New Roman" w:eastAsia="Times New Roman" w:hint="default"/>
                <w:b/>
                <w:bCs/>
                <w:sz w:val="20"/>
                <w:szCs w:val="20"/>
              </w:rPr>
              <w:t>(a)</w:t>
            </w:r>
            <w:r>
              <w:rPr>
                <w:rFonts w:ascii="Times New Roman" w:hAnsi="Times New Roman" w:cs="Times New Roman" w:eastAsia="Times New Roman" w:hint="default"/>
                <w:sz w:val="20"/>
                <w:szCs w:val="20"/>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140,312.84</w:t>
            </w:r>
            <w:r>
              <w:rPr>
                <w:rFonts w:ascii="Times New Roman"/>
                <w:sz w:val="20"/>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62,531.06</w:t>
            </w:r>
            <w:r>
              <w:rPr>
                <w:rFonts w:ascii="Times New Roman"/>
                <w:spacing w:val="-1"/>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160,225.56</w:t>
            </w:r>
            <w:r>
              <w:rPr>
                <w:rFonts w:ascii="Times New Roman"/>
                <w:sz w:val="20"/>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1"/>
              <w:jc w:val="right"/>
              <w:rPr>
                <w:rFonts w:ascii="Times New Roman" w:hAnsi="Times New Roman" w:cs="Times New Roman" w:eastAsia="Times New Roman" w:hint="default"/>
                <w:sz w:val="20"/>
                <w:szCs w:val="20"/>
              </w:rPr>
            </w:pPr>
            <w:r>
              <w:rPr>
                <w:rFonts w:ascii="Times New Roman"/>
                <w:b/>
                <w:spacing w:val="-1"/>
                <w:sz w:val="20"/>
              </w:rPr>
              <w:t>56,539.80</w:t>
            </w:r>
            <w:r>
              <w:rPr>
                <w:rFonts w:ascii="Times New Roman"/>
                <w:spacing w:val="-1"/>
                <w:sz w:val="20"/>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3"/>
              <w:jc w:val="right"/>
              <w:rPr>
                <w:rFonts w:ascii="Times New Roman" w:hAnsi="Times New Roman" w:cs="Times New Roman" w:eastAsia="Times New Roman" w:hint="default"/>
                <w:sz w:val="20"/>
                <w:szCs w:val="20"/>
              </w:rPr>
            </w:pPr>
            <w:r>
              <w:rPr>
                <w:rFonts w:ascii="Times New Roman"/>
                <w:b/>
                <w:spacing w:val="-1"/>
                <w:sz w:val="20"/>
              </w:rPr>
              <w:t>147,523.98</w:t>
            </w:r>
            <w:r>
              <w:rPr>
                <w:rFonts w:ascii="Times New Roman"/>
                <w:sz w:val="20"/>
              </w:rPr>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pacing w:val="-1"/>
                <w:sz w:val="20"/>
              </w:rPr>
              <w:t>60,431.47</w:t>
            </w:r>
            <w:r>
              <w:rPr>
                <w:rFonts w:ascii="Times New Roman"/>
                <w:spacing w:val="-1"/>
                <w:sz w:val="20"/>
              </w:rPr>
            </w:r>
          </w:p>
        </w:tc>
      </w:tr>
      <w:tr>
        <w:trPr>
          <w:trHeight w:val="326"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57,517.52</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26,515.90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59,699.18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26,438.56</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55,271.46</w:t>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31,284.47</w:t>
            </w:r>
          </w:p>
        </w:tc>
      </w:tr>
      <w:tr>
        <w:trPr>
          <w:trHeight w:val="328"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3"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42,672.29</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6,105.49</w:t>
            </w:r>
            <w:r>
              <w:rPr>
                <w:rFonts w:asci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63,486.80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9,544.04</w:t>
            </w:r>
            <w:r>
              <w:rPr>
                <w:rFonts w:ascii="Times New Roman"/>
                <w:sz w:val="20"/>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66,032.17</w:t>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3"/>
              <w:jc w:val="right"/>
              <w:rPr>
                <w:rFonts w:ascii="Times New Roman" w:hAnsi="Times New Roman" w:cs="Times New Roman" w:eastAsia="Times New Roman" w:hint="default"/>
                <w:sz w:val="20"/>
                <w:szCs w:val="20"/>
              </w:rPr>
            </w:pPr>
            <w:r>
              <w:rPr>
                <w:rFonts w:ascii="Times New Roman"/>
                <w:spacing w:val="-1"/>
                <w:sz w:val="20"/>
              </w:rPr>
              <w:t>11,428.56</w:t>
            </w:r>
          </w:p>
        </w:tc>
      </w:tr>
      <w:tr>
        <w:trPr>
          <w:trHeight w:val="326"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4" w:right="0"/>
              <w:jc w:val="left"/>
              <w:rPr>
                <w:rFonts w:ascii="宋体" w:hAnsi="宋体" w:cs="宋体" w:eastAsia="宋体" w:hint="default"/>
                <w:sz w:val="20"/>
                <w:szCs w:val="20"/>
              </w:rPr>
            </w:pPr>
            <w:r>
              <w:rPr>
                <w:rFonts w:ascii="宋体" w:hAnsi="宋体" w:cs="宋体" w:eastAsia="宋体" w:hint="default"/>
                <w:sz w:val="20"/>
                <w:szCs w:val="20"/>
              </w:rPr>
              <w:t>水务工程</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6,801.82</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4,097.66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4,627.53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5,076.87</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3,856.97</w:t>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3"/>
              <w:jc w:val="right"/>
              <w:rPr>
                <w:rFonts w:ascii="Times New Roman" w:hAnsi="Times New Roman" w:cs="Times New Roman" w:eastAsia="Times New Roman" w:hint="default"/>
                <w:sz w:val="20"/>
                <w:szCs w:val="20"/>
              </w:rPr>
            </w:pPr>
            <w:r>
              <w:rPr>
                <w:rFonts w:ascii="Times New Roman"/>
                <w:spacing w:val="-1"/>
                <w:sz w:val="20"/>
              </w:rPr>
              <w:t>5,689.60</w:t>
            </w:r>
          </w:p>
        </w:tc>
      </w:tr>
      <w:tr>
        <w:trPr>
          <w:trHeight w:val="335" w:hRule="exact"/>
        </w:trPr>
        <w:tc>
          <w:tcPr>
            <w:tcW w:w="2807"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286,650.73</w:t>
            </w:r>
            <w:r>
              <w:rPr>
                <w:rFonts w:ascii="Times New Roman"/>
                <w:sz w:val="20"/>
              </w:rPr>
            </w: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61" w:right="0"/>
              <w:jc w:val="left"/>
              <w:rPr>
                <w:rFonts w:ascii="Times New Roman" w:hAnsi="Times New Roman" w:cs="Times New Roman" w:eastAsia="Times New Roman" w:hint="default"/>
                <w:sz w:val="20"/>
                <w:szCs w:val="20"/>
              </w:rPr>
            </w:pPr>
            <w:r>
              <w:rPr>
                <w:rFonts w:ascii="Times New Roman"/>
                <w:b/>
                <w:sz w:val="20"/>
              </w:rPr>
              <w:t>192,526.57</w:t>
            </w:r>
            <w:r>
              <w:rPr>
                <w:rFonts w:ascii="Times New Roman"/>
                <w:sz w:val="20"/>
              </w:rPr>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231,634.27</w:t>
            </w:r>
            <w:r>
              <w:rPr>
                <w:rFonts w:ascii="Times New Roman"/>
                <w:sz w:val="20"/>
              </w:rPr>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195,542.86</w:t>
            </w:r>
            <w:r>
              <w:rPr>
                <w:rFonts w:ascii="Times New Roman"/>
                <w:sz w:val="20"/>
              </w:rPr>
            </w:r>
          </w:p>
        </w:tc>
        <w:tc>
          <w:tcPr>
            <w:tcW w:w="1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153,916.04</w:t>
            </w:r>
            <w:r>
              <w:rPr>
                <w:rFonts w:ascii="Times New Roman"/>
                <w:sz w:val="20"/>
              </w:rPr>
            </w:r>
          </w:p>
        </w:tc>
        <w:tc>
          <w:tcPr>
            <w:tcW w:w="1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1"/>
              <w:jc w:val="right"/>
              <w:rPr>
                <w:rFonts w:ascii="Times New Roman" w:hAnsi="Times New Roman" w:cs="Times New Roman" w:eastAsia="Times New Roman" w:hint="default"/>
                <w:sz w:val="20"/>
                <w:szCs w:val="20"/>
              </w:rPr>
            </w:pPr>
            <w:r>
              <w:rPr>
                <w:rFonts w:ascii="Times New Roman"/>
                <w:b/>
                <w:spacing w:val="-1"/>
                <w:sz w:val="20"/>
              </w:rPr>
              <w:t>131,283.78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610" w:footer="764" w:top="1080" w:bottom="980" w:left="11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807"/>
        <w:gridCol w:w="1160"/>
        <w:gridCol w:w="1178"/>
        <w:gridCol w:w="1134"/>
        <w:gridCol w:w="1118"/>
        <w:gridCol w:w="1170"/>
        <w:gridCol w:w="1115"/>
      </w:tblGrid>
      <w:tr>
        <w:trPr>
          <w:trHeight w:val="333" w:hRule="exact"/>
        </w:trPr>
        <w:tc>
          <w:tcPr>
            <w:tcW w:w="2807" w:type="dxa"/>
            <w:tcBorders>
              <w:top w:val="single" w:sz="12" w:space="0" w:color="000000"/>
              <w:left w:val="single" w:sz="12" w:space="0" w:color="000000"/>
              <w:bottom w:val="single" w:sz="6" w:space="0" w:color="000000"/>
              <w:right w:val="single" w:sz="6" w:space="0" w:color="000000"/>
            </w:tcBorders>
          </w:tcPr>
          <w:p>
            <w:pPr>
              <w:pStyle w:val="TableParagraph"/>
              <w:spacing w:line="271" w:lineRule="exact"/>
              <w:ind w:left="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、其中：同方威视</w:t>
            </w:r>
            <w:r>
              <w:rPr>
                <w:rFonts w:ascii="Times New Roman" w:hAnsi="Times New Roman" w:cs="Times New Roman" w:eastAsia="Times New Roman" w:hint="default"/>
                <w:sz w:val="20"/>
                <w:szCs w:val="20"/>
              </w:rPr>
              <w:t>(b)</w:t>
            </w:r>
          </w:p>
        </w:tc>
        <w:tc>
          <w:tcPr>
            <w:tcW w:w="1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118,746.58</w:t>
            </w:r>
            <w:r>
              <w:rPr>
                <w:rFonts w:ascii="Times New Roman"/>
                <w:sz w:val="20"/>
              </w:rPr>
            </w:r>
          </w:p>
        </w:tc>
        <w:tc>
          <w:tcPr>
            <w:tcW w:w="11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66,039.00</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90,289.14</w:t>
            </w:r>
          </w:p>
        </w:tc>
        <w:tc>
          <w:tcPr>
            <w:tcW w:w="11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61,486.92</w:t>
            </w:r>
          </w:p>
        </w:tc>
        <w:tc>
          <w:tcPr>
            <w:tcW w:w="11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25,168.52</w:t>
            </w:r>
          </w:p>
        </w:tc>
        <w:tc>
          <w:tcPr>
            <w:tcW w:w="111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40,628.25</w:t>
            </w:r>
          </w:p>
        </w:tc>
      </w:tr>
      <w:tr>
        <w:trPr>
          <w:trHeight w:val="328"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7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泰豪科技</w:t>
            </w:r>
            <w:r>
              <w:rPr>
                <w:rFonts w:ascii="Times New Roman" w:hAnsi="Times New Roman" w:cs="Times New Roman" w:eastAsia="Times New Roman" w:hint="default"/>
                <w:sz w:val="20"/>
                <w:szCs w:val="20"/>
              </w:rPr>
              <w:t>(c)</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56,802.33</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72,778.81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48,860.77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65,192.15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30,671.83</w:t>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23,568.03</w:t>
            </w:r>
          </w:p>
        </w:tc>
      </w:tr>
      <w:tr>
        <w:trPr>
          <w:trHeight w:val="326"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7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同方微电子</w:t>
            </w:r>
            <w:r>
              <w:rPr>
                <w:rFonts w:ascii="Times New Roman" w:hAnsi="Times New Roman" w:cs="Times New Roman" w:eastAsia="Times New Roman" w:hint="default"/>
                <w:sz w:val="20"/>
                <w:szCs w:val="20"/>
              </w:rPr>
              <w:t>(d)</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13,433.81</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11,718.57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9,881.89</w:t>
            </w:r>
            <w:r>
              <w:rPr>
                <w:rFonts w:ascii="Times New Roman"/>
                <w:sz w:val="20"/>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14,381.66</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13,343.94</w:t>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16,309.21</w:t>
            </w:r>
          </w:p>
        </w:tc>
      </w:tr>
      <w:tr>
        <w:trPr>
          <w:trHeight w:val="328"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2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工业公司</w:t>
            </w:r>
            <w:r>
              <w:rPr>
                <w:rFonts w:ascii="Times New Roman" w:hAnsi="Times New Roman" w:cs="Times New Roman" w:eastAsia="Times New Roman" w:hint="default"/>
                <w:sz w:val="20"/>
                <w:szCs w:val="20"/>
              </w:rPr>
              <w:t>(e)</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33,538.82</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6,727.69</w:t>
            </w:r>
            <w:r>
              <w:rPr>
                <w:rFonts w:asci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13,110.79</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3,929.31</w:t>
            </w:r>
            <w:r>
              <w:rPr>
                <w:rFonts w:ascii="Times New Roman"/>
                <w:sz w:val="20"/>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14,707.01</w:t>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1,734.35</w:t>
            </w:r>
            <w:r>
              <w:rPr>
                <w:rFonts w:ascii="Times New Roman"/>
                <w:sz w:val="20"/>
              </w:rPr>
            </w:r>
          </w:p>
        </w:tc>
      </w:tr>
      <w:tr>
        <w:trPr>
          <w:trHeight w:val="326"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同方知网</w:t>
            </w:r>
            <w:r>
              <w:rPr>
                <w:rFonts w:ascii="Times New Roman" w:hAnsi="Times New Roman" w:cs="Times New Roman" w:eastAsia="Times New Roman" w:hint="default"/>
                <w:sz w:val="20"/>
                <w:szCs w:val="20"/>
              </w:rPr>
              <w:t>(f)</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1,044.85</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6,064.75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924.69</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6,524.91</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1,217.85</w:t>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4,999.79</w:t>
            </w:r>
          </w:p>
        </w:tc>
      </w:tr>
      <w:tr>
        <w:trPr>
          <w:trHeight w:val="328"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沈阳多媒体</w:t>
            </w:r>
            <w:r>
              <w:rPr>
                <w:rFonts w:ascii="Times New Roman" w:hAnsi="Times New Roman" w:cs="Times New Roman" w:eastAsia="Times New Roman" w:hint="default"/>
                <w:sz w:val="20"/>
                <w:szCs w:val="20"/>
              </w:rPr>
              <w:t>(g)</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12,640.09</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15,110.78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9,616.23</w:t>
            </w:r>
            <w:r>
              <w:rPr>
                <w:rFonts w:ascii="Times New Roman"/>
                <w:sz w:val="20"/>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18,468.60</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4,697.68</w:t>
            </w:r>
            <w:r>
              <w:rPr>
                <w:rFonts w:ascii="Times New Roman"/>
                <w:sz w:val="20"/>
              </w:rPr>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2,342.67</w:t>
            </w:r>
            <w:r>
              <w:rPr>
                <w:rFonts w:ascii="Times New Roman"/>
                <w:sz w:val="20"/>
              </w:rPr>
            </w:r>
          </w:p>
        </w:tc>
      </w:tr>
      <w:tr>
        <w:trPr>
          <w:trHeight w:val="326"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、其他子公司合计</w:t>
            </w:r>
            <w:r>
              <w:rPr>
                <w:rFonts w:ascii="宋体" w:hAnsi="宋体" w:cs="宋体" w:eastAsia="宋体" w:hint="default"/>
                <w:sz w:val="20"/>
                <w:szCs w:val="20"/>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50,444.25</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14,086.98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58,950.76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25,559.31</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64,109.21</w:t>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41,701.47</w:t>
            </w:r>
          </w:p>
        </w:tc>
      </w:tr>
      <w:tr>
        <w:trPr>
          <w:trHeight w:val="328"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(b)</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(g)</w:t>
            </w:r>
            <w:r>
              <w:rPr>
                <w:rFonts w:ascii="宋体" w:hAnsi="宋体" w:cs="宋体" w:eastAsia="宋体" w:hint="default"/>
                <w:b/>
                <w:bCs/>
                <w:sz w:val="20"/>
                <w:szCs w:val="20"/>
              </w:rPr>
              <w:t>占子公司合计比例</w:t>
            </w:r>
            <w:r>
              <w:rPr>
                <w:rFonts w:ascii="宋体" w:hAnsi="宋体" w:cs="宋体" w:eastAsia="宋体" w:hint="default"/>
                <w:sz w:val="20"/>
                <w:szCs w:val="20"/>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82.40%</w:t>
            </w:r>
            <w:r>
              <w:rPr>
                <w:rFonts w:ascii="Times New Roman"/>
                <w:spacing w:val="-1"/>
                <w:sz w:val="20"/>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92.68%</w:t>
            </w:r>
            <w:r>
              <w:rPr>
                <w:rFonts w:ascii="Times New Roman"/>
                <w:spacing w:val="-1"/>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b/>
                <w:spacing w:val="-1"/>
                <w:sz w:val="20"/>
              </w:rPr>
              <w:t>74.55%</w:t>
            </w:r>
            <w:r>
              <w:rPr>
                <w:rFonts w:ascii="Times New Roman"/>
                <w:spacing w:val="-1"/>
                <w:sz w:val="20"/>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86.93%</w:t>
            </w:r>
            <w:r>
              <w:rPr>
                <w:rFonts w:ascii="Times New Roman"/>
                <w:spacing w:val="-1"/>
                <w:sz w:val="20"/>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58.35%</w:t>
            </w:r>
            <w:r>
              <w:rPr>
                <w:rFonts w:ascii="Times New Roman"/>
                <w:spacing w:val="-1"/>
                <w:sz w:val="20"/>
              </w:rPr>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5"/>
              <w:jc w:val="right"/>
              <w:rPr>
                <w:rFonts w:ascii="Times New Roman" w:hAnsi="Times New Roman" w:cs="Times New Roman" w:eastAsia="Times New Roman" w:hint="default"/>
                <w:sz w:val="20"/>
                <w:szCs w:val="20"/>
              </w:rPr>
            </w:pPr>
            <w:r>
              <w:rPr>
                <w:rFonts w:ascii="Times New Roman"/>
                <w:b/>
                <w:spacing w:val="-1"/>
                <w:sz w:val="20"/>
              </w:rPr>
              <w:t>68.24%</w:t>
            </w:r>
            <w:r>
              <w:rPr>
                <w:rFonts w:ascii="Times New Roman"/>
                <w:spacing w:val="-1"/>
                <w:sz w:val="20"/>
              </w:rPr>
            </w:r>
          </w:p>
        </w:tc>
      </w:tr>
      <w:tr>
        <w:trPr>
          <w:trHeight w:val="326"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(g)</w:t>
            </w:r>
            <w:r>
              <w:rPr>
                <w:rFonts w:ascii="宋体" w:hAnsi="宋体" w:cs="宋体" w:eastAsia="宋体" w:hint="default"/>
                <w:b/>
                <w:bCs/>
                <w:sz w:val="20"/>
                <w:szCs w:val="20"/>
              </w:rPr>
              <w:t>小计</w:t>
            </w:r>
            <w:r>
              <w:rPr>
                <w:rFonts w:ascii="宋体" w:hAnsi="宋体" w:cs="宋体" w:eastAsia="宋体" w:hint="default"/>
                <w:sz w:val="20"/>
                <w:szCs w:val="20"/>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376,519.31</w:t>
            </w:r>
            <w:r>
              <w:rPr>
                <w:rFonts w:ascii="Times New Roman"/>
                <w:sz w:val="20"/>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240,970.65</w:t>
            </w:r>
            <w:r>
              <w:rPr>
                <w:rFonts w:asci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332,909.07</w:t>
            </w:r>
            <w:r>
              <w:rPr>
                <w:rFonts w:ascii="Times New Roman"/>
                <w:sz w:val="20"/>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226,523.35</w:t>
            </w:r>
            <w:r>
              <w:rPr>
                <w:rFonts w:ascii="Times New Roman"/>
                <w:sz w:val="20"/>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237,330.80</w:t>
            </w:r>
            <w:r>
              <w:rPr>
                <w:rFonts w:ascii="Times New Roman"/>
                <w:sz w:val="20"/>
              </w:rPr>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150,013.78</w:t>
            </w:r>
            <w:r>
              <w:rPr>
                <w:rFonts w:ascii="Times New Roman"/>
                <w:sz w:val="20"/>
              </w:rPr>
            </w:r>
          </w:p>
        </w:tc>
      </w:tr>
      <w:tr>
        <w:trPr>
          <w:trHeight w:val="328" w:hRule="exact"/>
        </w:trPr>
        <w:tc>
          <w:tcPr>
            <w:tcW w:w="2807"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426,963.57</w:t>
            </w:r>
            <w:r>
              <w:rPr>
                <w:rFonts w:ascii="Times New Roman"/>
                <w:sz w:val="20"/>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255,057.63</w:t>
            </w:r>
            <w:r>
              <w:rPr>
                <w:rFonts w:ascii="Times New Roman"/>
                <w:sz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391,859.83</w:t>
            </w:r>
            <w:r>
              <w:rPr>
                <w:rFonts w:ascii="Times New Roman"/>
                <w:sz w:val="20"/>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252,082.66</w:t>
            </w:r>
            <w:r>
              <w:rPr>
                <w:rFonts w:ascii="Times New Roman"/>
                <w:sz w:val="20"/>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301,440.02</w:t>
            </w:r>
            <w:r>
              <w:rPr>
                <w:rFonts w:ascii="Times New Roman"/>
                <w:sz w:val="20"/>
              </w:rPr>
            </w:r>
          </w:p>
        </w:tc>
        <w:tc>
          <w:tcPr>
            <w:tcW w:w="1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191,715.25</w:t>
            </w:r>
            <w:r>
              <w:rPr>
                <w:rFonts w:ascii="Times New Roman"/>
                <w:sz w:val="20"/>
              </w:rPr>
            </w:r>
          </w:p>
        </w:tc>
      </w:tr>
      <w:tr>
        <w:trPr>
          <w:trHeight w:val="334" w:hRule="exact"/>
        </w:trPr>
        <w:tc>
          <w:tcPr>
            <w:tcW w:w="2807"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(g)</w:t>
            </w:r>
            <w:r>
              <w:rPr>
                <w:rFonts w:ascii="宋体" w:hAnsi="宋体" w:cs="宋体" w:eastAsia="宋体" w:hint="default"/>
                <w:b/>
                <w:bCs/>
                <w:sz w:val="20"/>
                <w:szCs w:val="20"/>
              </w:rPr>
              <w:t>占公司总计比例</w:t>
            </w:r>
            <w:r>
              <w:rPr>
                <w:rFonts w:ascii="宋体" w:hAnsi="宋体" w:cs="宋体" w:eastAsia="宋体" w:hint="default"/>
                <w:sz w:val="20"/>
                <w:szCs w:val="20"/>
              </w:rPr>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88.19%</w:t>
            </w:r>
            <w:r>
              <w:rPr>
                <w:rFonts w:ascii="Times New Roman"/>
                <w:spacing w:val="-1"/>
                <w:sz w:val="20"/>
              </w:rPr>
            </w: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94.48%</w:t>
            </w:r>
            <w:r>
              <w:rPr>
                <w:rFonts w:ascii="Times New Roman"/>
                <w:spacing w:val="-1"/>
                <w:sz w:val="20"/>
              </w:rPr>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b/>
                <w:spacing w:val="-1"/>
                <w:sz w:val="20"/>
              </w:rPr>
              <w:t>84.96%</w:t>
            </w:r>
            <w:r>
              <w:rPr>
                <w:rFonts w:ascii="Times New Roman"/>
                <w:spacing w:val="-1"/>
                <w:sz w:val="20"/>
              </w:rPr>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89.86%</w:t>
            </w:r>
            <w:r>
              <w:rPr>
                <w:rFonts w:ascii="Times New Roman"/>
                <w:spacing w:val="-1"/>
                <w:sz w:val="20"/>
              </w:rPr>
            </w:r>
          </w:p>
        </w:tc>
        <w:tc>
          <w:tcPr>
            <w:tcW w:w="1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78.73%</w:t>
            </w:r>
            <w:r>
              <w:rPr>
                <w:rFonts w:ascii="Times New Roman"/>
                <w:spacing w:val="-1"/>
                <w:sz w:val="20"/>
              </w:rPr>
            </w:r>
          </w:p>
        </w:tc>
        <w:tc>
          <w:tcPr>
            <w:tcW w:w="1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5"/>
              <w:jc w:val="right"/>
              <w:rPr>
                <w:rFonts w:ascii="Times New Roman" w:hAnsi="Times New Roman" w:cs="Times New Roman" w:eastAsia="Times New Roman" w:hint="default"/>
                <w:sz w:val="20"/>
                <w:szCs w:val="20"/>
              </w:rPr>
            </w:pPr>
            <w:r>
              <w:rPr>
                <w:rFonts w:ascii="Times New Roman"/>
                <w:b/>
                <w:spacing w:val="-1"/>
                <w:sz w:val="20"/>
              </w:rPr>
              <w:t>78.25%</w:t>
            </w:r>
            <w:r>
              <w:rPr>
                <w:rFonts w:ascii="Times New Roman"/>
                <w:spacing w:val="-1"/>
                <w:sz w:val="20"/>
              </w:rPr>
            </w:r>
          </w:p>
        </w:tc>
      </w:tr>
    </w:tbl>
    <w:p>
      <w:pPr>
        <w:spacing w:line="240" w:lineRule="auto" w:before="11"/>
        <w:rPr>
          <w:rFonts w:ascii="宋体" w:hAnsi="宋体" w:cs="宋体" w:eastAsia="宋体" w:hint="default"/>
          <w:sz w:val="18"/>
          <w:szCs w:val="18"/>
        </w:rPr>
      </w:pPr>
    </w:p>
    <w:p>
      <w:pPr>
        <w:pStyle w:val="Heading3"/>
        <w:spacing w:line="240" w:lineRule="auto" w:before="26"/>
        <w:ind w:left="238" w:right="0"/>
        <w:jc w:val="both"/>
        <w:rPr>
          <w:b w:val="0"/>
          <w:bCs w:val="0"/>
        </w:rPr>
      </w:pPr>
      <w:r>
        <w:rPr/>
        <w:t>3、现金流量</w:t>
      </w:r>
      <w:r>
        <w:rPr>
          <w:b w:val="0"/>
          <w:bCs w:val="0"/>
        </w:rPr>
      </w:r>
    </w:p>
    <w:p>
      <w:pPr>
        <w:spacing w:line="240" w:lineRule="auto" w:before="12"/>
        <w:rPr>
          <w:rFonts w:ascii="宋体" w:hAnsi="宋体" w:cs="宋体" w:eastAsia="宋体" w:hint="default"/>
          <w:b/>
          <w:bCs/>
          <w:sz w:val="25"/>
          <w:szCs w:val="25"/>
        </w:rPr>
      </w:pPr>
    </w:p>
    <w:p>
      <w:pPr>
        <w:pStyle w:val="BodyText"/>
        <w:spacing w:line="312" w:lineRule="exact"/>
        <w:ind w:left="238" w:right="522"/>
        <w:jc w:val="both"/>
      </w:pPr>
      <w:r>
        <w:rPr/>
        <w:t>2008</w:t>
      </w:r>
      <w:r>
        <w:rPr>
          <w:spacing w:val="-57"/>
        </w:rPr>
        <w:t> </w:t>
      </w:r>
      <w:r>
        <w:rPr/>
        <w:t>年，公司现金净增加额为</w:t>
      </w:r>
      <w:r>
        <w:rPr>
          <w:spacing w:val="-57"/>
        </w:rPr>
        <w:t> </w:t>
      </w:r>
      <w:r>
        <w:rPr/>
        <w:t>3.35</w:t>
      </w:r>
      <w:r>
        <w:rPr>
          <w:spacing w:val="-57"/>
        </w:rPr>
        <w:t> </w:t>
      </w:r>
      <w:r>
        <w:rPr/>
        <w:t>亿元，其中经营性现金流净额为</w:t>
      </w:r>
      <w:r>
        <w:rPr>
          <w:spacing w:val="-57"/>
        </w:rPr>
        <w:t> </w:t>
      </w:r>
      <w:r>
        <w:rPr/>
        <w:t>0.48</w:t>
      </w:r>
      <w:r>
        <w:rPr>
          <w:spacing w:val="-56"/>
        </w:rPr>
        <w:t> </w:t>
      </w:r>
      <w:r>
        <w:rPr/>
        <w:t>亿元、投资性</w:t>
      </w:r>
      <w:r>
        <w:rPr/>
        <w:t> 现金流净额为-15.32</w:t>
      </w:r>
      <w:r>
        <w:rPr>
          <w:spacing w:val="-53"/>
        </w:rPr>
        <w:t> </w:t>
      </w:r>
      <w:r>
        <w:rPr/>
        <w:t>亿元，筹资活动净现金流量为</w:t>
      </w:r>
      <w:r>
        <w:rPr>
          <w:spacing w:val="-53"/>
        </w:rPr>
        <w:t> </w:t>
      </w:r>
      <w:r>
        <w:rPr/>
        <w:t>18.28</w:t>
      </w:r>
      <w:r>
        <w:rPr>
          <w:spacing w:val="-53"/>
        </w:rPr>
        <w:t> </w:t>
      </w:r>
      <w:r>
        <w:rPr/>
        <w:t>亿元。与上年同期相比，经营</w:t>
      </w:r>
      <w:r>
        <w:rPr/>
        <w:t> 性现金流净额同比减少</w:t>
      </w:r>
      <w:r>
        <w:rPr>
          <w:spacing w:val="-40"/>
        </w:rPr>
        <w:t> </w:t>
      </w:r>
      <w:r>
        <w:rPr/>
        <w:t>1.91</w:t>
      </w:r>
      <w:r>
        <w:rPr>
          <w:spacing w:val="-40"/>
        </w:rPr>
        <w:t> </w:t>
      </w:r>
      <w:r>
        <w:rPr/>
        <w:t>亿元，投资性现金流净额增加支出了</w:t>
      </w:r>
      <w:r>
        <w:rPr>
          <w:spacing w:val="-40"/>
        </w:rPr>
        <w:t> </w:t>
      </w:r>
      <w:r>
        <w:rPr/>
        <w:t>8.23</w:t>
      </w:r>
      <w:r>
        <w:rPr>
          <w:spacing w:val="-40"/>
        </w:rPr>
        <w:t> </w:t>
      </w:r>
      <w:r>
        <w:rPr/>
        <w:t>亿元，筹资性现</w:t>
      </w:r>
    </w:p>
    <w:p>
      <w:pPr>
        <w:pStyle w:val="BodyText"/>
        <w:spacing w:line="283" w:lineRule="exact"/>
        <w:ind w:left="238" w:right="0"/>
        <w:jc w:val="both"/>
      </w:pPr>
      <w:r>
        <w:rPr/>
        <w:t>金流净额同比增加了</w:t>
      </w:r>
      <w:r>
        <w:rPr>
          <w:spacing w:val="-60"/>
        </w:rPr>
        <w:t> </w:t>
      </w:r>
      <w:r>
        <w:rPr/>
        <w:t>3.85</w:t>
      </w:r>
      <w:r>
        <w:rPr>
          <w:spacing w:val="-60"/>
        </w:rPr>
        <w:t> </w:t>
      </w:r>
      <w:r>
        <w:rPr/>
        <w:t>亿元。</w:t>
      </w:r>
    </w:p>
    <w:p>
      <w:pPr>
        <w:spacing w:line="240" w:lineRule="auto" w:before="12"/>
        <w:rPr>
          <w:rFonts w:ascii="宋体" w:hAnsi="宋体" w:cs="宋体" w:eastAsia="宋体" w:hint="default"/>
          <w:sz w:val="23"/>
          <w:szCs w:val="23"/>
        </w:rPr>
      </w:pPr>
    </w:p>
    <w:p>
      <w:pPr>
        <w:pStyle w:val="BodyText"/>
        <w:spacing w:line="237" w:lineRule="auto"/>
        <w:ind w:left="238" w:right="520"/>
        <w:jc w:val="both"/>
      </w:pPr>
      <w:r>
        <w:rPr/>
        <w:t>报告期内，公司经营性现金流量净额与去年同期相比有所下降，主要系虽然公司采取了</w:t>
      </w:r>
      <w:r>
        <w:rPr>
          <w:spacing w:val="-47"/>
        </w:rPr>
        <w:t> </w:t>
      </w:r>
      <w:r>
        <w:rPr>
          <w:spacing w:val="-47"/>
        </w:rPr>
      </w:r>
      <w:r>
        <w:rPr/>
        <w:t>加大资金回收力度等措施以保证公司整体运行的安全和健康，然而受到宏观经济环境影</w:t>
      </w:r>
      <w:r>
        <w:rPr>
          <w:spacing w:val="-47"/>
        </w:rPr>
        <w:t> </w:t>
      </w:r>
      <w:r>
        <w:rPr>
          <w:spacing w:val="-47"/>
        </w:rPr>
      </w:r>
      <w:r>
        <w:rPr/>
        <w:t>响回款周期有所延迟。在投资活动产生的现金流方面，投资活动现金流量净额与上年相</w:t>
      </w:r>
      <w:r>
        <w:rPr>
          <w:spacing w:val="-47"/>
        </w:rPr>
        <w:t> </w:t>
      </w:r>
      <w:r>
        <w:rPr>
          <w:spacing w:val="-47"/>
        </w:rPr>
      </w:r>
      <w:r>
        <w:rPr/>
        <w:t>比增加支出了</w:t>
      </w:r>
      <w:r>
        <w:rPr>
          <w:spacing w:val="-56"/>
        </w:rPr>
        <w:t> </w:t>
      </w:r>
      <w:r>
        <w:rPr/>
        <w:t>8.23</w:t>
      </w:r>
      <w:r>
        <w:rPr>
          <w:spacing w:val="-56"/>
        </w:rPr>
        <w:t> </w:t>
      </w:r>
      <w:r>
        <w:rPr>
          <w:spacing w:val="-3"/>
        </w:rPr>
        <w:t>亿元，主要系本年不再纳入合并范围的同方环境股份有限公司货币资</w:t>
      </w:r>
      <w:r>
        <w:rPr>
          <w:spacing w:val="-116"/>
        </w:rPr>
        <w:t> </w:t>
      </w:r>
      <w:r>
        <w:rPr>
          <w:spacing w:val="-116"/>
        </w:rPr>
      </w:r>
      <w:r>
        <w:rPr/>
        <w:t>金余额、公司对配股募投项目投资、收购加拿大 Distech</w:t>
      </w:r>
      <w:r>
        <w:rPr>
          <w:spacing w:val="-40"/>
        </w:rPr>
        <w:t> </w:t>
      </w:r>
      <w:r>
        <w:rPr/>
        <w:t>公司等投资活动增加所致。报</w:t>
      </w:r>
      <w:r>
        <w:rPr/>
        <w:t> 告期内公司筹资性现金流量净额较上年增长了</w:t>
      </w:r>
      <w:r>
        <w:rPr>
          <w:spacing w:val="-66"/>
        </w:rPr>
        <w:t> </w:t>
      </w:r>
      <w:r>
        <w:rPr/>
        <w:t>3.85</w:t>
      </w:r>
      <w:r>
        <w:rPr>
          <w:spacing w:val="-66"/>
        </w:rPr>
        <w:t> </w:t>
      </w:r>
      <w:r>
        <w:rPr>
          <w:spacing w:val="-4"/>
        </w:rPr>
        <w:t>亿元，主要系公司于本年度实施了向</w:t>
      </w:r>
      <w:r>
        <w:rPr>
          <w:spacing w:val="-1"/>
        </w:rPr>
        <w:t> </w:t>
      </w:r>
      <w:r>
        <w:rPr/>
        <w:t>老股东配售股票的方案所致。总体来看，公司加大资金回收力度、确保资金资产安全的</w:t>
      </w:r>
      <w:r>
        <w:rPr>
          <w:spacing w:val="-47"/>
        </w:rPr>
        <w:t> </w:t>
      </w:r>
      <w:r>
        <w:rPr>
          <w:spacing w:val="-47"/>
        </w:rPr>
      </w:r>
      <w:r>
        <w:rPr/>
        <w:t>经营策略取得初步成效，公司整体现金流量情况保持了良好的态势。</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公司</w:t>
      </w:r>
      <w:r>
        <w:rPr>
          <w:spacing w:val="-60"/>
        </w:rPr>
        <w:t> </w:t>
      </w:r>
      <w:r>
        <w:rPr/>
        <w:t>2008</w:t>
      </w:r>
      <w:r>
        <w:rPr>
          <w:spacing w:val="-60"/>
        </w:rPr>
        <w:t> </w:t>
      </w:r>
      <w:r>
        <w:rPr/>
        <w:t>年现金流量表的各项财务指标如下：</w:t>
      </w:r>
    </w:p>
    <w:p>
      <w:pPr>
        <w:spacing w:line="240" w:lineRule="auto" w:before="8"/>
        <w:rPr>
          <w:rFonts w:ascii="宋体" w:hAnsi="宋体" w:cs="宋体" w:eastAsia="宋体" w:hint="default"/>
          <w:sz w:val="26"/>
          <w:szCs w:val="26"/>
        </w:rPr>
      </w:pPr>
    </w:p>
    <w:tbl>
      <w:tblPr>
        <w:tblW w:w="0" w:type="auto"/>
        <w:jc w:val="left"/>
        <w:tblInd w:w="207" w:type="dxa"/>
        <w:tblLayout w:type="fixed"/>
        <w:tblCellMar>
          <w:top w:w="0" w:type="dxa"/>
          <w:left w:w="0" w:type="dxa"/>
          <w:bottom w:w="0" w:type="dxa"/>
          <w:right w:w="0" w:type="dxa"/>
        </w:tblCellMar>
        <w:tblLook w:val="01E0"/>
      </w:tblPr>
      <w:tblGrid>
        <w:gridCol w:w="3256"/>
        <w:gridCol w:w="1800"/>
        <w:gridCol w:w="1980"/>
        <w:gridCol w:w="1979"/>
      </w:tblGrid>
      <w:tr>
        <w:trPr>
          <w:trHeight w:val="334" w:hRule="exact"/>
        </w:trPr>
        <w:tc>
          <w:tcPr>
            <w:tcW w:w="3256"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981"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54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63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79" w:type="dxa"/>
            <w:tcBorders>
              <w:top w:val="single" w:sz="12" w:space="0" w:color="000000"/>
              <w:left w:val="single" w:sz="6" w:space="0" w:color="000000"/>
              <w:bottom w:val="single" w:sz="6" w:space="0" w:color="000000"/>
              <w:right w:val="single" w:sz="12" w:space="0" w:color="000000"/>
            </w:tcBorders>
          </w:tcPr>
          <w:p>
            <w:pPr>
              <w:pStyle w:val="TableParagraph"/>
              <w:spacing w:line="276" w:lineRule="exact"/>
              <w:ind w:left="63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6" w:hRule="exact"/>
        </w:trPr>
        <w:tc>
          <w:tcPr>
            <w:tcW w:w="3256"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经营性现金流净额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47,575,992.00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238,087,291.15</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276,124,075.99</w:t>
            </w:r>
          </w:p>
        </w:tc>
      </w:tr>
      <w:tr>
        <w:trPr>
          <w:trHeight w:val="328" w:hRule="exact"/>
        </w:trPr>
        <w:tc>
          <w:tcPr>
            <w:tcW w:w="3256"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投资性现金流净额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-1,531,902,318.77</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-708,882,822.14</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-338,198,642.25</w:t>
            </w:r>
          </w:p>
        </w:tc>
      </w:tr>
      <w:tr>
        <w:trPr>
          <w:trHeight w:val="326" w:hRule="exact"/>
        </w:trPr>
        <w:tc>
          <w:tcPr>
            <w:tcW w:w="325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筹资性现金流净额(元)</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1,827,570,849.83</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1,442,990,261.44</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385,983,824.39</w:t>
            </w:r>
          </w:p>
        </w:tc>
      </w:tr>
      <w:tr>
        <w:trPr>
          <w:trHeight w:val="328" w:hRule="exact"/>
        </w:trPr>
        <w:tc>
          <w:tcPr>
            <w:tcW w:w="3256"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其中：长短期借款净增加额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-306,784,444.69</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504,872,803.09</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321,290,000.00</w:t>
            </w:r>
          </w:p>
        </w:tc>
      </w:tr>
      <w:tr>
        <w:trPr>
          <w:trHeight w:val="334" w:hRule="exact"/>
        </w:trPr>
        <w:tc>
          <w:tcPr>
            <w:tcW w:w="3256"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经营性现金流净额与流动负债比</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0.03</w:t>
            </w:r>
          </w:p>
        </w:tc>
        <w:tc>
          <w:tcPr>
            <w:tcW w:w="19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0.04</w:t>
            </w:r>
          </w:p>
        </w:tc>
      </w:tr>
    </w:tbl>
    <w:p>
      <w:pPr>
        <w:spacing w:line="240" w:lineRule="auto" w:before="11"/>
        <w:rPr>
          <w:rFonts w:ascii="宋体" w:hAnsi="宋体" w:cs="宋体" w:eastAsia="宋体" w:hint="default"/>
          <w:sz w:val="18"/>
          <w:szCs w:val="18"/>
        </w:rPr>
      </w:pPr>
    </w:p>
    <w:p>
      <w:pPr>
        <w:pStyle w:val="Heading3"/>
        <w:spacing w:line="240" w:lineRule="auto" w:before="26"/>
        <w:ind w:left="238" w:right="0"/>
        <w:jc w:val="left"/>
        <w:rPr>
          <w:b w:val="0"/>
          <w:bCs w:val="0"/>
        </w:rPr>
      </w:pPr>
      <w:r>
        <w:rPr/>
        <w:t>4、与公允价值计量相关的项目</w:t>
      </w:r>
      <w:r>
        <w:rPr>
          <w:b w:val="0"/>
          <w:bCs w:val="0"/>
        </w:rPr>
      </w:r>
    </w:p>
    <w:p>
      <w:pPr>
        <w:spacing w:line="240" w:lineRule="auto" w:before="9"/>
        <w:rPr>
          <w:rFonts w:ascii="宋体" w:hAnsi="宋体" w:cs="宋体" w:eastAsia="宋体" w:hint="default"/>
          <w:b/>
          <w:bCs/>
          <w:sz w:val="26"/>
          <w:szCs w:val="26"/>
        </w:rPr>
      </w:pPr>
    </w:p>
    <w:tbl>
      <w:tblPr>
        <w:tblW w:w="0" w:type="auto"/>
        <w:jc w:val="left"/>
        <w:tblInd w:w="207" w:type="dxa"/>
        <w:tblLayout w:type="fixed"/>
        <w:tblCellMar>
          <w:top w:w="0" w:type="dxa"/>
          <w:left w:w="0" w:type="dxa"/>
          <w:bottom w:w="0" w:type="dxa"/>
          <w:right w:w="0" w:type="dxa"/>
        </w:tblCellMar>
        <w:tblLook w:val="01E0"/>
      </w:tblPr>
      <w:tblGrid>
        <w:gridCol w:w="2561"/>
        <w:gridCol w:w="1480"/>
        <w:gridCol w:w="1560"/>
        <w:gridCol w:w="1560"/>
        <w:gridCol w:w="960"/>
        <w:gridCol w:w="1480"/>
      </w:tblGrid>
      <w:tr>
        <w:trPr>
          <w:trHeight w:val="649" w:hRule="exact"/>
        </w:trPr>
        <w:tc>
          <w:tcPr>
            <w:tcW w:w="2561" w:type="dxa"/>
            <w:tcBorders>
              <w:top w:val="single" w:sz="12" w:space="0" w:color="000000"/>
              <w:left w:val="single" w:sz="12" w:space="0" w:color="000000"/>
              <w:bottom w:val="single" w:sz="8" w:space="0" w:color="000000"/>
              <w:right w:val="single" w:sz="8" w:space="0" w:color="000000"/>
            </w:tcBorders>
          </w:tcPr>
          <w:p>
            <w:pPr>
              <w:pStyle w:val="TableParagraph"/>
              <w:spacing w:line="316" w:lineRule="auto" w:before="10"/>
              <w:ind w:left="904" w:right="90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pacing w:val="1"/>
                <w:w w:val="99"/>
                <w:sz w:val="18"/>
                <w:szCs w:val="18"/>
              </w:rPr>
              <w:t> </w:t>
            </w:r>
            <w:r>
              <w:rPr>
                <w:rFonts w:ascii="宋体" w:hAnsi="宋体" w:cs="宋体" w:eastAsia="宋体" w:hint="default"/>
                <w:b/>
                <w:bCs/>
                <w:sz w:val="18"/>
                <w:szCs w:val="18"/>
              </w:rPr>
              <w:t>单位：元</w:t>
            </w:r>
            <w:r>
              <w:rPr>
                <w:rFonts w:ascii="宋体" w:hAnsi="宋体" w:cs="宋体" w:eastAsia="宋体" w:hint="default"/>
                <w:sz w:val="18"/>
                <w:szCs w:val="18"/>
              </w:rPr>
            </w:r>
          </w:p>
        </w:tc>
        <w:tc>
          <w:tcPr>
            <w:tcW w:w="14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10"/>
              <w:ind w:left="497" w:right="137" w:hanging="361"/>
              <w:jc w:val="left"/>
              <w:rPr>
                <w:rFonts w:ascii="宋体" w:hAnsi="宋体" w:cs="宋体" w:eastAsia="宋体" w:hint="default"/>
                <w:sz w:val="18"/>
                <w:szCs w:val="18"/>
              </w:rPr>
            </w:pPr>
            <w:r>
              <w:rPr>
                <w:rFonts w:ascii="宋体" w:hAnsi="宋体" w:cs="宋体" w:eastAsia="宋体" w:hint="default"/>
                <w:b/>
                <w:bCs/>
                <w:sz w:val="18"/>
                <w:szCs w:val="18"/>
              </w:rPr>
              <w:t>本期公允价值变</w:t>
            </w:r>
            <w:r>
              <w:rPr>
                <w:rFonts w:ascii="宋体" w:hAnsi="宋体" w:cs="宋体" w:eastAsia="宋体" w:hint="default"/>
                <w:b/>
                <w:bCs/>
                <w:w w:val="99"/>
                <w:sz w:val="18"/>
                <w:szCs w:val="18"/>
              </w:rPr>
              <w:t> </w:t>
            </w:r>
            <w:r>
              <w:rPr>
                <w:rFonts w:ascii="宋体" w:hAnsi="宋体" w:cs="宋体" w:eastAsia="宋体" w:hint="default"/>
                <w:b/>
                <w:bCs/>
                <w:sz w:val="18"/>
                <w:szCs w:val="18"/>
              </w:rPr>
              <w:t>动损益</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10"/>
              <w:ind w:left="228" w:right="137" w:hanging="90"/>
              <w:jc w:val="left"/>
              <w:rPr>
                <w:rFonts w:ascii="宋体" w:hAnsi="宋体" w:cs="宋体" w:eastAsia="宋体" w:hint="default"/>
                <w:sz w:val="18"/>
                <w:szCs w:val="18"/>
              </w:rPr>
            </w:pPr>
            <w:r>
              <w:rPr>
                <w:rFonts w:ascii="宋体" w:hAnsi="宋体" w:cs="宋体" w:eastAsia="宋体" w:hint="default"/>
                <w:b/>
                <w:bCs/>
                <w:sz w:val="18"/>
                <w:szCs w:val="18"/>
              </w:rPr>
              <w:t>计入权益的累计</w:t>
            </w:r>
            <w:r>
              <w:rPr>
                <w:rFonts w:ascii="宋体" w:hAnsi="宋体" w:cs="宋体" w:eastAsia="宋体" w:hint="default"/>
                <w:b/>
                <w:bCs/>
                <w:w w:val="99"/>
                <w:sz w:val="18"/>
                <w:szCs w:val="18"/>
              </w:rPr>
              <w:t> </w:t>
            </w: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960"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10"/>
              <w:ind w:left="198" w:right="107" w:hanging="89"/>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b/>
                <w:bCs/>
                <w:w w:val="99"/>
                <w:sz w:val="18"/>
                <w:szCs w:val="18"/>
              </w:rPr>
              <w:t> </w:t>
            </w:r>
            <w:r>
              <w:rPr>
                <w:rFonts w:ascii="宋体" w:hAnsi="宋体" w:cs="宋体" w:eastAsia="宋体" w:hint="default"/>
                <w:b/>
                <w:bCs/>
                <w:sz w:val="18"/>
                <w:szCs w:val="18"/>
              </w:rPr>
              <w:t>的减值</w:t>
            </w:r>
            <w:r>
              <w:rPr>
                <w:rFonts w:ascii="宋体" w:hAnsi="宋体" w:cs="宋体" w:eastAsia="宋体" w:hint="default"/>
                <w:sz w:val="18"/>
                <w:szCs w:val="18"/>
              </w:rPr>
            </w:r>
          </w:p>
        </w:tc>
        <w:tc>
          <w:tcPr>
            <w:tcW w:w="1480"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332" w:hRule="exact"/>
        </w:trPr>
        <w:tc>
          <w:tcPr>
            <w:tcW w:w="9601" w:type="dxa"/>
            <w:gridSpan w:val="6"/>
            <w:tcBorders>
              <w:top w:val="single" w:sz="8" w:space="0" w:color="000000"/>
              <w:left w:val="single" w:sz="12" w:space="0" w:color="000000"/>
              <w:bottom w:val="single" w:sz="8" w:space="0" w:color="000000"/>
              <w:right w:val="single" w:sz="12"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headerReference w:type="default" r:id="rId21"/>
          <w:pgSz w:w="11910" w:h="16840"/>
          <w:pgMar w:header="610" w:footer="764" w:top="1080" w:bottom="980" w:left="1180" w:right="76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tbl>
      <w:tblPr>
        <w:tblW w:w="0" w:type="auto"/>
        <w:jc w:val="left"/>
        <w:tblInd w:w="207" w:type="dxa"/>
        <w:tblLayout w:type="fixed"/>
        <w:tblCellMar>
          <w:top w:w="0" w:type="dxa"/>
          <w:left w:w="0" w:type="dxa"/>
          <w:bottom w:w="0" w:type="dxa"/>
          <w:right w:w="0" w:type="dxa"/>
        </w:tblCellMar>
        <w:tblLook w:val="01E0"/>
      </w:tblPr>
      <w:tblGrid>
        <w:gridCol w:w="2561"/>
        <w:gridCol w:w="1480"/>
        <w:gridCol w:w="1560"/>
        <w:gridCol w:w="1560"/>
        <w:gridCol w:w="960"/>
        <w:gridCol w:w="1480"/>
      </w:tblGrid>
      <w:tr>
        <w:trPr>
          <w:trHeight w:val="632" w:hRule="exact"/>
        </w:trPr>
        <w:tc>
          <w:tcPr>
            <w:tcW w:w="2561" w:type="dxa"/>
            <w:tcBorders>
              <w:top w:val="nil" w:sz="6" w:space="0" w:color="auto"/>
              <w:left w:val="single" w:sz="12" w:space="0" w:color="000000"/>
              <w:bottom w:val="single" w:sz="8" w:space="0" w:color="000000"/>
              <w:right w:val="single" w:sz="8" w:space="0" w:color="000000"/>
            </w:tcBorders>
          </w:tcPr>
          <w:p>
            <w:pPr>
              <w:pStyle w:val="TableParagraph"/>
              <w:spacing w:line="316" w:lineRule="auto" w:before="10"/>
              <w:ind w:left="94" w:right="96" w:firstLine="90"/>
              <w:jc w:val="left"/>
              <w:rPr>
                <w:rFonts w:ascii="宋体" w:hAnsi="宋体" w:cs="宋体" w:eastAsia="宋体" w:hint="default"/>
                <w:sz w:val="18"/>
                <w:szCs w:val="18"/>
              </w:rPr>
            </w:pPr>
            <w:r>
              <w:rPr>
                <w:rFonts w:ascii="宋体" w:hAnsi="宋体" w:cs="宋体" w:eastAsia="宋体" w:hint="default"/>
                <w:spacing w:val="-7"/>
                <w:sz w:val="18"/>
                <w:szCs w:val="18"/>
              </w:rPr>
              <w:t>其中：1.以公允价值计量且其</w:t>
            </w:r>
            <w:r>
              <w:rPr>
                <w:rFonts w:ascii="宋体" w:hAnsi="宋体" w:cs="宋体" w:eastAsia="宋体" w:hint="default"/>
                <w:sz w:val="18"/>
                <w:szCs w:val="18"/>
              </w:rPr>
              <w:t> 变动计入当期损益的金融资产</w:t>
            </w:r>
          </w:p>
        </w:tc>
        <w:tc>
          <w:tcPr>
            <w:tcW w:w="14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43,557,514.85</w:t>
            </w:r>
          </w:p>
        </w:tc>
        <w:tc>
          <w:tcPr>
            <w:tcW w:w="15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left="84" w:right="0"/>
              <w:jc w:val="center"/>
              <w:rPr>
                <w:rFonts w:ascii="宋体" w:hAnsi="宋体" w:cs="宋体" w:eastAsia="宋体" w:hint="default"/>
                <w:sz w:val="18"/>
                <w:szCs w:val="18"/>
              </w:rPr>
            </w:pPr>
            <w:r>
              <w:rPr>
                <w:rFonts w:ascii="宋体"/>
                <w:sz w:val="18"/>
              </w:rPr>
              <w:t>-15,528,177.17</w:t>
            </w:r>
          </w:p>
        </w:tc>
        <w:tc>
          <w:tcPr>
            <w:tcW w:w="15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-15,528,177.17</w:t>
            </w:r>
          </w:p>
        </w:tc>
        <w:tc>
          <w:tcPr>
            <w:tcW w:w="9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0.00</w:t>
            </w:r>
          </w:p>
        </w:tc>
        <w:tc>
          <w:tcPr>
            <w:tcW w:w="1480" w:type="dxa"/>
            <w:tcBorders>
              <w:top w:val="nil" w:sz="6" w:space="0" w:color="auto"/>
              <w:left w:val="single" w:sz="8" w:space="0" w:color="000000"/>
              <w:bottom w:val="single" w:sz="8" w:space="0" w:color="000000"/>
              <w:right w:val="single" w:sz="12"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28,029,337.68</w:t>
            </w: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right="191"/>
              <w:jc w:val="righ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right="191"/>
              <w:jc w:val="right"/>
              <w:rPr>
                <w:rFonts w:ascii="宋体" w:hAnsi="宋体" w:cs="宋体" w:eastAsia="宋体" w:hint="default"/>
                <w:sz w:val="18"/>
                <w:szCs w:val="18"/>
              </w:rPr>
            </w:pPr>
            <w:r>
              <w:rPr>
                <w:rFonts w:ascii="宋体" w:hAnsi="宋体" w:cs="宋体" w:eastAsia="宋体" w:hint="default"/>
                <w:sz w:val="18"/>
                <w:szCs w:val="18"/>
              </w:rPr>
              <w:t>2.可供出售金融资产</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27,253,121.49</w:t>
            </w: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-21,797,956.17</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0.00</w:t>
            </w: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91"/>
              <w:jc w:val="right"/>
              <w:rPr>
                <w:rFonts w:ascii="宋体" w:hAnsi="宋体" w:cs="宋体" w:eastAsia="宋体" w:hint="default"/>
                <w:sz w:val="18"/>
                <w:szCs w:val="18"/>
              </w:rPr>
            </w:pPr>
            <w:r>
              <w:rPr>
                <w:rFonts w:ascii="宋体"/>
                <w:sz w:val="18"/>
              </w:rPr>
              <w:t>5,455,165.32</w:t>
            </w:r>
          </w:p>
        </w:tc>
      </w:tr>
      <w:tr>
        <w:trPr>
          <w:trHeight w:val="331"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70,810,636.34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84" w:right="0"/>
              <w:jc w:val="center"/>
              <w:rPr>
                <w:rFonts w:ascii="宋体" w:hAnsi="宋体" w:cs="宋体" w:eastAsia="宋体" w:hint="default"/>
                <w:sz w:val="18"/>
                <w:szCs w:val="18"/>
              </w:rPr>
            </w:pPr>
            <w:r>
              <w:rPr>
                <w:rFonts w:ascii="宋体"/>
                <w:sz w:val="18"/>
              </w:rPr>
              <w:t>-15,528,177.17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-37,326,133.34</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0.00</w:t>
            </w: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91"/>
              <w:jc w:val="right"/>
              <w:rPr>
                <w:rFonts w:ascii="宋体" w:hAnsi="宋体" w:cs="宋体" w:eastAsia="宋体" w:hint="default"/>
                <w:sz w:val="18"/>
                <w:szCs w:val="18"/>
              </w:rPr>
            </w:pPr>
            <w:r>
              <w:rPr>
                <w:rFonts w:ascii="宋体"/>
                <w:sz w:val="18"/>
              </w:rPr>
              <w:t>33,484,503.00</w:t>
            </w: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1"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2"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38" w:hRule="exact"/>
        </w:trPr>
        <w:tc>
          <w:tcPr>
            <w:tcW w:w="2561"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70,810,636.34</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left="84" w:right="0"/>
              <w:jc w:val="center"/>
              <w:rPr>
                <w:rFonts w:ascii="宋体" w:hAnsi="宋体" w:cs="宋体" w:eastAsia="宋体" w:hint="default"/>
                <w:sz w:val="18"/>
                <w:szCs w:val="18"/>
              </w:rPr>
            </w:pPr>
            <w:r>
              <w:rPr>
                <w:rFonts w:ascii="宋体"/>
                <w:sz w:val="18"/>
              </w:rPr>
              <w:t>-15,528,177.17</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-37,326,133.34</w:t>
            </w:r>
          </w:p>
        </w:tc>
        <w:tc>
          <w:tcPr>
            <w:tcW w:w="9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0.00</w:t>
            </w:r>
          </w:p>
        </w:tc>
        <w:tc>
          <w:tcPr>
            <w:tcW w:w="1480"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1"/>
              <w:ind w:right="91"/>
              <w:jc w:val="right"/>
              <w:rPr>
                <w:rFonts w:ascii="宋体" w:hAnsi="宋体" w:cs="宋体" w:eastAsia="宋体" w:hint="default"/>
                <w:sz w:val="18"/>
                <w:szCs w:val="18"/>
              </w:rPr>
            </w:pPr>
            <w:r>
              <w:rPr>
                <w:rFonts w:ascii="宋体"/>
                <w:sz w:val="18"/>
              </w:rPr>
              <w:t>33,484,503.00</w:t>
            </w:r>
          </w:p>
        </w:tc>
      </w:tr>
    </w:tbl>
    <w:p>
      <w:pPr>
        <w:spacing w:line="240" w:lineRule="auto" w:before="11"/>
        <w:rPr>
          <w:rFonts w:ascii="宋体" w:hAnsi="宋体" w:cs="宋体" w:eastAsia="宋体" w:hint="default"/>
          <w:b/>
          <w:bCs/>
          <w:sz w:val="18"/>
          <w:szCs w:val="18"/>
        </w:rPr>
      </w:pPr>
    </w:p>
    <w:p>
      <w:pPr>
        <w:pStyle w:val="BodyText"/>
        <w:spacing w:line="312" w:lineRule="exact" w:before="56"/>
        <w:ind w:left="238" w:right="0"/>
        <w:jc w:val="left"/>
      </w:pPr>
      <w:r>
        <w:rPr/>
        <w:t>其中： 以公允价值计量且其变动计入当期损益的金融资产为公司持有的基金，本期公允价值发</w:t>
      </w:r>
      <w:r>
        <w:rPr>
          <w:spacing w:val="-47"/>
        </w:rPr>
        <w:t> </w:t>
      </w:r>
      <w:r>
        <w:rPr>
          <w:spacing w:val="-47"/>
        </w:rPr>
      </w:r>
      <w:r>
        <w:rPr/>
        <w:t>生变动主要系基金市值发生变动所致；</w:t>
      </w:r>
      <w:r>
        <w:rPr/>
        <w:t> 可供出售金融资产为公司持有的首旅股份、北京银行股票，本期公允价值发生变动主要</w:t>
      </w:r>
      <w:r>
        <w:rPr>
          <w:spacing w:val="-47"/>
        </w:rPr>
        <w:t> </w:t>
      </w:r>
      <w:r>
        <w:rPr>
          <w:spacing w:val="-47"/>
        </w:rPr>
      </w:r>
      <w:r>
        <w:rPr/>
        <w:t>系公司出售了持有的首旅股份股票所致。</w:t>
      </w:r>
    </w:p>
    <w:p>
      <w:pPr>
        <w:spacing w:line="240" w:lineRule="auto" w:before="6"/>
        <w:rPr>
          <w:rFonts w:ascii="宋体" w:hAnsi="宋体" w:cs="宋体" w:eastAsia="宋体" w:hint="default"/>
          <w:sz w:val="21"/>
          <w:szCs w:val="21"/>
        </w:rPr>
      </w:pPr>
    </w:p>
    <w:p>
      <w:pPr>
        <w:pStyle w:val="Heading3"/>
        <w:spacing w:line="240" w:lineRule="auto"/>
        <w:ind w:left="238" w:right="0"/>
        <w:jc w:val="left"/>
        <w:rPr>
          <w:b w:val="0"/>
          <w:bCs w:val="0"/>
        </w:rPr>
      </w:pPr>
      <w:r>
        <w:rPr/>
        <w:t>5、持有外币金融资产的情况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238" w:right="0"/>
        <w:jc w:val="left"/>
      </w:pPr>
      <w:r>
        <w:rPr/>
        <w:t>截至</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日，公司不持有外币金融资产、金融负债。</w:t>
      </w:r>
    </w:p>
    <w:p>
      <w:pPr>
        <w:spacing w:line="240" w:lineRule="auto" w:before="2"/>
        <w:rPr>
          <w:rFonts w:ascii="宋体" w:hAnsi="宋体" w:cs="宋体" w:eastAsia="宋体" w:hint="default"/>
          <w:sz w:val="23"/>
          <w:szCs w:val="23"/>
        </w:rPr>
      </w:pPr>
    </w:p>
    <w:p>
      <w:pPr>
        <w:pStyle w:val="Heading2"/>
        <w:spacing w:line="240" w:lineRule="auto"/>
        <w:ind w:right="0"/>
        <w:jc w:val="left"/>
        <w:rPr>
          <w:b w:val="0"/>
          <w:bCs w:val="0"/>
        </w:rPr>
      </w:pPr>
      <w:r>
        <w:rPr/>
        <w:t>(四)公司投资情况</w:t>
      </w:r>
      <w:r>
        <w:rPr>
          <w:b w:val="0"/>
          <w:bCs w:val="0"/>
        </w:rPr>
      </w:r>
    </w:p>
    <w:p>
      <w:pPr>
        <w:spacing w:line="240" w:lineRule="auto" w:before="1"/>
        <w:rPr>
          <w:rFonts w:ascii="宋体" w:hAnsi="宋体" w:cs="宋体" w:eastAsia="宋体" w:hint="default"/>
          <w:b/>
          <w:bCs/>
          <w:sz w:val="21"/>
          <w:szCs w:val="21"/>
        </w:rPr>
      </w:pPr>
    </w:p>
    <w:p>
      <w:pPr>
        <w:pStyle w:val="Heading3"/>
        <w:spacing w:line="240" w:lineRule="auto"/>
        <w:ind w:left="238" w:right="0"/>
        <w:jc w:val="left"/>
        <w:rPr>
          <w:b w:val="0"/>
          <w:bCs w:val="0"/>
        </w:rPr>
      </w:pPr>
      <w:r>
        <w:rPr/>
        <w:t>1、募集资金使用情况</w:t>
      </w:r>
      <w:r>
        <w:rPr>
          <w:b w:val="0"/>
          <w:bCs w:val="0"/>
        </w:rPr>
      </w:r>
    </w:p>
    <w:p>
      <w:pPr>
        <w:spacing w:line="240" w:lineRule="auto" w:before="8"/>
        <w:rPr>
          <w:rFonts w:ascii="宋体" w:hAnsi="宋体" w:cs="宋体" w:eastAsia="宋体" w:hint="default"/>
          <w:b/>
          <w:bCs/>
          <w:sz w:val="23"/>
          <w:szCs w:val="23"/>
        </w:rPr>
      </w:pPr>
    </w:p>
    <w:p>
      <w:pPr>
        <w:spacing w:before="0"/>
        <w:ind w:left="238" w:right="0" w:firstLine="0"/>
        <w:jc w:val="left"/>
        <w:rPr>
          <w:rFonts w:ascii="宋体" w:hAnsi="宋体" w:cs="宋体" w:eastAsia="宋体" w:hint="default"/>
          <w:sz w:val="24"/>
          <w:szCs w:val="24"/>
        </w:rPr>
      </w:pPr>
      <w:r>
        <w:rPr>
          <w:rFonts w:ascii="宋体" w:hAnsi="宋体" w:cs="宋体" w:eastAsia="宋体" w:hint="default"/>
          <w:b/>
          <w:bCs/>
          <w:sz w:val="24"/>
          <w:szCs w:val="24"/>
        </w:rPr>
        <w:t>A．2007</w:t>
      </w:r>
      <w:r>
        <w:rPr>
          <w:rFonts w:ascii="宋体" w:hAnsi="宋体" w:cs="宋体" w:eastAsia="宋体" w:hint="default"/>
          <w:b/>
          <w:bCs/>
          <w:spacing w:val="-60"/>
          <w:sz w:val="24"/>
          <w:szCs w:val="24"/>
        </w:rPr>
        <w:t> </w:t>
      </w:r>
      <w:r>
        <w:rPr>
          <w:rFonts w:ascii="宋体" w:hAnsi="宋体" w:cs="宋体" w:eastAsia="宋体" w:hint="default"/>
          <w:b/>
          <w:bCs/>
          <w:sz w:val="24"/>
          <w:szCs w:val="24"/>
        </w:rPr>
        <w:t>年度非公开发行股票募集资金使用情况</w:t>
      </w:r>
      <w:r>
        <w:rPr>
          <w:rFonts w:ascii="宋体" w:hAnsi="宋体" w:cs="宋体" w:eastAsia="宋体" w:hint="default"/>
          <w:sz w:val="24"/>
          <w:szCs w:val="24"/>
        </w:rPr>
      </w:r>
    </w:p>
    <w:p>
      <w:pPr>
        <w:spacing w:line="240" w:lineRule="auto" w:before="8"/>
        <w:rPr>
          <w:rFonts w:ascii="宋体" w:hAnsi="宋体" w:cs="宋体" w:eastAsia="宋体" w:hint="default"/>
          <w:b/>
          <w:bCs/>
          <w:sz w:val="23"/>
          <w:szCs w:val="23"/>
        </w:rPr>
      </w:pPr>
    </w:p>
    <w:p>
      <w:pPr>
        <w:pStyle w:val="BodyText"/>
        <w:spacing w:line="312" w:lineRule="exact"/>
        <w:ind w:left="238" w:right="0"/>
        <w:jc w:val="left"/>
      </w:pPr>
      <w:r>
        <w:rPr/>
        <w:t>2007</w:t>
      </w:r>
      <w:r>
        <w:rPr>
          <w:spacing w:val="-53"/>
        </w:rPr>
        <w:t> </w:t>
      </w:r>
      <w:r>
        <w:rPr/>
        <w:t>年，公司通过非公开发行股票方式募集资金</w:t>
      </w:r>
      <w:r>
        <w:rPr>
          <w:spacing w:val="-53"/>
        </w:rPr>
        <w:t> </w:t>
      </w:r>
      <w:r>
        <w:rPr/>
        <w:t>122,880</w:t>
      </w:r>
      <w:r>
        <w:rPr>
          <w:spacing w:val="-53"/>
        </w:rPr>
        <w:t> </w:t>
      </w:r>
      <w:r>
        <w:rPr/>
        <w:t>万元，截至本报告期末，公司</w:t>
      </w:r>
    </w:p>
    <w:p>
      <w:pPr>
        <w:pStyle w:val="BodyText"/>
        <w:spacing w:line="237" w:lineRule="auto" w:before="1"/>
        <w:ind w:left="238" w:right="520"/>
        <w:jc w:val="both"/>
      </w:pPr>
      <w:r>
        <w:rPr/>
        <w:t>已累计使用募集资金总额为</w:t>
      </w:r>
      <w:r>
        <w:rPr>
          <w:spacing w:val="-65"/>
        </w:rPr>
        <w:t> </w:t>
      </w:r>
      <w:r>
        <w:rPr/>
        <w:t>107,390.28</w:t>
      </w:r>
      <w:r>
        <w:rPr>
          <w:spacing w:val="-65"/>
        </w:rPr>
        <w:t> </w:t>
      </w:r>
      <w:r>
        <w:rPr>
          <w:spacing w:val="-4"/>
        </w:rPr>
        <w:t>万元，尚未使用的募集资金金额为</w:t>
      </w:r>
      <w:r>
        <w:rPr>
          <w:spacing w:val="-65"/>
        </w:rPr>
        <w:t> </w:t>
      </w:r>
      <w:r>
        <w:rPr/>
        <w:t>15,489.72</w:t>
      </w:r>
      <w:r>
        <w:rPr>
          <w:spacing w:val="-65"/>
        </w:rPr>
        <w:t> </w:t>
      </w:r>
      <w:r>
        <w:rPr/>
        <w:t>万</w:t>
      </w:r>
      <w:r>
        <w:rPr/>
        <w:t> 元，尚未使用的募集资金将根据公司发行情况报告书刊载的使用计划和实际使用进度，</w:t>
      </w:r>
      <w:r>
        <w:rPr>
          <w:spacing w:val="-47"/>
        </w:rPr>
        <w:t> </w:t>
      </w:r>
      <w:r>
        <w:rPr>
          <w:spacing w:val="-47"/>
        </w:rPr>
      </w:r>
      <w:r>
        <w:rPr/>
        <w:t>未来投入到基于 ezONE</w:t>
      </w:r>
      <w:r>
        <w:rPr>
          <w:spacing w:val="-40"/>
        </w:rPr>
        <w:t> </w:t>
      </w:r>
      <w:r>
        <w:rPr/>
        <w:t>业务基础平台的数字城市应用技术与信息系统开发与产业化项目</w:t>
      </w:r>
      <w:r>
        <w:rPr/>
        <w:t> 中。</w:t>
      </w:r>
    </w:p>
    <w:p>
      <w:pPr>
        <w:spacing w:line="240" w:lineRule="auto" w:before="8"/>
        <w:rPr>
          <w:rFonts w:ascii="宋体" w:hAnsi="宋体" w:cs="宋体" w:eastAsia="宋体" w:hint="default"/>
          <w:sz w:val="23"/>
          <w:szCs w:val="23"/>
        </w:rPr>
      </w:pPr>
    </w:p>
    <w:p>
      <w:pPr>
        <w:pStyle w:val="BodyText"/>
        <w:spacing w:line="240" w:lineRule="auto"/>
        <w:ind w:left="238" w:right="0"/>
        <w:jc w:val="left"/>
      </w:pPr>
      <w:r>
        <w:rPr/>
        <w:t>募集资金投资具体投资项目如下：</w:t>
      </w:r>
    </w:p>
    <w:p>
      <w:pPr>
        <w:spacing w:line="240" w:lineRule="auto" w:before="1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16"/>
        <w:gridCol w:w="2782"/>
        <w:gridCol w:w="3305"/>
        <w:gridCol w:w="2015"/>
      </w:tblGrid>
      <w:tr>
        <w:trPr>
          <w:trHeight w:val="295" w:hRule="exact"/>
        </w:trPr>
        <w:tc>
          <w:tcPr>
            <w:tcW w:w="1316"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序号</w:t>
            </w:r>
          </w:p>
        </w:tc>
        <w:tc>
          <w:tcPr>
            <w:tcW w:w="608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项目内容</w:t>
            </w:r>
          </w:p>
        </w:tc>
        <w:tc>
          <w:tcPr>
            <w:tcW w:w="201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投资总额(万元)</w:t>
            </w:r>
          </w:p>
        </w:tc>
      </w:tr>
      <w:tr>
        <w:trPr>
          <w:trHeight w:val="560" w:hRule="exact"/>
        </w:trPr>
        <w:tc>
          <w:tcPr>
            <w:tcW w:w="13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sz w:val="21"/>
              </w:rPr>
              <w:t>1</w:t>
            </w:r>
          </w:p>
        </w:tc>
        <w:tc>
          <w:tcPr>
            <w:tcW w:w="6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7"/>
                <w:sz w:val="21"/>
                <w:szCs w:val="21"/>
              </w:rPr>
              <w:t> </w:t>
            </w:r>
            <w:r>
              <w:rPr>
                <w:rFonts w:ascii="宋体" w:hAnsi="宋体" w:cs="宋体" w:eastAsia="宋体" w:hint="default"/>
                <w:sz w:val="21"/>
                <w:szCs w:val="21"/>
              </w:rPr>
              <w:t>ezONE</w:t>
            </w:r>
            <w:r>
              <w:rPr>
                <w:rFonts w:ascii="宋体" w:hAnsi="宋体" w:cs="宋体" w:eastAsia="宋体" w:hint="default"/>
                <w:spacing w:val="-58"/>
                <w:sz w:val="21"/>
                <w:szCs w:val="21"/>
              </w:rPr>
              <w:t> </w:t>
            </w:r>
            <w:r>
              <w:rPr>
                <w:rFonts w:ascii="宋体" w:hAnsi="宋体" w:cs="宋体" w:eastAsia="宋体" w:hint="default"/>
                <w:sz w:val="21"/>
                <w:szCs w:val="21"/>
              </w:rPr>
              <w:t>业务基础平台的数字城市应用技术与信息系统开发与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产业化</w:t>
            </w:r>
          </w:p>
        </w:tc>
        <w:tc>
          <w:tcPr>
            <w:tcW w:w="20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5" w:right="0"/>
              <w:jc w:val="center"/>
              <w:rPr>
                <w:rFonts w:ascii="宋体" w:hAnsi="宋体" w:cs="宋体" w:eastAsia="宋体" w:hint="default"/>
                <w:sz w:val="21"/>
                <w:szCs w:val="21"/>
              </w:rPr>
            </w:pPr>
            <w:r>
              <w:rPr>
                <w:rFonts w:ascii="宋体"/>
                <w:sz w:val="21"/>
              </w:rPr>
              <w:t>50,000</w:t>
            </w:r>
          </w:p>
        </w:tc>
      </w:tr>
      <w:tr>
        <w:trPr>
          <w:trHeight w:val="559" w:hRule="exact"/>
        </w:trPr>
        <w:tc>
          <w:tcPr>
            <w:tcW w:w="13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sz w:val="21"/>
              </w:rPr>
              <w:t>2</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增资沈阳同方多媒体科技有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用于数字电视终端系统产品产业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化生产基地项目</w:t>
            </w:r>
          </w:p>
        </w:tc>
        <w:tc>
          <w:tcPr>
            <w:tcW w:w="20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5" w:right="0"/>
              <w:jc w:val="center"/>
              <w:rPr>
                <w:rFonts w:ascii="宋体" w:hAnsi="宋体" w:cs="宋体" w:eastAsia="宋体" w:hint="default"/>
                <w:sz w:val="21"/>
                <w:szCs w:val="21"/>
              </w:rPr>
            </w:pPr>
            <w:r>
              <w:rPr>
                <w:rFonts w:ascii="宋体"/>
                <w:sz w:val="21"/>
              </w:rPr>
              <w:t>22,880</w:t>
            </w:r>
          </w:p>
        </w:tc>
      </w:tr>
      <w:tr>
        <w:trPr>
          <w:trHeight w:val="560" w:hRule="exact"/>
        </w:trPr>
        <w:tc>
          <w:tcPr>
            <w:tcW w:w="13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sz w:val="21"/>
              </w:rPr>
              <w:t>3</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增资同方工业有限公司</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用于军民用数字化综合通信系统</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研发产业化项目</w:t>
            </w:r>
          </w:p>
        </w:tc>
        <w:tc>
          <w:tcPr>
            <w:tcW w:w="20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5" w:right="0"/>
              <w:jc w:val="center"/>
              <w:rPr>
                <w:rFonts w:ascii="宋体" w:hAnsi="宋体" w:cs="宋体" w:eastAsia="宋体" w:hint="default"/>
                <w:sz w:val="21"/>
                <w:szCs w:val="21"/>
              </w:rPr>
            </w:pPr>
            <w:r>
              <w:rPr>
                <w:rFonts w:ascii="宋体"/>
                <w:sz w:val="21"/>
              </w:rPr>
              <w:t>20,000</w:t>
            </w:r>
          </w:p>
        </w:tc>
      </w:tr>
      <w:tr>
        <w:trPr>
          <w:trHeight w:val="287" w:hRule="exact"/>
        </w:trPr>
        <w:tc>
          <w:tcPr>
            <w:tcW w:w="131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4</w:t>
            </w:r>
          </w:p>
        </w:tc>
        <w:tc>
          <w:tcPr>
            <w:tcW w:w="6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201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30,000</w:t>
            </w:r>
          </w:p>
        </w:tc>
      </w:tr>
      <w:tr>
        <w:trPr>
          <w:trHeight w:val="357" w:hRule="exact"/>
        </w:trPr>
        <w:tc>
          <w:tcPr>
            <w:tcW w:w="7402"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015"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7" w:right="0"/>
              <w:jc w:val="center"/>
              <w:rPr>
                <w:rFonts w:ascii="宋体" w:hAnsi="宋体" w:cs="宋体" w:eastAsia="宋体" w:hint="default"/>
                <w:sz w:val="21"/>
                <w:szCs w:val="21"/>
              </w:rPr>
            </w:pPr>
            <w:r>
              <w:rPr>
                <w:rFonts w:ascii="宋体"/>
                <w:sz w:val="21"/>
              </w:rPr>
              <w:t>122,880</w:t>
            </w:r>
          </w:p>
        </w:tc>
      </w:tr>
    </w:tbl>
    <w:p>
      <w:pPr>
        <w:spacing w:after="0" w:line="271" w:lineRule="exact"/>
        <w:jc w:val="center"/>
        <w:rPr>
          <w:rFonts w:ascii="宋体" w:hAnsi="宋体" w:cs="宋体" w:eastAsia="宋体" w:hint="default"/>
          <w:sz w:val="21"/>
          <w:szCs w:val="21"/>
        </w:rPr>
        <w:sectPr>
          <w:pgSz w:w="11910" w:h="16840"/>
          <w:pgMar w:header="610" w:footer="764" w:top="1080" w:bottom="980" w:left="118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10" w:footer="764" w:top="1080" w:bottom="980" w:left="1180" w:right="1040"/>
        </w:sectPr>
      </w:pPr>
    </w:p>
    <w:p>
      <w:pPr>
        <w:pStyle w:val="BodyText"/>
        <w:spacing w:line="240" w:lineRule="auto" w:before="26"/>
        <w:ind w:left="238" w:right="-20"/>
        <w:jc w:val="left"/>
      </w:pPr>
      <w:r>
        <w:rPr/>
        <w:t>本年度，募集资金承诺项目投资以及收益情况如下：</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after="0"/>
        <w:jc w:val="left"/>
        <w:rPr>
          <w:rFonts w:ascii="宋体" w:hAnsi="宋体" w:cs="宋体" w:eastAsia="宋体" w:hint="default"/>
          <w:sz w:val="21"/>
          <w:szCs w:val="21"/>
        </w:rPr>
        <w:sectPr>
          <w:type w:val="continuous"/>
          <w:pgSz w:w="11910" w:h="16840"/>
          <w:pgMar w:top="1600" w:bottom="280" w:left="1180" w:right="1040"/>
          <w:cols w:num="2" w:equalWidth="0">
            <w:col w:w="5759" w:space="1763"/>
            <w:col w:w="216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503"/>
        <w:gridCol w:w="1027"/>
        <w:gridCol w:w="706"/>
        <w:gridCol w:w="1026"/>
        <w:gridCol w:w="1026"/>
        <w:gridCol w:w="1106"/>
        <w:gridCol w:w="1318"/>
        <w:gridCol w:w="706"/>
      </w:tblGrid>
      <w:tr>
        <w:trPr>
          <w:trHeight w:val="982" w:hRule="exact"/>
        </w:trPr>
        <w:tc>
          <w:tcPr>
            <w:tcW w:w="250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694"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1027"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2"/>
              <w:ind w:left="121" w:right="12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拟投入金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0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1"/>
              <w:ind w:left="164" w:right="162"/>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变更</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1"/>
              <w:ind w:left="121" w:right="119"/>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实际投入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b/>
                <w:bCs/>
                <w:w w:val="95"/>
                <w:sz w:val="18"/>
                <w:szCs w:val="18"/>
              </w:rPr>
              <w:t>预计收益</w:t>
            </w:r>
            <w:r>
              <w:rPr>
                <w:rFonts w:ascii="宋体" w:hAnsi="宋体" w:cs="宋体" w:eastAsia="宋体" w:hint="default"/>
                <w:sz w:val="18"/>
                <w:szCs w:val="18"/>
              </w:rPr>
            </w:r>
          </w:p>
        </w:tc>
        <w:tc>
          <w:tcPr>
            <w:tcW w:w="110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1"/>
              <w:ind w:left="160" w:right="16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产生收益</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70" w:right="108" w:hanging="362"/>
              <w:jc w:val="left"/>
              <w:rPr>
                <w:rFonts w:ascii="宋体" w:hAnsi="宋体" w:cs="宋体" w:eastAsia="宋体" w:hint="default"/>
                <w:sz w:val="18"/>
                <w:szCs w:val="18"/>
              </w:rPr>
            </w:pPr>
            <w:r>
              <w:rPr>
                <w:rFonts w:ascii="宋体" w:hAnsi="宋体" w:cs="宋体" w:eastAsia="宋体" w:hint="default"/>
                <w:b/>
                <w:bCs/>
                <w:sz w:val="18"/>
                <w:szCs w:val="18"/>
              </w:rPr>
              <w:t>是否符合计划</w:t>
            </w:r>
            <w:r>
              <w:rPr>
                <w:rFonts w:ascii="宋体" w:hAnsi="宋体" w:cs="宋体" w:eastAsia="宋体" w:hint="default"/>
                <w:b/>
                <w:bCs/>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706" w:type="dxa"/>
            <w:tcBorders>
              <w:top w:val="single" w:sz="12" w:space="0" w:color="000000"/>
              <w:left w:val="single" w:sz="6" w:space="0" w:color="000000"/>
              <w:bottom w:val="single" w:sz="6" w:space="0" w:color="000000"/>
              <w:right w:val="single" w:sz="12" w:space="0" w:color="000000"/>
            </w:tcBorders>
          </w:tcPr>
          <w:p>
            <w:pPr>
              <w:pStyle w:val="TableParagraph"/>
              <w:spacing w:line="217" w:lineRule="exact"/>
              <w:ind w:left="164" w:right="0"/>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44" w:lineRule="auto" w:before="4"/>
              <w:ind w:left="164" w:right="155"/>
              <w:jc w:val="both"/>
              <w:rPr>
                <w:rFonts w:ascii="宋体" w:hAnsi="宋体" w:cs="宋体" w:eastAsia="宋体" w:hint="default"/>
                <w:sz w:val="18"/>
                <w:szCs w:val="18"/>
              </w:rPr>
            </w:pPr>
            <w:r>
              <w:rPr>
                <w:rFonts w:ascii="宋体" w:hAnsi="宋体" w:cs="宋体" w:eastAsia="宋体" w:hint="default"/>
                <w:b/>
                <w:bCs/>
                <w:sz w:val="18"/>
                <w:szCs w:val="18"/>
              </w:rPr>
              <w:t>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256" w:hRule="exact"/>
        </w:trPr>
        <w:tc>
          <w:tcPr>
            <w:tcW w:w="2503" w:type="dxa"/>
            <w:tcBorders>
              <w:top w:val="single" w:sz="6" w:space="0" w:color="000000"/>
              <w:left w:val="single" w:sz="12" w:space="0" w:color="000000"/>
              <w:bottom w:val="nil" w:sz="6" w:space="0" w:color="auto"/>
              <w:right w:val="single" w:sz="6" w:space="0" w:color="000000"/>
            </w:tcBorders>
          </w:tcPr>
          <w:p>
            <w:pPr/>
          </w:p>
        </w:tc>
        <w:tc>
          <w:tcPr>
            <w:tcW w:w="1027" w:type="dxa"/>
            <w:tcBorders>
              <w:top w:val="single" w:sz="6" w:space="0" w:color="000000"/>
              <w:left w:val="single" w:sz="6" w:space="0" w:color="000000"/>
              <w:bottom w:val="nil" w:sz="6" w:space="0" w:color="auto"/>
              <w:right w:val="single" w:sz="6" w:space="0" w:color="000000"/>
            </w:tcBorders>
          </w:tcPr>
          <w:p>
            <w:pPr/>
          </w:p>
        </w:tc>
        <w:tc>
          <w:tcPr>
            <w:tcW w:w="70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10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因受到北京奥</w:t>
            </w:r>
            <w:r>
              <w:rPr>
                <w:rFonts w:ascii="宋体" w:hAnsi="宋体" w:cs="宋体" w:eastAsia="宋体" w:hint="default"/>
                <w:sz w:val="18"/>
                <w:szCs w:val="18"/>
              </w:rPr>
            </w:r>
          </w:p>
        </w:tc>
        <w:tc>
          <w:tcPr>
            <w:tcW w:w="706" w:type="dxa"/>
            <w:tcBorders>
              <w:top w:val="single" w:sz="6" w:space="0" w:color="000000"/>
              <w:left w:val="single" w:sz="6" w:space="0" w:color="000000"/>
              <w:bottom w:val="nil" w:sz="6" w:space="0" w:color="auto"/>
              <w:right w:val="single" w:sz="12" w:space="0" w:color="000000"/>
            </w:tcBorders>
          </w:tcPr>
          <w:p>
            <w:pPr/>
          </w:p>
        </w:tc>
      </w:tr>
      <w:tr>
        <w:trPr>
          <w:trHeight w:val="960" w:hRule="exact"/>
        </w:trPr>
        <w:tc>
          <w:tcPr>
            <w:tcW w:w="2503" w:type="dxa"/>
            <w:tcBorders>
              <w:top w:val="nil" w:sz="6" w:space="0" w:color="auto"/>
              <w:left w:val="single" w:sz="12" w:space="0" w:color="000000"/>
              <w:bottom w:val="nil" w:sz="6" w:space="0" w:color="auto"/>
              <w:right w:val="single" w:sz="6" w:space="0" w:color="000000"/>
            </w:tcBorders>
          </w:tcPr>
          <w:p>
            <w:pPr>
              <w:pStyle w:val="TableParagraph"/>
              <w:spacing w:line="244" w:lineRule="auto" w:before="94"/>
              <w:ind w:left="93" w:right="85"/>
              <w:jc w:val="both"/>
              <w:rPr>
                <w:rFonts w:ascii="宋体" w:hAnsi="宋体" w:cs="宋体" w:eastAsia="宋体" w:hint="default"/>
                <w:sz w:val="18"/>
                <w:szCs w:val="18"/>
              </w:rPr>
            </w:pPr>
            <w:r>
              <w:rPr>
                <w:rFonts w:ascii="宋体" w:hAnsi="宋体" w:cs="宋体" w:eastAsia="宋体" w:hint="default"/>
                <w:sz w:val="18"/>
                <w:szCs w:val="18"/>
              </w:rPr>
              <w:t>基于 ezONE</w:t>
            </w:r>
            <w:r>
              <w:rPr>
                <w:rFonts w:ascii="宋体" w:hAnsi="宋体" w:cs="宋体" w:eastAsia="宋体" w:hint="default"/>
                <w:spacing w:val="9"/>
                <w:sz w:val="18"/>
                <w:szCs w:val="18"/>
              </w:rPr>
              <w:t> </w:t>
            </w:r>
            <w:r>
              <w:rPr>
                <w:rFonts w:ascii="宋体" w:hAnsi="宋体" w:cs="宋体" w:eastAsia="宋体" w:hint="default"/>
                <w:spacing w:val="3"/>
                <w:sz w:val="18"/>
                <w:szCs w:val="18"/>
              </w:rPr>
              <w:t>业务基础平台的</w:t>
            </w:r>
            <w:r>
              <w:rPr>
                <w:rFonts w:ascii="宋体" w:hAnsi="宋体" w:cs="宋体" w:eastAsia="宋体" w:hint="default"/>
                <w:spacing w:val="3"/>
                <w:sz w:val="18"/>
                <w:szCs w:val="18"/>
              </w:rPr>
              <w:t> </w:t>
            </w:r>
            <w:r>
              <w:rPr>
                <w:rFonts w:ascii="宋体" w:hAnsi="宋体" w:cs="宋体" w:eastAsia="宋体" w:hint="default"/>
                <w:spacing w:val="11"/>
                <w:sz w:val="18"/>
                <w:szCs w:val="18"/>
              </w:rPr>
              <w:t>数字城市应用技术与信息系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统开发与产业化</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sz w:val="18"/>
              </w:rPr>
              <w:t>21,197.00</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11,507.96</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1,313.00</w:t>
            </w:r>
          </w:p>
        </w:tc>
        <w:tc>
          <w:tcPr>
            <w:tcW w:w="110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5,997.68</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both"/>
              <w:rPr>
                <w:rFonts w:ascii="宋体" w:hAnsi="宋体" w:cs="宋体" w:eastAsia="宋体" w:hint="default"/>
                <w:sz w:val="18"/>
                <w:szCs w:val="18"/>
              </w:rPr>
            </w:pPr>
            <w:r>
              <w:rPr>
                <w:rFonts w:ascii="宋体" w:hAnsi="宋体" w:cs="宋体" w:eastAsia="宋体" w:hint="default"/>
                <w:spacing w:val="3"/>
                <w:sz w:val="18"/>
                <w:szCs w:val="18"/>
              </w:rPr>
              <w:t>运会期间施工</w:t>
            </w:r>
            <w:r>
              <w:rPr>
                <w:rFonts w:ascii="宋体" w:hAnsi="宋体" w:cs="宋体" w:eastAsia="宋体" w:hint="default"/>
                <w:sz w:val="18"/>
                <w:szCs w:val="18"/>
              </w:rPr>
            </w:r>
          </w:p>
          <w:p>
            <w:pPr>
              <w:pStyle w:val="TableParagraph"/>
              <w:spacing w:line="244" w:lineRule="auto" w:before="4"/>
              <w:ind w:left="100" w:right="92"/>
              <w:jc w:val="both"/>
              <w:rPr>
                <w:rFonts w:ascii="宋体" w:hAnsi="宋体" w:cs="宋体" w:eastAsia="宋体" w:hint="default"/>
                <w:sz w:val="18"/>
                <w:szCs w:val="18"/>
              </w:rPr>
            </w:pPr>
            <w:r>
              <w:rPr>
                <w:rFonts w:ascii="宋体" w:hAnsi="宋体" w:cs="宋体" w:eastAsia="宋体" w:hint="default"/>
                <w:spacing w:val="3"/>
                <w:sz w:val="18"/>
                <w:szCs w:val="18"/>
              </w:rPr>
              <w:t>限制的影响，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该项目固定资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产投资部分推</w:t>
            </w:r>
            <w:r>
              <w:rPr>
                <w:rFonts w:ascii="宋体" w:hAnsi="宋体" w:cs="宋体" w:eastAsia="宋体" w:hint="default"/>
                <w:sz w:val="18"/>
                <w:szCs w:val="18"/>
              </w:rPr>
            </w:r>
          </w:p>
        </w:tc>
        <w:tc>
          <w:tcPr>
            <w:tcW w:w="706" w:type="dxa"/>
            <w:tcBorders>
              <w:top w:val="nil" w:sz="6" w:space="0" w:color="auto"/>
              <w:left w:val="single" w:sz="6" w:space="0" w:color="000000"/>
              <w:bottom w:val="nil" w:sz="6" w:space="0" w:color="auto"/>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0" w:hRule="exact"/>
        </w:trPr>
        <w:tc>
          <w:tcPr>
            <w:tcW w:w="2503" w:type="dxa"/>
            <w:tcBorders>
              <w:top w:val="nil" w:sz="6" w:space="0" w:color="auto"/>
              <w:left w:val="single" w:sz="12" w:space="0" w:color="000000"/>
              <w:bottom w:val="single" w:sz="6" w:space="0" w:color="000000"/>
              <w:right w:val="single" w:sz="6" w:space="0" w:color="000000"/>
            </w:tcBorders>
          </w:tcPr>
          <w:p>
            <w:pPr/>
          </w:p>
        </w:tc>
        <w:tc>
          <w:tcPr>
            <w:tcW w:w="1027"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10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迟投入。</w:t>
            </w:r>
          </w:p>
        </w:tc>
        <w:tc>
          <w:tcPr>
            <w:tcW w:w="706" w:type="dxa"/>
            <w:tcBorders>
              <w:top w:val="nil" w:sz="6" w:space="0" w:color="auto"/>
              <w:left w:val="single" w:sz="6" w:space="0" w:color="000000"/>
              <w:bottom w:val="single" w:sz="6" w:space="0" w:color="000000"/>
              <w:right w:val="single" w:sz="12" w:space="0" w:color="000000"/>
            </w:tcBorders>
          </w:tcPr>
          <w:p>
            <w:pPr/>
          </w:p>
        </w:tc>
      </w:tr>
      <w:tr>
        <w:trPr>
          <w:trHeight w:val="256" w:hRule="exact"/>
        </w:trPr>
        <w:tc>
          <w:tcPr>
            <w:tcW w:w="2503" w:type="dxa"/>
            <w:tcBorders>
              <w:top w:val="single" w:sz="6" w:space="0" w:color="000000"/>
              <w:left w:val="single" w:sz="12" w:space="0" w:color="000000"/>
              <w:bottom w:val="nil" w:sz="6" w:space="0" w:color="auto"/>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pacing w:val="11"/>
                <w:sz w:val="18"/>
                <w:szCs w:val="18"/>
              </w:rPr>
              <w:t>增资沈阳同方多媒体科技有</w:t>
            </w:r>
            <w:r>
              <w:rPr>
                <w:rFonts w:ascii="宋体" w:hAnsi="宋体" w:cs="宋体" w:eastAsia="宋体" w:hint="default"/>
                <w:sz w:val="18"/>
                <w:szCs w:val="18"/>
              </w:rPr>
            </w:r>
          </w:p>
        </w:tc>
        <w:tc>
          <w:tcPr>
            <w:tcW w:w="1027" w:type="dxa"/>
            <w:tcBorders>
              <w:top w:val="single" w:sz="6" w:space="0" w:color="000000"/>
              <w:left w:val="single" w:sz="6" w:space="0" w:color="000000"/>
              <w:bottom w:val="nil" w:sz="6" w:space="0" w:color="auto"/>
              <w:right w:val="single" w:sz="6" w:space="0" w:color="000000"/>
            </w:tcBorders>
          </w:tcPr>
          <w:p>
            <w:pPr/>
          </w:p>
        </w:tc>
        <w:tc>
          <w:tcPr>
            <w:tcW w:w="70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10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706" w:type="dxa"/>
            <w:tcBorders>
              <w:top w:val="single" w:sz="6" w:space="0" w:color="000000"/>
              <w:left w:val="single" w:sz="6" w:space="0" w:color="000000"/>
              <w:bottom w:val="nil" w:sz="6" w:space="0" w:color="auto"/>
              <w:right w:val="single" w:sz="12" w:space="0" w:color="000000"/>
            </w:tcBorders>
          </w:tcPr>
          <w:p>
            <w:pPr/>
          </w:p>
        </w:tc>
      </w:tr>
      <w:tr>
        <w:trPr>
          <w:trHeight w:val="480" w:hRule="exact"/>
        </w:trPr>
        <w:tc>
          <w:tcPr>
            <w:tcW w:w="2503"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限公司 2.288</w:t>
            </w:r>
            <w:r>
              <w:rPr>
                <w:rFonts w:ascii="宋体" w:hAnsi="宋体" w:cs="宋体" w:eastAsia="宋体" w:hint="default"/>
                <w:spacing w:val="13"/>
                <w:sz w:val="18"/>
                <w:szCs w:val="18"/>
              </w:rPr>
              <w:t> </w:t>
            </w:r>
            <w:r>
              <w:rPr>
                <w:rFonts w:ascii="宋体" w:hAnsi="宋体" w:cs="宋体" w:eastAsia="宋体" w:hint="default"/>
                <w:spacing w:val="3"/>
                <w:sz w:val="18"/>
                <w:szCs w:val="18"/>
              </w:rPr>
              <w:t>亿元用于数字</w:t>
            </w:r>
            <w:r>
              <w:rPr>
                <w:rFonts w:ascii="宋体" w:hAnsi="宋体" w:cs="宋体" w:eastAsia="宋体" w:hint="default"/>
                <w:sz w:val="18"/>
                <w:szCs w:val="18"/>
              </w:rPr>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pacing w:val="11"/>
                <w:sz w:val="18"/>
                <w:szCs w:val="18"/>
              </w:rPr>
              <w:t>电视终端系统产品产业化生</w:t>
            </w:r>
            <w:r>
              <w:rPr>
                <w:rFonts w:ascii="宋体" w:hAnsi="宋体" w:cs="宋体" w:eastAsia="宋体" w:hint="default"/>
                <w:sz w:val="18"/>
                <w:szCs w:val="18"/>
              </w:rPr>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left="91" w:right="0"/>
              <w:jc w:val="center"/>
              <w:rPr>
                <w:rFonts w:ascii="宋体" w:hAnsi="宋体" w:cs="宋体" w:eastAsia="宋体" w:hint="default"/>
                <w:sz w:val="18"/>
                <w:szCs w:val="18"/>
              </w:rPr>
            </w:pPr>
            <w:r>
              <w:rPr>
                <w:rFonts w:ascii="宋体"/>
                <w:sz w:val="18"/>
              </w:rPr>
              <w:t>1,246.00</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left="25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0</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380.00</w:t>
            </w:r>
          </w:p>
        </w:tc>
        <w:tc>
          <w:tcPr>
            <w:tcW w:w="1106"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48.09</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nil" w:sz="6" w:space="0" w:color="auto"/>
              <w:left w:val="single" w:sz="6" w:space="0" w:color="000000"/>
              <w:bottom w:val="nil" w:sz="6" w:space="0" w:color="auto"/>
              <w:right w:val="single" w:sz="12" w:space="0" w:color="000000"/>
            </w:tcBorders>
          </w:tcPr>
          <w:p>
            <w:pPr>
              <w:pStyle w:val="TableParagraph"/>
              <w:spacing w:line="240" w:lineRule="auto" w:before="94"/>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39" w:hRule="exact"/>
        </w:trPr>
        <w:tc>
          <w:tcPr>
            <w:tcW w:w="2503" w:type="dxa"/>
            <w:tcBorders>
              <w:top w:val="nil" w:sz="6" w:space="0" w:color="auto"/>
              <w:left w:val="single" w:sz="12" w:space="0" w:color="000000"/>
              <w:bottom w:val="single" w:sz="6" w:space="0" w:color="000000"/>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产基地项目</w:t>
            </w:r>
          </w:p>
        </w:tc>
        <w:tc>
          <w:tcPr>
            <w:tcW w:w="1027"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10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12" w:space="0" w:color="000000"/>
            </w:tcBorders>
          </w:tcPr>
          <w:p>
            <w:pPr/>
          </w:p>
        </w:tc>
      </w:tr>
      <w:tr>
        <w:trPr>
          <w:trHeight w:val="256" w:hRule="exact"/>
        </w:trPr>
        <w:tc>
          <w:tcPr>
            <w:tcW w:w="2503" w:type="dxa"/>
            <w:tcBorders>
              <w:top w:val="single" w:sz="6" w:space="0" w:color="000000"/>
              <w:left w:val="single" w:sz="12" w:space="0" w:color="000000"/>
              <w:bottom w:val="nil" w:sz="6" w:space="0" w:color="auto"/>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pacing w:val="2"/>
                <w:sz w:val="18"/>
                <w:szCs w:val="18"/>
              </w:rPr>
              <w:t>增资同方工业有限公司 </w:t>
            </w:r>
            <w:r>
              <w:rPr>
                <w:rFonts w:ascii="宋体" w:hAnsi="宋体" w:cs="宋体" w:eastAsia="宋体" w:hint="default"/>
                <w:sz w:val="18"/>
                <w:szCs w:val="18"/>
              </w:rPr>
              <w:t>2</w:t>
            </w:r>
            <w:r>
              <w:rPr>
                <w:rFonts w:ascii="宋体" w:hAnsi="宋体" w:cs="宋体" w:eastAsia="宋体" w:hint="default"/>
                <w:spacing w:val="8"/>
                <w:sz w:val="18"/>
                <w:szCs w:val="18"/>
              </w:rPr>
              <w:t> </w:t>
            </w:r>
            <w:r>
              <w:rPr>
                <w:rFonts w:ascii="宋体" w:hAnsi="宋体" w:cs="宋体" w:eastAsia="宋体" w:hint="default"/>
                <w:sz w:val="18"/>
                <w:szCs w:val="18"/>
              </w:rPr>
              <w:t>亿</w:t>
            </w:r>
          </w:p>
        </w:tc>
        <w:tc>
          <w:tcPr>
            <w:tcW w:w="1027" w:type="dxa"/>
            <w:tcBorders>
              <w:top w:val="single" w:sz="6" w:space="0" w:color="000000"/>
              <w:left w:val="single" w:sz="6" w:space="0" w:color="000000"/>
              <w:bottom w:val="nil" w:sz="6" w:space="0" w:color="auto"/>
              <w:right w:val="single" w:sz="6" w:space="0" w:color="000000"/>
            </w:tcBorders>
          </w:tcPr>
          <w:p>
            <w:pPr/>
          </w:p>
        </w:tc>
        <w:tc>
          <w:tcPr>
            <w:tcW w:w="70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10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706" w:type="dxa"/>
            <w:tcBorders>
              <w:top w:val="single" w:sz="6" w:space="0" w:color="000000"/>
              <w:left w:val="single" w:sz="6" w:space="0" w:color="000000"/>
              <w:bottom w:val="nil" w:sz="6" w:space="0" w:color="auto"/>
              <w:right w:val="single" w:sz="12" w:space="0" w:color="000000"/>
            </w:tcBorders>
          </w:tcPr>
          <w:p>
            <w:pPr/>
          </w:p>
        </w:tc>
      </w:tr>
      <w:tr>
        <w:trPr>
          <w:trHeight w:val="240" w:hRule="exact"/>
        </w:trPr>
        <w:tc>
          <w:tcPr>
            <w:tcW w:w="2503"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pacing w:val="11"/>
                <w:sz w:val="18"/>
                <w:szCs w:val="18"/>
              </w:rPr>
              <w:t>元用于军民用数字化综合通</w:t>
            </w:r>
            <w:r>
              <w:rPr>
                <w:rFonts w:ascii="宋体" w:hAnsi="宋体" w:cs="宋体" w:eastAsia="宋体" w:hint="default"/>
                <w:sz w:val="18"/>
                <w:szCs w:val="18"/>
              </w:rPr>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91" w:right="0"/>
              <w:jc w:val="center"/>
              <w:rPr>
                <w:rFonts w:ascii="宋体" w:hAnsi="宋体" w:cs="宋体" w:eastAsia="宋体" w:hint="default"/>
                <w:sz w:val="18"/>
                <w:szCs w:val="18"/>
              </w:rPr>
            </w:pPr>
            <w:r>
              <w:rPr>
                <w:rFonts w:ascii="宋体"/>
                <w:sz w:val="18"/>
              </w:rPr>
              <w:t>3,000.00</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25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-1,026.20</w:t>
            </w:r>
          </w:p>
        </w:tc>
        <w:tc>
          <w:tcPr>
            <w:tcW w:w="110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-783.52</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0" w:hRule="exact"/>
        </w:trPr>
        <w:tc>
          <w:tcPr>
            <w:tcW w:w="2503" w:type="dxa"/>
            <w:tcBorders>
              <w:top w:val="nil" w:sz="6" w:space="0" w:color="auto"/>
              <w:left w:val="single" w:sz="12" w:space="0" w:color="000000"/>
              <w:bottom w:val="single" w:sz="6" w:space="0" w:color="000000"/>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信系统研发产业化项目</w:t>
            </w:r>
          </w:p>
        </w:tc>
        <w:tc>
          <w:tcPr>
            <w:tcW w:w="1027"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10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12" w:space="0" w:color="000000"/>
            </w:tcBorders>
          </w:tcPr>
          <w:p>
            <w:pPr/>
          </w:p>
        </w:tc>
      </w:tr>
      <w:tr>
        <w:trPr>
          <w:trHeight w:val="322" w:hRule="exact"/>
        </w:trPr>
        <w:tc>
          <w:tcPr>
            <w:tcW w:w="25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25,443.00</w:t>
            </w:r>
          </w:p>
        </w:tc>
        <w:tc>
          <w:tcPr>
            <w:tcW w:w="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300" w:right="0"/>
              <w:jc w:val="left"/>
              <w:rPr>
                <w:rFonts w:ascii="宋体" w:hAnsi="宋体" w:cs="宋体" w:eastAsia="宋体" w:hint="default"/>
                <w:sz w:val="18"/>
                <w:szCs w:val="18"/>
              </w:rPr>
            </w:pPr>
            <w:r>
              <w:rPr>
                <w:rFonts w:ascii="宋体"/>
                <w:sz w:val="18"/>
              </w:rPr>
              <w:t>/</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11,507.96</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667.00</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5,262.25</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w:t>
            </w:r>
          </w:p>
        </w:tc>
        <w:tc>
          <w:tcPr>
            <w:tcW w:w="7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left="6" w:right="0"/>
              <w:jc w:val="center"/>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15"/>
          <w:szCs w:val="15"/>
        </w:rPr>
      </w:pPr>
    </w:p>
    <w:p>
      <w:pPr>
        <w:pStyle w:val="Heading3"/>
        <w:spacing w:line="312" w:lineRule="exact" w:before="56"/>
        <w:ind w:left="238" w:right="227"/>
        <w:jc w:val="left"/>
        <w:rPr>
          <w:b w:val="0"/>
          <w:bCs w:val="0"/>
        </w:rPr>
      </w:pPr>
      <w:r>
        <w:rPr/>
        <w:t>(1)投资</w:t>
      </w:r>
      <w:r>
        <w:rPr>
          <w:spacing w:val="-82"/>
        </w:rPr>
        <w:t> </w:t>
      </w:r>
      <w:r>
        <w:rPr/>
        <w:t>5</w:t>
      </w:r>
      <w:r>
        <w:rPr>
          <w:spacing w:val="-82"/>
        </w:rPr>
        <w:t> </w:t>
      </w:r>
      <w:r>
        <w:rPr/>
        <w:t>亿元用于基于</w:t>
      </w:r>
      <w:r>
        <w:rPr>
          <w:spacing w:val="-80"/>
        </w:rPr>
        <w:t> </w:t>
      </w:r>
      <w:r>
        <w:rPr/>
        <w:t>ezONE</w:t>
      </w:r>
      <w:r>
        <w:rPr>
          <w:spacing w:val="-80"/>
        </w:rPr>
        <w:t> </w:t>
      </w:r>
      <w:r>
        <w:rPr/>
        <w:t>业务基础平台的数字城市应用技术与信息系统开发与产业</w:t>
      </w:r>
      <w:r>
        <w:rPr>
          <w:spacing w:val="1"/>
          <w:w w:val="99"/>
        </w:rPr>
        <w:t> </w:t>
      </w:r>
      <w:r>
        <w:rPr/>
        <w:t>化项目</w:t>
      </w:r>
      <w:r>
        <w:rPr>
          <w:b w:val="0"/>
          <w:bCs w:val="0"/>
        </w:rPr>
      </w:r>
    </w:p>
    <w:p>
      <w:pPr>
        <w:spacing w:line="240" w:lineRule="auto" w:before="9"/>
        <w:rPr>
          <w:rFonts w:ascii="宋体" w:hAnsi="宋体" w:cs="宋体" w:eastAsia="宋体" w:hint="default"/>
          <w:b/>
          <w:bCs/>
          <w:sz w:val="21"/>
          <w:szCs w:val="21"/>
        </w:rPr>
      </w:pPr>
    </w:p>
    <w:p>
      <w:pPr>
        <w:pStyle w:val="BodyText"/>
        <w:spacing w:line="237" w:lineRule="auto"/>
        <w:ind w:left="238" w:right="107"/>
        <w:jc w:val="left"/>
      </w:pPr>
      <w:r>
        <w:rPr/>
        <w:t>本公司拟投资</w:t>
      </w:r>
      <w:r>
        <w:rPr>
          <w:spacing w:val="-40"/>
        </w:rPr>
        <w:t> </w:t>
      </w:r>
      <w:r>
        <w:rPr/>
        <w:t>5</w:t>
      </w:r>
      <w:r>
        <w:rPr>
          <w:spacing w:val="-40"/>
        </w:rPr>
        <w:t> </w:t>
      </w:r>
      <w:r>
        <w:rPr/>
        <w:t>亿元，用于基于</w:t>
      </w:r>
      <w:r>
        <w:rPr>
          <w:spacing w:val="-40"/>
        </w:rPr>
        <w:t> </w:t>
      </w:r>
      <w:r>
        <w:rPr/>
        <w:t>ezONE</w:t>
      </w:r>
      <w:r>
        <w:rPr>
          <w:spacing w:val="-40"/>
        </w:rPr>
        <w:t> </w:t>
      </w:r>
      <w:r>
        <w:rPr/>
        <w:t>业务基础平台的数字城市应用技术与信息系统开</w:t>
      </w:r>
      <w:r>
        <w:rPr/>
        <w:t> 发与产业化项目。项目基于“大集成管控营 DCM</w:t>
      </w:r>
      <w:r>
        <w:rPr>
          <w:spacing w:val="-40"/>
        </w:rPr>
        <w:t> </w:t>
      </w:r>
      <w:r>
        <w:rPr/>
        <w:t>一体化”核心技术，通过各种通讯技术</w:t>
      </w:r>
      <w:r>
        <w:rPr/>
        <w:t> 把各种末端设备、用户、应用软件和数据源连接到集成系统，实现对人和机器(M2M)的管 理和服务，为数字城市复杂系统的开发提供了一个基本框架和实现方法。在此基础上，</w:t>
      </w:r>
      <w:r>
        <w:rPr>
          <w:spacing w:val="-47"/>
        </w:rPr>
        <w:t> </w:t>
      </w:r>
      <w:r>
        <w:rPr>
          <w:spacing w:val="-47"/>
        </w:rPr>
      </w:r>
      <w:r>
        <w:rPr>
          <w:spacing w:val="-2"/>
        </w:rPr>
        <w:t>项目面向数字城市的智能楼宇、智能社区、电子政务、电子商务、城市安防、城市消防、</w:t>
      </w:r>
      <w:r>
        <w:rPr>
          <w:spacing w:val="-84"/>
        </w:rPr>
        <w:t> </w:t>
      </w:r>
      <w:r>
        <w:rPr>
          <w:spacing w:val="-84"/>
        </w:rPr>
      </w:r>
      <w:r>
        <w:rPr/>
        <w:t>智能交通、智能市政、城市应急、RFID</w:t>
      </w:r>
      <w:r>
        <w:rPr>
          <w:spacing w:val="-40"/>
        </w:rPr>
        <w:t> </w:t>
      </w:r>
      <w:r>
        <w:rPr/>
        <w:t>应用等各应用领域，开发与之相应的应用管理系</w:t>
      </w:r>
      <w:r>
        <w:rPr/>
        <w:t> 统软件及其设备，支持数字城市不同层次的远程监视、控制、诊断；资产跟踪/供应链管 理；集中数据处理和管理决策等业务模式，满足社会大众、企业、政府在任何时间、任</w:t>
      </w:r>
      <w:r>
        <w:rPr>
          <w:spacing w:val="-47"/>
        </w:rPr>
        <w:t> </w:t>
      </w:r>
      <w:r>
        <w:rPr>
          <w:spacing w:val="-47"/>
        </w:rPr>
      </w:r>
      <w:r>
        <w:rPr/>
        <w:t>何地点都能够通过最简便的方法得到其所需要的个性化服务。</w:t>
      </w:r>
    </w:p>
    <w:p>
      <w:pPr>
        <w:spacing w:line="240" w:lineRule="auto" w:before="11"/>
        <w:rPr>
          <w:rFonts w:ascii="宋体" w:hAnsi="宋体" w:cs="宋体" w:eastAsia="宋体" w:hint="default"/>
          <w:sz w:val="25"/>
          <w:szCs w:val="25"/>
        </w:rPr>
      </w:pPr>
    </w:p>
    <w:p>
      <w:pPr>
        <w:pStyle w:val="BodyText"/>
        <w:spacing w:line="312" w:lineRule="exact"/>
        <w:ind w:left="238" w:right="227"/>
        <w:jc w:val="left"/>
      </w:pPr>
      <w:r>
        <w:rPr/>
        <w:t>本报告期内，因受到北京奥运会期间施工限制的影响，该项目固定资产投资部分推迟投</w:t>
      </w:r>
      <w:r>
        <w:rPr>
          <w:spacing w:val="-47"/>
        </w:rPr>
        <w:t> </w:t>
      </w:r>
      <w:r>
        <w:rPr>
          <w:spacing w:val="-47"/>
        </w:rPr>
      </w:r>
      <w:r>
        <w:rPr/>
        <w:t>入,截至报告期末对该项目共投资</w:t>
      </w:r>
      <w:r>
        <w:rPr>
          <w:spacing w:val="-52"/>
        </w:rPr>
        <w:t> </w:t>
      </w:r>
      <w:r>
        <w:rPr/>
        <w:t>11,507.96</w:t>
      </w:r>
      <w:r>
        <w:rPr>
          <w:spacing w:val="-52"/>
        </w:rPr>
        <w:t> </w:t>
      </w:r>
      <w:r>
        <w:rPr>
          <w:spacing w:val="-3"/>
        </w:rPr>
        <w:t>万元。本年度，该项目承接的大量奥运项目</w:t>
      </w:r>
    </w:p>
    <w:p>
      <w:pPr>
        <w:pStyle w:val="BodyText"/>
        <w:spacing w:line="281" w:lineRule="exact"/>
        <w:ind w:left="238" w:right="107"/>
        <w:jc w:val="left"/>
      </w:pPr>
      <w:r>
        <w:rPr/>
        <w:t>效益凸现，实现项目收益</w:t>
      </w:r>
      <w:r>
        <w:rPr>
          <w:spacing w:val="-80"/>
        </w:rPr>
        <w:t> </w:t>
      </w:r>
      <w:r>
        <w:rPr/>
        <w:t>5,997.68</w:t>
      </w:r>
      <w:r>
        <w:rPr>
          <w:spacing w:val="-80"/>
        </w:rPr>
        <w:t> </w:t>
      </w:r>
      <w:r>
        <w:rPr/>
        <w:t>万元，符合预计收益。截止本报告日，该项目涉及的</w:t>
      </w:r>
    </w:p>
    <w:p>
      <w:pPr>
        <w:pStyle w:val="BodyText"/>
        <w:spacing w:line="312" w:lineRule="exact"/>
        <w:ind w:left="238" w:right="107"/>
        <w:jc w:val="left"/>
      </w:pPr>
      <w:r>
        <w:rPr/>
        <w:t>固定资产投资部分已经开始施工。</w:t>
      </w:r>
    </w:p>
    <w:p>
      <w:pPr>
        <w:spacing w:line="240" w:lineRule="auto" w:before="12"/>
        <w:rPr>
          <w:rFonts w:ascii="宋体" w:hAnsi="宋体" w:cs="宋体" w:eastAsia="宋体" w:hint="default"/>
          <w:sz w:val="25"/>
          <w:szCs w:val="25"/>
        </w:rPr>
      </w:pPr>
    </w:p>
    <w:p>
      <w:pPr>
        <w:pStyle w:val="Heading3"/>
        <w:spacing w:line="312" w:lineRule="exact"/>
        <w:ind w:left="238" w:right="107"/>
        <w:jc w:val="left"/>
        <w:rPr>
          <w:b w:val="0"/>
          <w:bCs w:val="0"/>
        </w:rPr>
      </w:pPr>
      <w:r>
        <w:rPr/>
        <w:t>(2)增资沈阳同方多媒体科技有限公司 2.288</w:t>
      </w:r>
      <w:r>
        <w:rPr>
          <w:spacing w:val="17"/>
        </w:rPr>
        <w:t> </w:t>
      </w:r>
      <w:r>
        <w:rPr/>
        <w:t>亿元用于数字电视终端系统产品产业化生</w:t>
      </w:r>
      <w:r>
        <w:rPr>
          <w:spacing w:val="2"/>
          <w:w w:val="99"/>
        </w:rPr>
        <w:t> </w:t>
      </w:r>
      <w:r>
        <w:rPr/>
        <w:t>产基地项目</w:t>
      </w:r>
      <w:r>
        <w:rPr>
          <w:b w:val="0"/>
          <w:bCs w:val="0"/>
        </w:rPr>
      </w:r>
    </w:p>
    <w:p>
      <w:pPr>
        <w:spacing w:line="240" w:lineRule="auto" w:before="7"/>
        <w:rPr>
          <w:rFonts w:ascii="宋体" w:hAnsi="宋体" w:cs="宋体" w:eastAsia="宋体" w:hint="default"/>
          <w:b/>
          <w:bCs/>
          <w:sz w:val="21"/>
          <w:szCs w:val="21"/>
        </w:rPr>
      </w:pPr>
    </w:p>
    <w:p>
      <w:pPr>
        <w:pStyle w:val="BodyText"/>
        <w:spacing w:line="237" w:lineRule="auto"/>
        <w:ind w:left="238" w:right="240"/>
        <w:jc w:val="both"/>
      </w:pPr>
      <w:r>
        <w:rPr/>
        <w:t>公司拟投资 2.288</w:t>
      </w:r>
      <w:r>
        <w:rPr>
          <w:spacing w:val="-41"/>
        </w:rPr>
        <w:t> </w:t>
      </w:r>
      <w:r>
        <w:rPr/>
        <w:t>亿元增资沈阳同方多媒体科技有限公司用于数字电视终端系统产品产</w:t>
      </w:r>
      <w:r>
        <w:rPr/>
        <w:t> 业化生产基地项目，本次增资资金将用于数字电视一期扩产项目，包括厂房建设、购买</w:t>
      </w:r>
      <w:r>
        <w:rPr>
          <w:spacing w:val="-47"/>
        </w:rPr>
        <w:t> </w:t>
      </w:r>
      <w:r>
        <w:rPr>
          <w:spacing w:val="-47"/>
        </w:rPr>
      </w:r>
      <w:r>
        <w:rPr>
          <w:spacing w:val="-4"/>
        </w:rPr>
        <w:t>生产线和专用检测设备等，建成后达到生产各类数字电视终端设备(产品)100</w:t>
      </w:r>
      <w:r>
        <w:rPr>
          <w:spacing w:val="-48"/>
        </w:rPr>
        <w:t> </w:t>
      </w:r>
      <w:r>
        <w:rPr>
          <w:spacing w:val="-1"/>
        </w:rPr>
        <w:t>万台的生产</w:t>
      </w:r>
      <w:r>
        <w:rPr>
          <w:spacing w:val="-112"/>
        </w:rPr>
        <w:t> </w:t>
      </w:r>
      <w:r>
        <w:rPr>
          <w:spacing w:val="-112"/>
        </w:rPr>
      </w:r>
      <w:r>
        <w:rPr/>
        <w:t>能力。</w:t>
      </w:r>
    </w:p>
    <w:p>
      <w:pPr>
        <w:spacing w:after="0" w:line="237" w:lineRule="auto"/>
        <w:jc w:val="both"/>
        <w:sectPr>
          <w:type w:val="continuous"/>
          <w:pgSz w:w="11910" w:h="16840"/>
          <w:pgMar w:top="1600" w:bottom="28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12" w:lineRule="exact" w:before="26"/>
        <w:ind w:left="238" w:right="0"/>
        <w:jc w:val="both"/>
      </w:pPr>
      <w:r>
        <w:rPr/>
        <w:t>2007</w:t>
      </w:r>
      <w:r>
        <w:rPr>
          <w:spacing w:val="-60"/>
        </w:rPr>
        <w:t> </w:t>
      </w:r>
      <w:r>
        <w:rPr/>
        <w:t>年，公司已完成对沈阳同方多媒体科技有限公司的增资</w:t>
      </w:r>
      <w:r>
        <w:rPr>
          <w:spacing w:val="-60"/>
        </w:rPr>
        <w:t> </w:t>
      </w:r>
      <w:r>
        <w:rPr/>
        <w:t>22,880</w:t>
      </w:r>
      <w:r>
        <w:rPr>
          <w:spacing w:val="-60"/>
        </w:rPr>
        <w:t> </w:t>
      </w:r>
      <w:r>
        <w:rPr/>
        <w:t>万元，本报告期内，</w:t>
      </w:r>
    </w:p>
    <w:p>
      <w:pPr>
        <w:pStyle w:val="BodyText"/>
        <w:spacing w:line="312" w:lineRule="exact"/>
        <w:ind w:left="238" w:right="0"/>
        <w:jc w:val="both"/>
      </w:pPr>
      <w:r>
        <w:rPr/>
        <w:t>该项目实现收益</w:t>
      </w:r>
      <w:r>
        <w:rPr>
          <w:spacing w:val="-60"/>
        </w:rPr>
        <w:t> </w:t>
      </w:r>
      <w:r>
        <w:rPr/>
        <w:t>48.09</w:t>
      </w:r>
      <w:r>
        <w:rPr>
          <w:spacing w:val="-60"/>
        </w:rPr>
        <w:t> </w:t>
      </w:r>
      <w:r>
        <w:rPr/>
        <w:t>万元，符合投资计划进度和预计收益。</w:t>
      </w:r>
    </w:p>
    <w:p>
      <w:pPr>
        <w:spacing w:line="240" w:lineRule="auto" w:before="8"/>
        <w:rPr>
          <w:rFonts w:ascii="宋体" w:hAnsi="宋体" w:cs="宋体" w:eastAsia="宋体" w:hint="default"/>
          <w:sz w:val="23"/>
          <w:szCs w:val="23"/>
        </w:rPr>
      </w:pPr>
    </w:p>
    <w:p>
      <w:pPr>
        <w:pStyle w:val="Heading3"/>
        <w:spacing w:line="240" w:lineRule="auto"/>
        <w:ind w:left="238" w:right="0"/>
        <w:jc w:val="both"/>
        <w:rPr>
          <w:b w:val="0"/>
          <w:bCs w:val="0"/>
        </w:rPr>
      </w:pPr>
      <w:r>
        <w:rPr/>
        <w:t>(3)增资同方工业有限公司</w:t>
      </w:r>
      <w:r>
        <w:rPr>
          <w:spacing w:val="-66"/>
        </w:rPr>
        <w:t> </w:t>
      </w:r>
      <w:r>
        <w:rPr/>
        <w:t>2</w:t>
      </w:r>
      <w:r>
        <w:rPr>
          <w:spacing w:val="-66"/>
        </w:rPr>
        <w:t> </w:t>
      </w:r>
      <w:r>
        <w:rPr/>
        <w:t>亿元用于军民用数字化综合通信系统研发产业化项目</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2"/>
        <w:jc w:val="both"/>
      </w:pPr>
      <w:r>
        <w:rPr/>
        <w:t>同方工业有限公司成立于</w:t>
      </w:r>
      <w:r>
        <w:rPr>
          <w:spacing w:val="-65"/>
        </w:rPr>
        <w:t> </w:t>
      </w:r>
      <w:r>
        <w:rPr>
          <w:spacing w:val="20"/>
        </w:rPr>
        <w:t>2006年9</w:t>
      </w:r>
      <w:r>
        <w:rPr>
          <w:spacing w:val="-65"/>
        </w:rPr>
        <w:t> </w:t>
      </w:r>
      <w:r>
        <w:rPr>
          <w:spacing w:val="-3"/>
        </w:rPr>
        <w:t>月，注册资本为</w:t>
      </w:r>
      <w:r>
        <w:rPr>
          <w:spacing w:val="-65"/>
        </w:rPr>
        <w:t> </w:t>
      </w:r>
      <w:r>
        <w:rPr/>
        <w:t>2</w:t>
      </w:r>
      <w:r>
        <w:rPr>
          <w:spacing w:val="-65"/>
        </w:rPr>
        <w:t> </w:t>
      </w:r>
      <w:r>
        <w:rPr/>
        <w:t>亿元，是按照国家军工体系要求单</w:t>
      </w:r>
      <w:r>
        <w:rPr/>
        <w:t> 独组建的</w:t>
      </w:r>
      <w:r>
        <w:rPr>
          <w:spacing w:val="-40"/>
        </w:rPr>
        <w:t> </w:t>
      </w:r>
      <w:r>
        <w:rPr/>
        <w:t>100%全资子公司，主要从事军用产品的研制、生产与销售工作。本次增资同方</w:t>
      </w:r>
      <w:r>
        <w:rPr/>
        <w:t> 工业有限公司的 2</w:t>
      </w:r>
      <w:r>
        <w:rPr>
          <w:spacing w:val="-42"/>
        </w:rPr>
        <w:t> </w:t>
      </w:r>
      <w:r>
        <w:rPr/>
        <w:t>亿元资金，将用于增加研制、开发与生产等方面的资金，包括完成已</w:t>
      </w:r>
    </w:p>
    <w:p>
      <w:pPr>
        <w:pStyle w:val="BodyText"/>
        <w:spacing w:line="311" w:lineRule="exact"/>
        <w:ind w:left="238" w:right="0"/>
        <w:jc w:val="both"/>
      </w:pPr>
      <w:r>
        <w:rPr/>
        <w:t>经获得的军方订单。增资后，同方工业有限公司注册资本金为</w:t>
      </w:r>
      <w:r>
        <w:rPr>
          <w:spacing w:val="-60"/>
        </w:rPr>
        <w:t> </w:t>
      </w:r>
      <w:r>
        <w:rPr/>
        <w:t>4</w:t>
      </w:r>
      <w:r>
        <w:rPr>
          <w:spacing w:val="-60"/>
        </w:rPr>
        <w:t> </w:t>
      </w:r>
      <w:r>
        <w:rPr/>
        <w:t>亿元。</w:t>
      </w:r>
    </w:p>
    <w:p>
      <w:pPr>
        <w:spacing w:line="240" w:lineRule="auto" w:before="1"/>
        <w:rPr>
          <w:rFonts w:ascii="宋体" w:hAnsi="宋体" w:cs="宋体" w:eastAsia="宋体" w:hint="default"/>
          <w:sz w:val="26"/>
          <w:szCs w:val="26"/>
        </w:rPr>
      </w:pPr>
    </w:p>
    <w:p>
      <w:pPr>
        <w:pStyle w:val="BodyText"/>
        <w:spacing w:line="310" w:lineRule="exact"/>
        <w:ind w:left="238" w:right="243"/>
        <w:jc w:val="both"/>
      </w:pPr>
      <w:r>
        <w:rPr/>
        <w:t>2007</w:t>
      </w:r>
      <w:r>
        <w:rPr>
          <w:spacing w:val="-60"/>
        </w:rPr>
        <w:t> </w:t>
      </w:r>
      <w:r>
        <w:rPr>
          <w:spacing w:val="-3"/>
        </w:rPr>
        <w:t>年，公司已完成对同方工业有限公司的增资</w:t>
      </w:r>
      <w:r>
        <w:rPr>
          <w:spacing w:val="-60"/>
        </w:rPr>
        <w:t> </w:t>
      </w:r>
      <w:r>
        <w:rPr/>
        <w:t>20,000</w:t>
      </w:r>
      <w:r>
        <w:rPr>
          <w:spacing w:val="-60"/>
        </w:rPr>
        <w:t> </w:t>
      </w:r>
      <w:r>
        <w:rPr>
          <w:spacing w:val="-6"/>
        </w:rPr>
        <w:t>万元，本报告期内，该项目实现</w:t>
      </w:r>
      <w:r>
        <w:rPr>
          <w:spacing w:val="-1"/>
        </w:rPr>
        <w:t> </w:t>
      </w:r>
      <w:r>
        <w:rPr/>
        <w:t>收益-783.52</w:t>
      </w:r>
      <w:r>
        <w:rPr>
          <w:spacing w:val="-60"/>
        </w:rPr>
        <w:t> </w:t>
      </w:r>
      <w:r>
        <w:rPr/>
        <w:t>万元，符合投资计划进度和预计收益。</w:t>
      </w:r>
    </w:p>
    <w:p>
      <w:pPr>
        <w:spacing w:line="240" w:lineRule="auto" w:before="6"/>
        <w:rPr>
          <w:rFonts w:ascii="宋体" w:hAnsi="宋体" w:cs="宋体" w:eastAsia="宋体" w:hint="default"/>
          <w:sz w:val="21"/>
          <w:szCs w:val="21"/>
        </w:rPr>
      </w:pPr>
    </w:p>
    <w:p>
      <w:pPr>
        <w:pStyle w:val="Heading3"/>
        <w:spacing w:line="240" w:lineRule="auto"/>
        <w:ind w:left="238" w:right="0"/>
        <w:jc w:val="both"/>
        <w:rPr>
          <w:b w:val="0"/>
          <w:bCs w:val="0"/>
        </w:rPr>
      </w:pPr>
      <w:r>
        <w:rPr/>
        <w:t>B．2008</w:t>
      </w:r>
      <w:r>
        <w:rPr>
          <w:spacing w:val="-60"/>
        </w:rPr>
        <w:t> </w:t>
      </w:r>
      <w:r>
        <w:rPr/>
        <w:t>年度配股募集资金使用情况</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left="238" w:right="0"/>
        <w:jc w:val="both"/>
      </w:pPr>
      <w:r>
        <w:rPr/>
        <w:t>2008</w:t>
      </w:r>
      <w:r>
        <w:rPr>
          <w:spacing w:val="-57"/>
        </w:rPr>
        <w:t> </w:t>
      </w:r>
      <w:r>
        <w:rPr>
          <w:spacing w:val="-3"/>
        </w:rPr>
        <w:t>年，公司通过配股方式募集资金</w:t>
      </w:r>
      <w:r>
        <w:rPr>
          <w:spacing w:val="-57"/>
        </w:rPr>
        <w:t> </w:t>
      </w:r>
      <w:r>
        <w:rPr/>
        <w:t>191,942.97</w:t>
      </w:r>
      <w:r>
        <w:rPr>
          <w:spacing w:val="-57"/>
        </w:rPr>
        <w:t> </w:t>
      </w:r>
      <w:r>
        <w:rPr>
          <w:spacing w:val="-4"/>
        </w:rPr>
        <w:t>万元，截至本报告期末，公司已累计使</w:t>
      </w:r>
    </w:p>
    <w:p>
      <w:pPr>
        <w:pStyle w:val="BodyText"/>
        <w:spacing w:line="237" w:lineRule="auto" w:before="1"/>
        <w:ind w:left="238" w:right="240"/>
        <w:jc w:val="both"/>
      </w:pPr>
      <w:r>
        <w:rPr/>
        <w:t>用募集资金总额为</w:t>
      </w:r>
      <w:r>
        <w:rPr>
          <w:spacing w:val="-65"/>
        </w:rPr>
        <w:t> </w:t>
      </w:r>
      <w:r>
        <w:rPr/>
        <w:t>115,365.91</w:t>
      </w:r>
      <w:r>
        <w:rPr>
          <w:spacing w:val="-65"/>
        </w:rPr>
        <w:t> </w:t>
      </w:r>
      <w:r>
        <w:rPr/>
        <w:t>万元，尚未使用的募集资金金额为</w:t>
      </w:r>
      <w:r>
        <w:rPr>
          <w:spacing w:val="-65"/>
        </w:rPr>
        <w:t> </w:t>
      </w:r>
      <w:r>
        <w:rPr/>
        <w:t>76,577.06</w:t>
      </w:r>
      <w:r>
        <w:rPr>
          <w:spacing w:val="-65"/>
        </w:rPr>
        <w:t> </w:t>
      </w:r>
      <w:r>
        <w:rPr>
          <w:spacing w:val="-4"/>
        </w:rPr>
        <w:t>万元，尚未</w:t>
      </w:r>
      <w:r>
        <w:rPr/>
        <w:t> 使用的募集资金将根据公司配股说明书刊载的使用计划和实际使用进度，未来投入到高</w:t>
      </w:r>
      <w:r>
        <w:rPr>
          <w:spacing w:val="-47"/>
        </w:rPr>
        <w:t> </w:t>
      </w:r>
      <w:r>
        <w:rPr>
          <w:spacing w:val="-47"/>
        </w:rPr>
      </w:r>
      <w:r>
        <w:rPr>
          <w:spacing w:val="-1"/>
        </w:rPr>
        <w:t>亮度发光二极管（LED）芯片制造及其应用产业化项目和基于国家标准的数字电视网络系</w:t>
      </w:r>
      <w:r>
        <w:rPr/>
        <w:t> 统的技术开发、应用产业化项目中。</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募集资金投资具体投资项目如下：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316"/>
        <w:gridCol w:w="6086"/>
        <w:gridCol w:w="2015"/>
      </w:tblGrid>
      <w:tr>
        <w:trPr>
          <w:trHeight w:val="293" w:hRule="exact"/>
        </w:trPr>
        <w:tc>
          <w:tcPr>
            <w:tcW w:w="1316"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序号</w:t>
            </w:r>
          </w:p>
        </w:tc>
        <w:tc>
          <w:tcPr>
            <w:tcW w:w="608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项目内容</w:t>
            </w:r>
          </w:p>
        </w:tc>
        <w:tc>
          <w:tcPr>
            <w:tcW w:w="201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投资总额(万元)</w:t>
            </w:r>
          </w:p>
        </w:tc>
      </w:tr>
      <w:tr>
        <w:trPr>
          <w:trHeight w:val="288" w:hRule="exact"/>
        </w:trPr>
        <w:tc>
          <w:tcPr>
            <w:tcW w:w="131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w:t>
            </w:r>
          </w:p>
        </w:tc>
        <w:tc>
          <w:tcPr>
            <w:tcW w:w="60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高亮度发光二极管（LED）芯片制造及其应用产业化项目</w:t>
            </w:r>
          </w:p>
        </w:tc>
        <w:tc>
          <w:tcPr>
            <w:tcW w:w="201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80,000.00</w:t>
            </w:r>
          </w:p>
        </w:tc>
      </w:tr>
      <w:tr>
        <w:trPr>
          <w:trHeight w:val="287" w:hRule="exact"/>
        </w:trPr>
        <w:tc>
          <w:tcPr>
            <w:tcW w:w="131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w:t>
            </w:r>
          </w:p>
        </w:tc>
        <w:tc>
          <w:tcPr>
            <w:tcW w:w="60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基于国家标准的数字电视网络系统的技术开发、应用产业化项目</w:t>
            </w:r>
          </w:p>
        </w:tc>
        <w:tc>
          <w:tcPr>
            <w:tcW w:w="201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60,000.00</w:t>
            </w:r>
          </w:p>
        </w:tc>
      </w:tr>
      <w:tr>
        <w:trPr>
          <w:trHeight w:val="288" w:hRule="exact"/>
        </w:trPr>
        <w:tc>
          <w:tcPr>
            <w:tcW w:w="131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3</w:t>
            </w:r>
          </w:p>
        </w:tc>
        <w:tc>
          <w:tcPr>
            <w:tcW w:w="60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201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51,942.97</w:t>
            </w:r>
          </w:p>
        </w:tc>
      </w:tr>
      <w:tr>
        <w:trPr>
          <w:trHeight w:val="357" w:hRule="exact"/>
        </w:trPr>
        <w:tc>
          <w:tcPr>
            <w:tcW w:w="7402"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015"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9" w:right="0"/>
              <w:jc w:val="center"/>
              <w:rPr>
                <w:rFonts w:ascii="宋体" w:hAnsi="宋体" w:cs="宋体" w:eastAsia="宋体" w:hint="default"/>
                <w:sz w:val="21"/>
                <w:szCs w:val="21"/>
              </w:rPr>
            </w:pPr>
            <w:r>
              <w:rPr>
                <w:rFonts w:ascii="宋体"/>
                <w:sz w:val="21"/>
              </w:rPr>
              <w:t>191,942.97</w:t>
            </w:r>
          </w:p>
        </w:tc>
      </w:tr>
    </w:tbl>
    <w:p>
      <w:pPr>
        <w:spacing w:line="240" w:lineRule="auto" w:before="10"/>
        <w:rPr>
          <w:rFonts w:ascii="宋体" w:hAnsi="宋体" w:cs="宋体" w:eastAsia="宋体" w:hint="default"/>
          <w:sz w:val="18"/>
          <w:szCs w:val="18"/>
        </w:rPr>
      </w:pPr>
    </w:p>
    <w:p>
      <w:pPr>
        <w:pStyle w:val="BodyText"/>
        <w:spacing w:line="240" w:lineRule="auto" w:before="26"/>
        <w:ind w:left="238" w:right="107"/>
        <w:jc w:val="left"/>
      </w:pPr>
      <w:r>
        <w:rPr/>
        <w:t>本年度，募集资金承诺项目投资以及收益情况如下：</w:t>
      </w:r>
    </w:p>
    <w:p>
      <w:pPr>
        <w:spacing w:line="240" w:lineRule="auto" w:before="2"/>
        <w:rPr>
          <w:rFonts w:ascii="宋体" w:hAnsi="宋体" w:cs="宋体" w:eastAsia="宋体" w:hint="default"/>
          <w:sz w:val="18"/>
          <w:szCs w:val="18"/>
        </w:rPr>
      </w:pPr>
    </w:p>
    <w:p>
      <w:pPr>
        <w:spacing w:before="35"/>
        <w:ind w:left="0" w:right="242" w:firstLine="0"/>
        <w:jc w:val="righ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503"/>
        <w:gridCol w:w="1027"/>
        <w:gridCol w:w="706"/>
        <w:gridCol w:w="1026"/>
        <w:gridCol w:w="1026"/>
        <w:gridCol w:w="1106"/>
        <w:gridCol w:w="1318"/>
        <w:gridCol w:w="706"/>
      </w:tblGrid>
      <w:tr>
        <w:trPr>
          <w:trHeight w:val="982" w:hRule="exact"/>
        </w:trPr>
        <w:tc>
          <w:tcPr>
            <w:tcW w:w="250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694"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1027"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2"/>
              <w:ind w:left="121" w:right="12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拟投入金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0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1"/>
              <w:ind w:left="164" w:right="162"/>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变更</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1"/>
              <w:ind w:left="121" w:right="119"/>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实际投入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b/>
                <w:bCs/>
                <w:w w:val="95"/>
                <w:sz w:val="18"/>
                <w:szCs w:val="18"/>
              </w:rPr>
              <w:t>预计收益</w:t>
            </w:r>
            <w:r>
              <w:rPr>
                <w:rFonts w:ascii="宋体" w:hAnsi="宋体" w:cs="宋体" w:eastAsia="宋体" w:hint="default"/>
                <w:sz w:val="18"/>
                <w:szCs w:val="18"/>
              </w:rPr>
            </w:r>
          </w:p>
        </w:tc>
        <w:tc>
          <w:tcPr>
            <w:tcW w:w="110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01"/>
              <w:ind w:left="160" w:right="16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产生收益</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70" w:right="108" w:hanging="362"/>
              <w:jc w:val="left"/>
              <w:rPr>
                <w:rFonts w:ascii="宋体" w:hAnsi="宋体" w:cs="宋体" w:eastAsia="宋体" w:hint="default"/>
                <w:sz w:val="18"/>
                <w:szCs w:val="18"/>
              </w:rPr>
            </w:pPr>
            <w:r>
              <w:rPr>
                <w:rFonts w:ascii="宋体" w:hAnsi="宋体" w:cs="宋体" w:eastAsia="宋体" w:hint="default"/>
                <w:b/>
                <w:bCs/>
                <w:sz w:val="18"/>
                <w:szCs w:val="18"/>
              </w:rPr>
              <w:t>是否符合计划</w:t>
            </w:r>
            <w:r>
              <w:rPr>
                <w:rFonts w:ascii="宋体" w:hAnsi="宋体" w:cs="宋体" w:eastAsia="宋体" w:hint="default"/>
                <w:b/>
                <w:bCs/>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706" w:type="dxa"/>
            <w:tcBorders>
              <w:top w:val="single" w:sz="12" w:space="0" w:color="000000"/>
              <w:left w:val="single" w:sz="6" w:space="0" w:color="000000"/>
              <w:bottom w:val="single" w:sz="6" w:space="0" w:color="000000"/>
              <w:right w:val="single" w:sz="12" w:space="0" w:color="000000"/>
            </w:tcBorders>
          </w:tcPr>
          <w:p>
            <w:pPr>
              <w:pStyle w:val="TableParagraph"/>
              <w:spacing w:line="217" w:lineRule="exact"/>
              <w:ind w:left="164" w:right="0"/>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44" w:lineRule="auto" w:before="4"/>
              <w:ind w:left="164" w:right="155"/>
              <w:jc w:val="both"/>
              <w:rPr>
                <w:rFonts w:ascii="宋体" w:hAnsi="宋体" w:cs="宋体" w:eastAsia="宋体" w:hint="default"/>
                <w:sz w:val="18"/>
                <w:szCs w:val="18"/>
              </w:rPr>
            </w:pPr>
            <w:r>
              <w:rPr>
                <w:rFonts w:ascii="宋体" w:hAnsi="宋体" w:cs="宋体" w:eastAsia="宋体" w:hint="default"/>
                <w:b/>
                <w:bCs/>
                <w:sz w:val="18"/>
                <w:szCs w:val="18"/>
              </w:rPr>
              <w:t>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255" w:hRule="exact"/>
        </w:trPr>
        <w:tc>
          <w:tcPr>
            <w:tcW w:w="2503" w:type="dxa"/>
            <w:tcBorders>
              <w:top w:val="single" w:sz="6" w:space="0" w:color="000000"/>
              <w:left w:val="single" w:sz="12" w:space="0" w:color="000000"/>
              <w:bottom w:val="nil" w:sz="6" w:space="0" w:color="auto"/>
              <w:right w:val="single" w:sz="6" w:space="0" w:color="000000"/>
            </w:tcBorders>
          </w:tcPr>
          <w:p>
            <w:pPr/>
          </w:p>
        </w:tc>
        <w:tc>
          <w:tcPr>
            <w:tcW w:w="1027" w:type="dxa"/>
            <w:tcBorders>
              <w:top w:val="single" w:sz="6" w:space="0" w:color="000000"/>
              <w:left w:val="single" w:sz="6" w:space="0" w:color="000000"/>
              <w:bottom w:val="nil" w:sz="6" w:space="0" w:color="auto"/>
              <w:right w:val="single" w:sz="6" w:space="0" w:color="000000"/>
            </w:tcBorders>
          </w:tcPr>
          <w:p>
            <w:pPr/>
          </w:p>
        </w:tc>
        <w:tc>
          <w:tcPr>
            <w:tcW w:w="70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10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因受到北京奥</w:t>
            </w:r>
            <w:r>
              <w:rPr>
                <w:rFonts w:ascii="宋体" w:hAnsi="宋体" w:cs="宋体" w:eastAsia="宋体" w:hint="default"/>
                <w:sz w:val="18"/>
                <w:szCs w:val="18"/>
              </w:rPr>
            </w:r>
          </w:p>
        </w:tc>
        <w:tc>
          <w:tcPr>
            <w:tcW w:w="706" w:type="dxa"/>
            <w:tcBorders>
              <w:top w:val="single" w:sz="6" w:space="0" w:color="000000"/>
              <w:left w:val="single" w:sz="6" w:space="0" w:color="000000"/>
              <w:bottom w:val="nil" w:sz="6" w:space="0" w:color="auto"/>
              <w:right w:val="single" w:sz="12" w:space="0" w:color="000000"/>
            </w:tcBorders>
          </w:tcPr>
          <w:p>
            <w:pPr/>
          </w:p>
        </w:tc>
      </w:tr>
      <w:tr>
        <w:trPr>
          <w:trHeight w:val="720" w:hRule="exact"/>
        </w:trPr>
        <w:tc>
          <w:tcPr>
            <w:tcW w:w="2503" w:type="dxa"/>
            <w:tcBorders>
              <w:top w:val="nil" w:sz="6" w:space="0" w:color="auto"/>
              <w:left w:val="single" w:sz="12" w:space="0" w:color="000000"/>
              <w:bottom w:val="nil" w:sz="6" w:space="0" w:color="auto"/>
              <w:right w:val="single" w:sz="6" w:space="0" w:color="000000"/>
            </w:tcBorders>
          </w:tcPr>
          <w:p>
            <w:pPr>
              <w:pStyle w:val="TableParagraph"/>
              <w:spacing w:line="244" w:lineRule="auto" w:before="94"/>
              <w:ind w:left="93" w:right="94"/>
              <w:jc w:val="left"/>
              <w:rPr>
                <w:rFonts w:ascii="宋体" w:hAnsi="宋体" w:cs="宋体" w:eastAsia="宋体" w:hint="default"/>
                <w:sz w:val="18"/>
                <w:szCs w:val="18"/>
              </w:rPr>
            </w:pPr>
            <w:r>
              <w:rPr>
                <w:rFonts w:ascii="宋体" w:hAnsi="宋体" w:cs="宋体" w:eastAsia="宋体" w:hint="default"/>
                <w:spacing w:val="2"/>
                <w:sz w:val="18"/>
                <w:szCs w:val="18"/>
              </w:rPr>
              <w:t>高亮度发光二极管（LED）芯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片制造及其应用产业化项目</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61,500.00</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28,022.86</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11,620.00</w:t>
            </w:r>
          </w:p>
        </w:tc>
        <w:tc>
          <w:tcPr>
            <w:tcW w:w="110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1,019.39</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运会期间施工</w:t>
            </w:r>
            <w:r>
              <w:rPr>
                <w:rFonts w:ascii="宋体" w:hAnsi="宋体" w:cs="宋体" w:eastAsia="宋体" w:hint="default"/>
                <w:sz w:val="18"/>
                <w:szCs w:val="18"/>
              </w:rPr>
            </w:r>
          </w:p>
          <w:p>
            <w:pPr>
              <w:pStyle w:val="TableParagraph"/>
              <w:spacing w:line="244" w:lineRule="auto" w:before="4"/>
              <w:ind w:left="100" w:right="92"/>
              <w:jc w:val="left"/>
              <w:rPr>
                <w:rFonts w:ascii="宋体" w:hAnsi="宋体" w:cs="宋体" w:eastAsia="宋体" w:hint="default"/>
                <w:sz w:val="18"/>
                <w:szCs w:val="18"/>
              </w:rPr>
            </w:pPr>
            <w:r>
              <w:rPr>
                <w:rFonts w:ascii="宋体" w:hAnsi="宋体" w:cs="宋体" w:eastAsia="宋体" w:hint="default"/>
                <w:spacing w:val="3"/>
                <w:sz w:val="18"/>
                <w:szCs w:val="18"/>
              </w:rPr>
              <w:t>限制的影响，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该项目推迟投</w:t>
            </w:r>
            <w:r>
              <w:rPr>
                <w:rFonts w:ascii="宋体" w:hAnsi="宋体" w:cs="宋体" w:eastAsia="宋体" w:hint="default"/>
                <w:sz w:val="18"/>
                <w:szCs w:val="18"/>
              </w:rPr>
            </w:r>
          </w:p>
        </w:tc>
        <w:tc>
          <w:tcPr>
            <w:tcW w:w="706" w:type="dxa"/>
            <w:tcBorders>
              <w:top w:val="nil" w:sz="6" w:space="0" w:color="auto"/>
              <w:left w:val="single" w:sz="6" w:space="0" w:color="000000"/>
              <w:bottom w:val="nil" w:sz="6" w:space="0" w:color="auto"/>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0" w:hRule="exact"/>
        </w:trPr>
        <w:tc>
          <w:tcPr>
            <w:tcW w:w="2503" w:type="dxa"/>
            <w:tcBorders>
              <w:top w:val="nil" w:sz="6" w:space="0" w:color="auto"/>
              <w:left w:val="single" w:sz="12" w:space="0" w:color="000000"/>
              <w:bottom w:val="single" w:sz="6" w:space="0" w:color="000000"/>
              <w:right w:val="single" w:sz="6" w:space="0" w:color="000000"/>
            </w:tcBorders>
          </w:tcPr>
          <w:p>
            <w:pPr/>
          </w:p>
        </w:tc>
        <w:tc>
          <w:tcPr>
            <w:tcW w:w="1027"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10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706" w:type="dxa"/>
            <w:tcBorders>
              <w:top w:val="nil" w:sz="6" w:space="0" w:color="auto"/>
              <w:left w:val="single" w:sz="6" w:space="0" w:color="000000"/>
              <w:bottom w:val="single" w:sz="6" w:space="0" w:color="000000"/>
              <w:right w:val="single" w:sz="12" w:space="0" w:color="000000"/>
            </w:tcBorders>
          </w:tcPr>
          <w:p>
            <w:pPr/>
          </w:p>
        </w:tc>
      </w:tr>
      <w:tr>
        <w:trPr>
          <w:trHeight w:val="256" w:hRule="exact"/>
        </w:trPr>
        <w:tc>
          <w:tcPr>
            <w:tcW w:w="2503" w:type="dxa"/>
            <w:tcBorders>
              <w:top w:val="single" w:sz="6" w:space="0" w:color="000000"/>
              <w:left w:val="single" w:sz="12" w:space="0" w:color="000000"/>
              <w:bottom w:val="nil" w:sz="6" w:space="0" w:color="auto"/>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pacing w:val="11"/>
                <w:sz w:val="18"/>
                <w:szCs w:val="18"/>
              </w:rPr>
              <w:t>基于国家标准的数字电视网</w:t>
            </w:r>
            <w:r>
              <w:rPr>
                <w:rFonts w:ascii="宋体" w:hAnsi="宋体" w:cs="宋体" w:eastAsia="宋体" w:hint="default"/>
                <w:sz w:val="18"/>
                <w:szCs w:val="18"/>
              </w:rPr>
            </w:r>
          </w:p>
        </w:tc>
        <w:tc>
          <w:tcPr>
            <w:tcW w:w="1027" w:type="dxa"/>
            <w:tcBorders>
              <w:top w:val="single" w:sz="6" w:space="0" w:color="000000"/>
              <w:left w:val="single" w:sz="6" w:space="0" w:color="000000"/>
              <w:bottom w:val="nil" w:sz="6" w:space="0" w:color="auto"/>
              <w:right w:val="single" w:sz="6" w:space="0" w:color="000000"/>
            </w:tcBorders>
          </w:tcPr>
          <w:p>
            <w:pPr/>
          </w:p>
        </w:tc>
        <w:tc>
          <w:tcPr>
            <w:tcW w:w="70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110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706" w:type="dxa"/>
            <w:tcBorders>
              <w:top w:val="single" w:sz="6" w:space="0" w:color="000000"/>
              <w:left w:val="single" w:sz="6" w:space="0" w:color="000000"/>
              <w:bottom w:val="nil" w:sz="6" w:space="0" w:color="auto"/>
              <w:right w:val="single" w:sz="12" w:space="0" w:color="000000"/>
            </w:tcBorders>
          </w:tcPr>
          <w:p>
            <w:pPr/>
          </w:p>
        </w:tc>
      </w:tr>
      <w:tr>
        <w:trPr>
          <w:trHeight w:val="240" w:hRule="exact"/>
        </w:trPr>
        <w:tc>
          <w:tcPr>
            <w:tcW w:w="2503"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pacing w:val="-5"/>
                <w:sz w:val="18"/>
                <w:szCs w:val="18"/>
              </w:rPr>
              <w:t>络系统的技术开发、应用产业</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sz w:val="18"/>
              </w:rPr>
              <w:t>33,000.00</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25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35,400.08</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-2,484.00</w:t>
            </w:r>
          </w:p>
        </w:tc>
        <w:tc>
          <w:tcPr>
            <w:tcW w:w="110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454.67</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39" w:hRule="exact"/>
        </w:trPr>
        <w:tc>
          <w:tcPr>
            <w:tcW w:w="2503" w:type="dxa"/>
            <w:tcBorders>
              <w:top w:val="nil" w:sz="6" w:space="0" w:color="auto"/>
              <w:left w:val="single" w:sz="12" w:space="0" w:color="000000"/>
              <w:bottom w:val="single" w:sz="6" w:space="0" w:color="000000"/>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化项目</w:t>
            </w:r>
          </w:p>
        </w:tc>
        <w:tc>
          <w:tcPr>
            <w:tcW w:w="1027"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110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706" w:type="dxa"/>
            <w:tcBorders>
              <w:top w:val="nil" w:sz="6" w:space="0" w:color="auto"/>
              <w:left w:val="single" w:sz="6" w:space="0" w:color="000000"/>
              <w:bottom w:val="single" w:sz="6" w:space="0" w:color="000000"/>
              <w:right w:val="single" w:sz="12" w:space="0" w:color="000000"/>
            </w:tcBorders>
          </w:tcPr>
          <w:p>
            <w:pPr/>
          </w:p>
        </w:tc>
      </w:tr>
      <w:tr>
        <w:trPr>
          <w:trHeight w:val="323" w:hRule="exact"/>
        </w:trPr>
        <w:tc>
          <w:tcPr>
            <w:tcW w:w="25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94,500.00</w:t>
            </w:r>
          </w:p>
        </w:tc>
        <w:tc>
          <w:tcPr>
            <w:tcW w:w="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300" w:right="0"/>
              <w:jc w:val="left"/>
              <w:rPr>
                <w:rFonts w:ascii="宋体" w:hAnsi="宋体" w:cs="宋体" w:eastAsia="宋体" w:hint="default"/>
                <w:sz w:val="18"/>
                <w:szCs w:val="18"/>
              </w:rPr>
            </w:pPr>
            <w:r>
              <w:rPr>
                <w:rFonts w:ascii="宋体"/>
                <w:sz w:val="18"/>
              </w:rPr>
              <w:t>/</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63,422.94</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9,136.00</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1,474.06</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w:t>
            </w:r>
          </w:p>
        </w:tc>
        <w:tc>
          <w:tcPr>
            <w:tcW w:w="7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left="6"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before="26"/>
        <w:ind w:left="138" w:right="0"/>
        <w:jc w:val="both"/>
        <w:rPr>
          <w:b w:val="0"/>
          <w:bCs w:val="0"/>
        </w:rPr>
      </w:pPr>
      <w:r>
        <w:rPr/>
        <w:t>(1)投资</w:t>
      </w:r>
      <w:r>
        <w:rPr>
          <w:spacing w:val="-61"/>
        </w:rPr>
        <w:t> </w:t>
      </w:r>
      <w:r>
        <w:rPr/>
        <w:t>8</w:t>
      </w:r>
      <w:r>
        <w:rPr>
          <w:spacing w:val="-62"/>
        </w:rPr>
        <w:t> </w:t>
      </w:r>
      <w:r>
        <w:rPr/>
        <w:t>亿元用于高亮度发光二极管（LED）芯片制造及其应用产业化项目</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42"/>
        <w:jc w:val="both"/>
      </w:pPr>
      <w:r>
        <w:rPr/>
        <w:t>本项目拟投资</w:t>
      </w:r>
      <w:r>
        <w:rPr>
          <w:spacing w:val="-80"/>
        </w:rPr>
        <w:t> </w:t>
      </w:r>
      <w:r>
        <w:rPr/>
        <w:t>8.0</w:t>
      </w:r>
      <w:r>
        <w:rPr>
          <w:spacing w:val="-80"/>
        </w:rPr>
        <w:t> </w:t>
      </w:r>
      <w:r>
        <w:rPr/>
        <w:t>亿元，用于高亮度半导体发光二极管（LED）芯片的扩大生产以及高亮</w:t>
      </w:r>
      <w:r>
        <w:rPr/>
        <w:t> 度 LED</w:t>
      </w:r>
      <w:r>
        <w:rPr>
          <w:spacing w:val="-70"/>
        </w:rPr>
        <w:t> </w:t>
      </w:r>
      <w:r>
        <w:rPr/>
        <w:t>照明产品在特种景观照明的规模化应用。项目依托公司已经开发、研究和掌握的</w:t>
      </w:r>
      <w:r>
        <w:rPr>
          <w:spacing w:val="-1"/>
        </w:rPr>
        <w:t> </w:t>
      </w:r>
      <w:r>
        <w:rPr/>
        <w:t>高亮度半导体</w:t>
      </w:r>
      <w:r>
        <w:rPr>
          <w:spacing w:val="-33"/>
        </w:rPr>
        <w:t> </w:t>
      </w:r>
      <w:r>
        <w:rPr/>
        <w:t>LED</w:t>
      </w:r>
      <w:r>
        <w:rPr>
          <w:spacing w:val="-33"/>
        </w:rPr>
        <w:t> </w:t>
      </w:r>
      <w:r>
        <w:rPr/>
        <w:t>芯片产业化关键技术，投资建设发光效率超过</w:t>
      </w:r>
      <w:r>
        <w:rPr>
          <w:spacing w:val="-33"/>
        </w:rPr>
        <w:t> </w:t>
      </w:r>
      <w:r>
        <w:rPr/>
        <w:t>60 lm/w</w:t>
      </w:r>
      <w:r>
        <w:rPr>
          <w:spacing w:val="-33"/>
        </w:rPr>
        <w:t> </w:t>
      </w:r>
      <w:r>
        <w:rPr/>
        <w:t>的半导体</w:t>
      </w:r>
      <w:r>
        <w:rPr>
          <w:spacing w:val="-33"/>
        </w:rPr>
        <w:t> </w:t>
      </w:r>
      <w:r>
        <w:rPr/>
        <w:t>LED</w:t>
      </w:r>
      <w:r>
        <w:rPr/>
        <w:t> 芯片生产线，规模化生产高亮度蓝、绿光</w:t>
      </w:r>
      <w:r>
        <w:rPr>
          <w:spacing w:val="-67"/>
        </w:rPr>
        <w:t> </w:t>
      </w:r>
      <w:r>
        <w:rPr/>
        <w:t>LED</w:t>
      </w:r>
      <w:r>
        <w:rPr>
          <w:spacing w:val="-67"/>
        </w:rPr>
        <w:t> </w:t>
      </w:r>
      <w:r>
        <w:rPr/>
        <w:t>芯片，形成年产</w:t>
      </w:r>
      <w:r>
        <w:rPr>
          <w:spacing w:val="-67"/>
        </w:rPr>
        <w:t> </w:t>
      </w:r>
      <w:r>
        <w:rPr/>
        <w:t>36</w:t>
      </w:r>
      <w:r>
        <w:rPr>
          <w:spacing w:val="-67"/>
        </w:rPr>
        <w:t> </w:t>
      </w:r>
      <w:r>
        <w:rPr/>
        <w:t>亿粒高亮度</w:t>
      </w:r>
      <w:r>
        <w:rPr>
          <w:spacing w:val="-67"/>
        </w:rPr>
        <w:t> </w:t>
      </w:r>
      <w:r>
        <w:rPr/>
        <w:t>LED</w:t>
      </w:r>
      <w:r>
        <w:rPr>
          <w:spacing w:val="-67"/>
        </w:rPr>
        <w:t> </w:t>
      </w:r>
      <w:r>
        <w:rPr/>
        <w:t>芯片的</w:t>
      </w:r>
      <w:r>
        <w:rPr/>
        <w:t> 生产能力；公司并以此为基础，研制与开发高亮度 LED</w:t>
      </w:r>
      <w:r>
        <w:rPr>
          <w:spacing w:val="-41"/>
        </w:rPr>
        <w:t> </w:t>
      </w:r>
      <w:r>
        <w:rPr/>
        <w:t>照明产品在园林景观、建筑景观</w:t>
      </w:r>
      <w:r>
        <w:rPr/>
        <w:t> 等特种景观照明工程中的规模化应用。</w:t>
      </w:r>
    </w:p>
    <w:p>
      <w:pPr>
        <w:spacing w:line="240" w:lineRule="auto" w:before="13"/>
        <w:rPr>
          <w:rFonts w:ascii="宋体" w:hAnsi="宋体" w:cs="宋体" w:eastAsia="宋体" w:hint="default"/>
          <w:sz w:val="25"/>
          <w:szCs w:val="25"/>
        </w:rPr>
      </w:pPr>
    </w:p>
    <w:p>
      <w:pPr>
        <w:pStyle w:val="BodyText"/>
        <w:spacing w:line="312" w:lineRule="exact"/>
        <w:ind w:right="105"/>
        <w:jc w:val="both"/>
      </w:pPr>
      <w:r>
        <w:rPr>
          <w:spacing w:val="-2"/>
        </w:rPr>
        <w:t>本报告期内，因受到北京奥运会期间施工限制的影响，该项目推迟投入,目前公司投入的</w:t>
      </w:r>
      <w:r>
        <w:rPr>
          <w:spacing w:val="-82"/>
        </w:rPr>
        <w:t> </w:t>
      </w:r>
      <w:r>
        <w:rPr>
          <w:spacing w:val="-82"/>
        </w:rPr>
      </w:r>
      <w:r>
        <w:rPr>
          <w:spacing w:val="-2"/>
        </w:rPr>
        <w:t>高亮度发光二极管(LED)芯片制造生产线已经完成生产厂房等基础设施投入，正在着手实</w:t>
      </w:r>
      <w:r>
        <w:rPr>
          <w:spacing w:val="-117"/>
        </w:rPr>
        <w:t> </w:t>
      </w:r>
      <w:r>
        <w:rPr>
          <w:spacing w:val="-117"/>
        </w:rPr>
      </w:r>
      <w:r>
        <w:rPr/>
        <w:t>施调试。截至报告期末对该项目共投资</w:t>
      </w:r>
      <w:r>
        <w:rPr>
          <w:spacing w:val="-60"/>
        </w:rPr>
        <w:t> </w:t>
      </w:r>
      <w:r>
        <w:rPr/>
        <w:t>28,022.86</w:t>
      </w:r>
      <w:r>
        <w:rPr>
          <w:spacing w:val="-60"/>
        </w:rPr>
        <w:t> </w:t>
      </w:r>
      <w:r>
        <w:rPr/>
        <w:t>万元，实现项目收益</w:t>
      </w:r>
      <w:r>
        <w:rPr>
          <w:spacing w:val="-60"/>
        </w:rPr>
        <w:t> </w:t>
      </w:r>
      <w:r>
        <w:rPr/>
        <w:t>1,019.39</w:t>
      </w:r>
      <w:r>
        <w:rPr>
          <w:spacing w:val="-60"/>
        </w:rPr>
        <w:t> </w:t>
      </w:r>
      <w:r>
        <w:rPr/>
        <w:t>万元，</w:t>
      </w:r>
      <w:r>
        <w:rPr/>
        <w:t> 主要来自于公司高亮度发光二极管芯片应用产业化部分。截止本报告日，该项目涉及的</w:t>
      </w:r>
      <w:r>
        <w:rPr>
          <w:spacing w:val="-47"/>
        </w:rPr>
        <w:t> </w:t>
      </w:r>
      <w:r>
        <w:rPr>
          <w:spacing w:val="-47"/>
        </w:rPr>
      </w:r>
      <w:r>
        <w:rPr/>
        <w:t>固定资产投资部分已经开始施工。</w:t>
      </w:r>
    </w:p>
    <w:p>
      <w:pPr>
        <w:spacing w:line="240" w:lineRule="auto" w:before="5"/>
        <w:rPr>
          <w:rFonts w:ascii="宋体" w:hAnsi="宋体" w:cs="宋体" w:eastAsia="宋体" w:hint="default"/>
          <w:sz w:val="21"/>
          <w:szCs w:val="21"/>
        </w:rPr>
      </w:pPr>
    </w:p>
    <w:p>
      <w:pPr>
        <w:pStyle w:val="Heading3"/>
        <w:spacing w:line="240" w:lineRule="auto"/>
        <w:ind w:left="138" w:right="0"/>
        <w:jc w:val="both"/>
        <w:rPr>
          <w:b w:val="0"/>
          <w:bCs w:val="0"/>
        </w:rPr>
      </w:pPr>
      <w:r>
        <w:rPr/>
        <w:t>(2)投资</w:t>
      </w:r>
      <w:r>
        <w:rPr>
          <w:spacing w:val="-61"/>
        </w:rPr>
        <w:t> </w:t>
      </w:r>
      <w:r>
        <w:rPr/>
        <w:t>6</w:t>
      </w:r>
      <w:r>
        <w:rPr>
          <w:spacing w:val="-63"/>
        </w:rPr>
        <w:t> </w:t>
      </w:r>
      <w:r>
        <w:rPr/>
        <w:t>亿元用于基于国家标准的数字电视网络系统的技术开发、应用产业化项目</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40"/>
        <w:jc w:val="both"/>
      </w:pPr>
      <w:r>
        <w:rPr/>
        <w:t>本项目计划投资 6</w:t>
      </w:r>
      <w:r>
        <w:rPr>
          <w:spacing w:val="-42"/>
        </w:rPr>
        <w:t> </w:t>
      </w:r>
      <w:r>
        <w:rPr/>
        <w:t>亿元，用于开发基于国家标准的、以数字电视网建设、应用为核心的</w:t>
      </w:r>
      <w:r>
        <w:rPr/>
        <w:t> 数字电视网络系统及其软硬件产品。项目通过研制广播电视数字化技术，开发生产具有</w:t>
      </w:r>
      <w:r>
        <w:rPr>
          <w:spacing w:val="-47"/>
        </w:rPr>
        <w:t> </w:t>
      </w:r>
      <w:r>
        <w:rPr>
          <w:spacing w:val="-47"/>
        </w:rPr>
      </w:r>
      <w:r>
        <w:rPr/>
        <w:t>用户认证、授权、计费、组网、视频媒体资产管理和分发、组播等功能的数字电视网络</w:t>
      </w:r>
      <w:r>
        <w:rPr>
          <w:spacing w:val="-47"/>
        </w:rPr>
        <w:t> </w:t>
      </w:r>
      <w:r>
        <w:rPr>
          <w:spacing w:val="-47"/>
        </w:rPr>
      </w:r>
      <w:r>
        <w:rPr/>
        <w:t>系统和硬件设备，以适应基于国标的有线数字电视、地面数字电视、卫星和</w:t>
      </w:r>
      <w:r>
        <w:rPr>
          <w:spacing w:val="-79"/>
        </w:rPr>
        <w:t> </w:t>
      </w:r>
      <w:r>
        <w:rPr/>
        <w:t>IPTV</w:t>
      </w:r>
      <w:r>
        <w:rPr>
          <w:spacing w:val="-79"/>
        </w:rPr>
        <w:t> </w:t>
      </w:r>
      <w:r>
        <w:rPr/>
        <w:t>等网络</w:t>
      </w:r>
      <w:r>
        <w:rPr/>
        <w:t> 环境，支持电视、广播、数据、视频点播、数字电影、电子商务等数字媒体综合业务的</w:t>
      </w:r>
      <w:r>
        <w:rPr>
          <w:spacing w:val="-47"/>
        </w:rPr>
        <w:t> </w:t>
      </w:r>
      <w:r>
        <w:rPr>
          <w:spacing w:val="-47"/>
        </w:rPr>
      </w:r>
      <w:r>
        <w:rPr/>
        <w:t>增值服务，提供成本低、高可靠性、便于运营管理的数字电视全面解决方案。</w:t>
      </w:r>
    </w:p>
    <w:p>
      <w:pPr>
        <w:spacing w:line="240" w:lineRule="auto" w:before="13"/>
        <w:rPr>
          <w:rFonts w:ascii="宋体" w:hAnsi="宋体" w:cs="宋体" w:eastAsia="宋体" w:hint="default"/>
          <w:sz w:val="25"/>
          <w:szCs w:val="25"/>
        </w:rPr>
      </w:pPr>
    </w:p>
    <w:p>
      <w:pPr>
        <w:pStyle w:val="BodyText"/>
        <w:spacing w:line="312" w:lineRule="exact"/>
        <w:ind w:right="143"/>
        <w:jc w:val="both"/>
      </w:pPr>
      <w:r>
        <w:rPr/>
        <w:t>本报告期内，该项目共投资</w:t>
      </w:r>
      <w:r>
        <w:rPr>
          <w:spacing w:val="-71"/>
        </w:rPr>
        <w:t> </w:t>
      </w:r>
      <w:r>
        <w:rPr/>
        <w:t>35,400.08</w:t>
      </w:r>
      <w:r>
        <w:rPr>
          <w:spacing w:val="-71"/>
        </w:rPr>
        <w:t> </w:t>
      </w:r>
      <w:r>
        <w:rPr/>
        <w:t>万元，实现项目收益</w:t>
      </w:r>
      <w:r>
        <w:rPr>
          <w:spacing w:val="-71"/>
        </w:rPr>
        <w:t> </w:t>
      </w:r>
      <w:r>
        <w:rPr/>
        <w:t>454.67</w:t>
      </w:r>
      <w:r>
        <w:rPr>
          <w:spacing w:val="-71"/>
        </w:rPr>
        <w:t> </w:t>
      </w:r>
      <w:r>
        <w:rPr/>
        <w:t>万元，符合投资进度</w:t>
      </w:r>
      <w:r>
        <w:rPr/>
        <w:t> 和预计收益。</w:t>
      </w:r>
    </w:p>
    <w:p>
      <w:pPr>
        <w:spacing w:line="240" w:lineRule="auto" w:before="5"/>
        <w:rPr>
          <w:rFonts w:ascii="宋体" w:hAnsi="宋体" w:cs="宋体" w:eastAsia="宋体" w:hint="default"/>
          <w:sz w:val="21"/>
          <w:szCs w:val="21"/>
        </w:rPr>
      </w:pPr>
    </w:p>
    <w:p>
      <w:pPr>
        <w:pStyle w:val="Heading3"/>
        <w:spacing w:line="475" w:lineRule="auto"/>
        <w:ind w:left="138" w:right="6555"/>
        <w:jc w:val="left"/>
        <w:rPr>
          <w:b w:val="0"/>
          <w:bCs w:val="0"/>
        </w:rPr>
      </w:pPr>
      <w:r>
        <w:rPr/>
        <w:t>2、报告期内其他投资情况</w:t>
      </w:r>
      <w:r>
        <w:rPr>
          <w:spacing w:val="1"/>
          <w:w w:val="99"/>
        </w:rPr>
        <w:t> </w:t>
      </w:r>
      <w:r>
        <w:rPr/>
        <w:t>A.公司对外投资</w:t>
      </w:r>
      <w:r>
        <w:rPr>
          <w:b w:val="0"/>
          <w:bCs w:val="0"/>
        </w:rPr>
      </w:r>
    </w:p>
    <w:p>
      <w:pPr>
        <w:pStyle w:val="BodyText"/>
        <w:spacing w:line="312" w:lineRule="exact" w:before="73"/>
        <w:ind w:right="0"/>
        <w:jc w:val="both"/>
      </w:pPr>
      <w:r>
        <w:rPr>
          <w:spacing w:val="2"/>
        </w:rPr>
        <w:t>本报告期内，公司长期股权投资(母公司)增加 </w:t>
      </w:r>
      <w:r>
        <w:rPr/>
        <w:t>461,737,117.33</w:t>
      </w:r>
      <w:r>
        <w:rPr>
          <w:spacing w:val="4"/>
        </w:rPr>
        <w:t> </w:t>
      </w:r>
      <w:r>
        <w:rPr>
          <w:spacing w:val="2"/>
        </w:rPr>
        <w:t>元，其中本期权益减少</w:t>
      </w:r>
      <w:r>
        <w:rPr/>
      </w:r>
    </w:p>
    <w:p>
      <w:pPr>
        <w:pStyle w:val="BodyText"/>
        <w:spacing w:line="312" w:lineRule="exact"/>
        <w:ind w:right="0"/>
        <w:jc w:val="both"/>
      </w:pPr>
      <w:r>
        <w:rPr/>
        <w:t>198,569,708.95 元，新增对外投资</w:t>
      </w:r>
      <w:r>
        <w:rPr>
          <w:spacing w:val="-60"/>
        </w:rPr>
        <w:t> </w:t>
      </w:r>
      <w:r>
        <w:rPr/>
        <w:t>660,306,826.28</w:t>
      </w:r>
      <w:r>
        <w:rPr>
          <w:spacing w:val="-60"/>
        </w:rPr>
        <w:t> </w:t>
      </w:r>
      <w:r>
        <w:rPr/>
        <w:t>元。</w:t>
      </w:r>
    </w:p>
    <w:p>
      <w:pPr>
        <w:spacing w:line="240" w:lineRule="auto" w:before="12"/>
        <w:rPr>
          <w:rFonts w:ascii="宋体" w:hAnsi="宋体" w:cs="宋体" w:eastAsia="宋体" w:hint="default"/>
          <w:sz w:val="25"/>
          <w:szCs w:val="25"/>
        </w:rPr>
      </w:pPr>
    </w:p>
    <w:p>
      <w:pPr>
        <w:pStyle w:val="BodyText"/>
        <w:spacing w:line="312" w:lineRule="exact"/>
        <w:ind w:right="142"/>
        <w:jc w:val="both"/>
      </w:pPr>
      <w:r>
        <w:rPr>
          <w:spacing w:val="19"/>
        </w:rPr>
        <w:t>(1)经公司第三届董事会第二十二次会议审议通过，公司向全资子公司</w:t>
      </w:r>
      <w:r>
        <w:rPr>
          <w:spacing w:val="38"/>
        </w:rPr>
        <w:t> </w:t>
      </w:r>
      <w:r>
        <w:rPr/>
        <w:t>Resuccess</w:t>
      </w:r>
      <w:r>
        <w:rPr>
          <w:spacing w:val="-116"/>
        </w:rPr>
        <w:t> </w:t>
      </w:r>
      <w:r>
        <w:rPr>
          <w:spacing w:val="-116"/>
        </w:rPr>
      </w:r>
      <w:r>
        <w:rPr/>
        <w:t>Investments</w:t>
      </w:r>
      <w:r>
        <w:rPr>
          <w:spacing w:val="-62"/>
        </w:rPr>
        <w:t> </w:t>
      </w:r>
      <w:r>
        <w:rPr/>
        <w:t>Limited</w:t>
      </w:r>
      <w:r>
        <w:rPr>
          <w:spacing w:val="-62"/>
        </w:rPr>
        <w:t> </w:t>
      </w:r>
      <w:r>
        <w:rPr/>
        <w:t>增资</w:t>
      </w:r>
      <w:r>
        <w:rPr>
          <w:spacing w:val="-62"/>
        </w:rPr>
        <w:t> </w:t>
      </w:r>
      <w:r>
        <w:rPr/>
        <w:t>1000</w:t>
      </w:r>
      <w:r>
        <w:rPr>
          <w:spacing w:val="-62"/>
        </w:rPr>
        <w:t> </w:t>
      </w:r>
      <w:r>
        <w:rPr/>
        <w:t>万美元。其中一期增资</w:t>
      </w:r>
      <w:r>
        <w:rPr>
          <w:spacing w:val="-62"/>
        </w:rPr>
        <w:t> </w:t>
      </w:r>
      <w:r>
        <w:rPr/>
        <w:t>200</w:t>
      </w:r>
      <w:r>
        <w:rPr>
          <w:spacing w:val="-62"/>
        </w:rPr>
        <w:t> </w:t>
      </w:r>
      <w:r>
        <w:rPr>
          <w:spacing w:val="-4"/>
        </w:rPr>
        <w:t>万美元，已于</w:t>
      </w:r>
      <w:r>
        <w:rPr>
          <w:spacing w:val="-62"/>
        </w:rPr>
        <w:t> </w:t>
      </w:r>
      <w:r>
        <w:rPr>
          <w:spacing w:val="20"/>
        </w:rPr>
        <w:t>2006年4</w:t>
      </w:r>
      <w:r>
        <w:rPr>
          <w:spacing w:val="-62"/>
        </w:rPr>
        <w:t> </w:t>
      </w:r>
      <w:r>
        <w:rPr/>
        <w:t>月完</w:t>
      </w:r>
    </w:p>
    <w:p>
      <w:pPr>
        <w:pStyle w:val="BodyText"/>
        <w:spacing w:line="281" w:lineRule="exact"/>
        <w:ind w:right="0"/>
        <w:jc w:val="both"/>
      </w:pPr>
      <w:r>
        <w:rPr/>
        <w:t>成增资手续。二期增资</w:t>
      </w:r>
      <w:r>
        <w:rPr>
          <w:spacing w:val="-65"/>
        </w:rPr>
        <w:t> </w:t>
      </w:r>
      <w:r>
        <w:rPr/>
        <w:t>800</w:t>
      </w:r>
      <w:r>
        <w:rPr>
          <w:spacing w:val="-65"/>
        </w:rPr>
        <w:t> </w:t>
      </w:r>
      <w:r>
        <w:rPr>
          <w:spacing w:val="-3"/>
        </w:rPr>
        <w:t>万美元，于</w:t>
      </w:r>
      <w:r>
        <w:rPr>
          <w:spacing w:val="-65"/>
        </w:rPr>
        <w:t> </w:t>
      </w:r>
      <w:r>
        <w:rPr/>
        <w:t>2008</w:t>
      </w:r>
      <w:r>
        <w:rPr>
          <w:spacing w:val="-65"/>
        </w:rPr>
        <w:t> </w:t>
      </w:r>
      <w:r>
        <w:rPr/>
        <w:t>年</w:t>
      </w:r>
      <w:r>
        <w:rPr>
          <w:spacing w:val="-65"/>
        </w:rPr>
        <w:t> </w:t>
      </w:r>
      <w:r>
        <w:rPr/>
        <w:t>5</w:t>
      </w:r>
      <w:r>
        <w:rPr>
          <w:spacing w:val="-65"/>
        </w:rPr>
        <w:t> </w:t>
      </w:r>
      <w:r>
        <w:rPr/>
        <w:t>月办理完增资手续。增资完成后该公司</w:t>
      </w:r>
    </w:p>
    <w:p>
      <w:pPr>
        <w:pStyle w:val="BodyText"/>
        <w:spacing w:line="312" w:lineRule="exact"/>
        <w:ind w:right="0"/>
        <w:jc w:val="both"/>
      </w:pPr>
      <w:r>
        <w:rPr/>
        <w:t>注册资本为</w:t>
      </w:r>
      <w:r>
        <w:rPr>
          <w:spacing w:val="-60"/>
        </w:rPr>
        <w:t> </w:t>
      </w:r>
      <w:r>
        <w:rPr/>
        <w:t>1000.0001</w:t>
      </w:r>
      <w:r>
        <w:rPr>
          <w:spacing w:val="-60"/>
        </w:rPr>
        <w:t> </w:t>
      </w:r>
      <w:r>
        <w:rPr/>
        <w:t>万美元，公司对其的持股比例为</w:t>
      </w:r>
      <w:r>
        <w:rPr>
          <w:spacing w:val="-60"/>
        </w:rPr>
        <w:t> </w:t>
      </w:r>
      <w:r>
        <w:rPr/>
        <w:t>100%。</w:t>
      </w:r>
    </w:p>
    <w:p>
      <w:pPr>
        <w:spacing w:line="240" w:lineRule="auto" w:before="11"/>
        <w:rPr>
          <w:rFonts w:ascii="宋体" w:hAnsi="宋体" w:cs="宋体" w:eastAsia="宋体" w:hint="default"/>
          <w:sz w:val="23"/>
          <w:szCs w:val="23"/>
        </w:rPr>
      </w:pPr>
    </w:p>
    <w:p>
      <w:pPr>
        <w:pStyle w:val="BodyText"/>
        <w:spacing w:line="237" w:lineRule="auto"/>
        <w:ind w:right="133"/>
        <w:jc w:val="both"/>
      </w:pPr>
      <w:r>
        <w:rPr>
          <w:spacing w:val="7"/>
        </w:rPr>
        <w:t>(2)经公司第四届董事会第六次会议审议通过，公司出资</w:t>
      </w:r>
      <w:r>
        <w:rPr>
          <w:spacing w:val="17"/>
        </w:rPr>
        <w:t> </w:t>
      </w:r>
      <w:r>
        <w:rPr/>
        <w:t>300</w:t>
      </w:r>
      <w:r>
        <w:rPr>
          <w:spacing w:val="18"/>
        </w:rPr>
        <w:t> </w:t>
      </w:r>
      <w:r>
        <w:rPr>
          <w:spacing w:val="9"/>
        </w:rPr>
        <w:t>万美元在新加坡设立了</w:t>
      </w:r>
      <w:r>
        <w:rPr>
          <w:spacing w:val="-118"/>
        </w:rPr>
        <w:t> </w:t>
      </w:r>
      <w:r>
        <w:rPr>
          <w:spacing w:val="-118"/>
        </w:rPr>
      </w:r>
      <w:r>
        <w:rPr/>
        <w:t>TongFang Asia Pacific(R&amp;D Center) Pte. Ltd.。设立完成后，该公司注册资本为</w:t>
      </w:r>
      <w:r>
        <w:rPr>
          <w:spacing w:val="-40"/>
        </w:rPr>
        <w:t> </w:t>
      </w:r>
      <w:r>
        <w:rPr/>
        <w:t>300</w:t>
      </w:r>
      <w:r>
        <w:rPr/>
        <w:t> 万美元，公司持有其</w:t>
      </w:r>
      <w:r>
        <w:rPr>
          <w:spacing w:val="-60"/>
        </w:rPr>
        <w:t> </w:t>
      </w:r>
      <w:r>
        <w:rPr/>
        <w:t>100%的股权。</w:t>
      </w:r>
    </w:p>
    <w:p>
      <w:pPr>
        <w:spacing w:after="0" w:line="237" w:lineRule="auto"/>
        <w:jc w:val="both"/>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2" w:lineRule="exact" w:before="26"/>
        <w:ind w:right="0"/>
        <w:jc w:val="both"/>
      </w:pPr>
      <w:r>
        <w:rPr/>
        <w:t>(3)</w:t>
      </w:r>
      <w:r>
        <w:rPr>
          <w:spacing w:val="-20"/>
        </w:rPr>
        <w:t> </w:t>
      </w:r>
      <w:r>
        <w:rPr/>
        <w:t>经公司第四届董事会第八次会议审议通过，公司出资</w:t>
      </w:r>
      <w:r>
        <w:rPr>
          <w:spacing w:val="-72"/>
        </w:rPr>
        <w:t> </w:t>
      </w:r>
      <w:r>
        <w:rPr/>
        <w:t>1777.1</w:t>
      </w:r>
      <w:r>
        <w:rPr>
          <w:spacing w:val="-70"/>
        </w:rPr>
        <w:t> </w:t>
      </w:r>
      <w:r>
        <w:rPr/>
        <w:t>万元受让北京同方凌讯</w:t>
      </w:r>
    </w:p>
    <w:p>
      <w:pPr>
        <w:pStyle w:val="BodyText"/>
        <w:spacing w:line="311" w:lineRule="exact"/>
        <w:ind w:right="0"/>
        <w:jc w:val="both"/>
      </w:pPr>
      <w:r>
        <w:rPr/>
        <w:t>科技有限公司持有的北京同方吉兆科技有限公司 56.84%股权，并以货币方式出资</w:t>
      </w:r>
      <w:r>
        <w:rPr>
          <w:spacing w:val="65"/>
        </w:rPr>
        <w:t> </w:t>
      </w:r>
      <w:r>
        <w:rPr/>
        <w:t>5000</w:t>
      </w:r>
    </w:p>
    <w:p>
      <w:pPr>
        <w:pStyle w:val="BodyText"/>
        <w:spacing w:line="312" w:lineRule="exact" w:before="29"/>
        <w:ind w:right="223"/>
        <w:jc w:val="both"/>
      </w:pPr>
      <w:r>
        <w:rPr/>
        <w:t>万元增资同方吉兆。增资完成后，该公司的注册资本增至</w:t>
      </w:r>
      <w:r>
        <w:rPr>
          <w:spacing w:val="-80"/>
        </w:rPr>
        <w:t> </w:t>
      </w:r>
      <w:r>
        <w:rPr/>
        <w:t>7000</w:t>
      </w:r>
      <w:r>
        <w:rPr>
          <w:spacing w:val="-80"/>
        </w:rPr>
        <w:t> </w:t>
      </w:r>
      <w:r>
        <w:rPr/>
        <w:t>万元。公司对其的持股比</w:t>
      </w:r>
      <w:r>
        <w:rPr/>
        <w:t> 例增至</w:t>
      </w:r>
      <w:r>
        <w:rPr>
          <w:spacing w:val="-60"/>
        </w:rPr>
        <w:t> </w:t>
      </w:r>
      <w:r>
        <w:rPr/>
        <w:t>85.46%。</w:t>
      </w:r>
    </w:p>
    <w:p>
      <w:pPr>
        <w:spacing w:line="240" w:lineRule="auto" w:before="4"/>
        <w:rPr>
          <w:rFonts w:ascii="宋体" w:hAnsi="宋体" w:cs="宋体" w:eastAsia="宋体" w:hint="default"/>
          <w:sz w:val="21"/>
          <w:szCs w:val="21"/>
        </w:rPr>
      </w:pPr>
    </w:p>
    <w:p>
      <w:pPr>
        <w:pStyle w:val="BodyText"/>
        <w:spacing w:line="313" w:lineRule="exact"/>
        <w:ind w:right="0"/>
        <w:jc w:val="both"/>
      </w:pPr>
      <w:r>
        <w:rPr/>
        <w:t>(4)经公司第四届董事会第十次会议审议通过，公司出资</w:t>
      </w:r>
      <w:r>
        <w:rPr>
          <w:spacing w:val="-82"/>
        </w:rPr>
        <w:t> </w:t>
      </w:r>
      <w:r>
        <w:rPr/>
        <w:t>592</w:t>
      </w:r>
      <w:r>
        <w:rPr>
          <w:spacing w:val="-80"/>
        </w:rPr>
        <w:t> </w:t>
      </w:r>
      <w:r>
        <w:rPr/>
        <w:t>万元增资上海百视通电视传</w:t>
      </w:r>
    </w:p>
    <w:p>
      <w:pPr>
        <w:pStyle w:val="BodyText"/>
        <w:spacing w:line="310" w:lineRule="exact" w:before="31"/>
        <w:ind w:right="223"/>
        <w:jc w:val="both"/>
      </w:pPr>
      <w:r>
        <w:rPr/>
        <w:t>媒科技有限公司，增资完成后，该公司注册资本增至</w:t>
      </w:r>
      <w:r>
        <w:rPr>
          <w:spacing w:val="-80"/>
        </w:rPr>
        <w:t> </w:t>
      </w:r>
      <w:r>
        <w:rPr/>
        <w:t>833.3333</w:t>
      </w:r>
      <w:r>
        <w:rPr>
          <w:spacing w:val="-80"/>
        </w:rPr>
        <w:t> </w:t>
      </w:r>
      <w:r>
        <w:rPr/>
        <w:t>万元，公司对其的持股比</w:t>
      </w:r>
      <w:r>
        <w:rPr/>
        <w:t> 例为</w:t>
      </w:r>
      <w:r>
        <w:rPr>
          <w:spacing w:val="-60"/>
        </w:rPr>
        <w:t> </w:t>
      </w:r>
      <w:r>
        <w:rPr/>
        <w:t>40%。</w:t>
      </w:r>
    </w:p>
    <w:p>
      <w:pPr>
        <w:spacing w:line="240" w:lineRule="auto" w:before="8"/>
        <w:rPr>
          <w:rFonts w:ascii="宋体" w:hAnsi="宋体" w:cs="宋体" w:eastAsia="宋体" w:hint="default"/>
          <w:sz w:val="21"/>
          <w:szCs w:val="21"/>
        </w:rPr>
      </w:pPr>
    </w:p>
    <w:p>
      <w:pPr>
        <w:pStyle w:val="BodyText"/>
        <w:spacing w:line="237" w:lineRule="auto"/>
        <w:ind w:right="222"/>
        <w:jc w:val="both"/>
      </w:pPr>
      <w:r>
        <w:rPr/>
        <w:t>(5)经公司第四届董事会第十次会议审议通过，公司出资</w:t>
      </w:r>
      <w:r>
        <w:rPr>
          <w:spacing w:val="-80"/>
        </w:rPr>
        <w:t> </w:t>
      </w:r>
      <w:r>
        <w:rPr/>
        <w:t>1</w:t>
      </w:r>
      <w:r>
        <w:rPr>
          <w:spacing w:val="-79"/>
        </w:rPr>
        <w:t> </w:t>
      </w:r>
      <w:r>
        <w:rPr/>
        <w:t>亿元收购上海通维投资有限公</w:t>
      </w:r>
      <w:r>
        <w:rPr/>
        <w:t> 司持有的百视通网络电视技术发展有限责任公司</w:t>
      </w:r>
      <w:r>
        <w:rPr>
          <w:spacing w:val="-53"/>
        </w:rPr>
        <w:t> </w:t>
      </w:r>
      <w:r>
        <w:rPr/>
        <w:t>24.8%股权，并出资</w:t>
      </w:r>
      <w:r>
        <w:rPr>
          <w:spacing w:val="-53"/>
        </w:rPr>
        <w:t> </w:t>
      </w:r>
      <w:r>
        <w:rPr/>
        <w:t>4408</w:t>
      </w:r>
      <w:r>
        <w:rPr>
          <w:spacing w:val="-53"/>
        </w:rPr>
        <w:t> </w:t>
      </w:r>
      <w:r>
        <w:rPr/>
        <w:t>万元增资百视</w:t>
      </w:r>
      <w:r>
        <w:rPr/>
        <w:t> 通网络公司。收购及增资完成后，该公司注册资本增至 19790</w:t>
      </w:r>
      <w:r>
        <w:rPr>
          <w:spacing w:val="-40"/>
        </w:rPr>
        <w:t> </w:t>
      </w:r>
      <w:r>
        <w:rPr/>
        <w:t>万元，公司对其的持股比</w:t>
      </w:r>
      <w:r>
        <w:rPr/>
        <w:t> 例为</w:t>
      </w:r>
      <w:r>
        <w:rPr>
          <w:spacing w:val="-60"/>
        </w:rPr>
        <w:t> </w:t>
      </w:r>
      <w:r>
        <w:rPr/>
        <w:t>40%。</w:t>
      </w:r>
    </w:p>
    <w:p>
      <w:pPr>
        <w:spacing w:line="240" w:lineRule="auto" w:before="11"/>
        <w:rPr>
          <w:rFonts w:ascii="宋体" w:hAnsi="宋体" w:cs="宋体" w:eastAsia="宋体" w:hint="default"/>
          <w:sz w:val="23"/>
          <w:szCs w:val="23"/>
        </w:rPr>
      </w:pPr>
    </w:p>
    <w:p>
      <w:pPr>
        <w:pStyle w:val="BodyText"/>
        <w:spacing w:line="237" w:lineRule="auto"/>
        <w:ind w:right="222"/>
        <w:jc w:val="both"/>
      </w:pPr>
      <w:r>
        <w:rPr>
          <w:spacing w:val="-3"/>
        </w:rPr>
        <w:t>(6)经公司第四届董事会第十三次会议审议通过，公司出资</w:t>
      </w:r>
      <w:r>
        <w:rPr>
          <w:spacing w:val="-60"/>
        </w:rPr>
        <w:t> </w:t>
      </w:r>
      <w:r>
        <w:rPr/>
        <w:t>500</w:t>
      </w:r>
      <w:r>
        <w:rPr>
          <w:spacing w:val="-60"/>
        </w:rPr>
        <w:t> </w:t>
      </w:r>
      <w:r>
        <w:rPr/>
        <w:t>万美元联合其他投资人共</w:t>
      </w:r>
      <w:r>
        <w:rPr>
          <w:spacing w:val="-1"/>
        </w:rPr>
        <w:t> </w:t>
      </w:r>
      <w:r>
        <w:rPr/>
        <w:t>同增资新加坡</w:t>
      </w:r>
      <w:r>
        <w:rPr>
          <w:spacing w:val="-53"/>
        </w:rPr>
        <w:t> </w:t>
      </w:r>
      <w:r>
        <w:rPr/>
        <w:t>Technovator Int Private Ltd.</w:t>
      </w:r>
      <w:r>
        <w:rPr>
          <w:rFonts w:ascii="楷体" w:hAnsi="楷体" w:cs="楷体" w:eastAsia="楷体" w:hint="default"/>
        </w:rPr>
        <w:t>。</w:t>
      </w:r>
      <w:r>
        <w:rPr/>
        <w:t>增资完成后，其总股本由</w:t>
      </w:r>
      <w:r>
        <w:rPr>
          <w:spacing w:val="-53"/>
        </w:rPr>
        <w:t> </w:t>
      </w:r>
      <w:r>
        <w:rPr/>
        <w:t>460</w:t>
      </w:r>
      <w:r>
        <w:rPr>
          <w:spacing w:val="-53"/>
        </w:rPr>
        <w:t> </w:t>
      </w:r>
      <w:r>
        <w:rPr/>
        <w:t>万股增至</w:t>
      </w:r>
      <w:r>
        <w:rPr/>
        <w:t> 908</w:t>
      </w:r>
      <w:r>
        <w:rPr>
          <w:spacing w:val="-53"/>
        </w:rPr>
        <w:t> </w:t>
      </w:r>
      <w:r>
        <w:rPr/>
        <w:t>万股，公司对其持股比例为</w:t>
      </w:r>
      <w:r>
        <w:rPr>
          <w:spacing w:val="-53"/>
        </w:rPr>
        <w:t> </w:t>
      </w:r>
      <w:r>
        <w:rPr/>
        <w:t>25.33%。公司合并持股</w:t>
      </w:r>
      <w:r>
        <w:rPr>
          <w:spacing w:val="-53"/>
        </w:rPr>
        <w:t> </w:t>
      </w:r>
      <w:r>
        <w:rPr/>
        <w:t>47.36%，其中公司下属全资子公</w:t>
      </w:r>
      <w:r>
        <w:rPr/>
        <w:t> 司</w:t>
      </w:r>
      <w:r>
        <w:rPr>
          <w:spacing w:val="-60"/>
        </w:rPr>
        <w:t> </w:t>
      </w:r>
      <w:r>
        <w:rPr/>
        <w:t>Resuccess Investments Limited</w:t>
      </w:r>
      <w:r>
        <w:rPr>
          <w:spacing w:val="-60"/>
        </w:rPr>
        <w:t> </w:t>
      </w:r>
      <w:r>
        <w:rPr/>
        <w:t>持股</w:t>
      </w:r>
      <w:r>
        <w:rPr>
          <w:spacing w:val="-60"/>
        </w:rPr>
        <w:t> </w:t>
      </w:r>
      <w:r>
        <w:rPr/>
        <w:t>22.03%。</w:t>
      </w:r>
    </w:p>
    <w:p>
      <w:pPr>
        <w:spacing w:line="240" w:lineRule="auto" w:before="11"/>
        <w:rPr>
          <w:rFonts w:ascii="宋体" w:hAnsi="宋体" w:cs="宋体" w:eastAsia="宋体" w:hint="default"/>
          <w:sz w:val="23"/>
          <w:szCs w:val="23"/>
        </w:rPr>
      </w:pPr>
    </w:p>
    <w:p>
      <w:pPr>
        <w:pStyle w:val="BodyText"/>
        <w:spacing w:line="237" w:lineRule="auto"/>
        <w:ind w:right="222"/>
        <w:jc w:val="both"/>
      </w:pPr>
      <w:r>
        <w:rPr>
          <w:spacing w:val="-3"/>
        </w:rPr>
        <w:t>(7)经公司第四届董事会第十四次会议审议通过，公司分别出资</w:t>
      </w:r>
      <w:r>
        <w:rPr>
          <w:spacing w:val="-59"/>
        </w:rPr>
        <w:t> </w:t>
      </w:r>
      <w:r>
        <w:rPr/>
        <w:t>6120</w:t>
      </w:r>
      <w:r>
        <w:rPr>
          <w:spacing w:val="-59"/>
        </w:rPr>
        <w:t> </w:t>
      </w:r>
      <w:r>
        <w:rPr/>
        <w:t>万元和</w:t>
      </w:r>
      <w:r>
        <w:rPr>
          <w:spacing w:val="-59"/>
        </w:rPr>
        <w:t> </w:t>
      </w:r>
      <w:r>
        <w:rPr/>
        <w:t>1800</w:t>
      </w:r>
      <w:r>
        <w:rPr>
          <w:spacing w:val="-59"/>
        </w:rPr>
        <w:t> </w:t>
      </w:r>
      <w:r>
        <w:rPr/>
        <w:t>万元受</w:t>
      </w:r>
      <w:r>
        <w:rPr>
          <w:spacing w:val="-1"/>
        </w:rPr>
        <w:t> </w:t>
      </w:r>
      <w:r>
        <w:rPr/>
        <w:t>让同方光盘股份有限公司持有的沈阳同方多媒体科技有限公司</w:t>
      </w:r>
      <w:r>
        <w:rPr>
          <w:spacing w:val="-40"/>
        </w:rPr>
        <w:t> </w:t>
      </w:r>
      <w:r>
        <w:rPr/>
        <w:t>19.25%股权和北京同方创</w:t>
      </w:r>
      <w:r>
        <w:rPr/>
        <w:t> 新投资有限公司持有的沈阳多媒体</w:t>
      </w:r>
      <w:r>
        <w:rPr>
          <w:spacing w:val="-57"/>
        </w:rPr>
        <w:t> </w:t>
      </w:r>
      <w:r>
        <w:rPr>
          <w:spacing w:val="-4"/>
        </w:rPr>
        <w:t>5.66%股权。收购完成后，公司对沈阳多媒体的持股比</w:t>
      </w:r>
      <w:r>
        <w:rPr/>
        <w:t> 例增至</w:t>
      </w:r>
      <w:r>
        <w:rPr>
          <w:spacing w:val="-60"/>
        </w:rPr>
        <w:t> </w:t>
      </w:r>
      <w:r>
        <w:rPr/>
        <w:t>100%。</w:t>
      </w:r>
    </w:p>
    <w:p>
      <w:pPr>
        <w:spacing w:line="240" w:lineRule="auto" w:before="8"/>
        <w:rPr>
          <w:rFonts w:ascii="宋体" w:hAnsi="宋体" w:cs="宋体" w:eastAsia="宋体" w:hint="default"/>
          <w:sz w:val="23"/>
          <w:szCs w:val="23"/>
        </w:rPr>
      </w:pPr>
    </w:p>
    <w:p>
      <w:pPr>
        <w:pStyle w:val="BodyText"/>
        <w:spacing w:line="312" w:lineRule="exact"/>
        <w:ind w:right="0"/>
        <w:jc w:val="both"/>
      </w:pPr>
      <w:r>
        <w:rPr/>
        <w:t>(8)经公司第四届董事会第十五次会议审议通过，公司出资 8000</w:t>
      </w:r>
      <w:r>
        <w:rPr>
          <w:spacing w:val="-79"/>
        </w:rPr>
        <w:t> </w:t>
      </w:r>
      <w:r>
        <w:rPr/>
        <w:t>万元设立全资子公司同</w:t>
      </w:r>
    </w:p>
    <w:p>
      <w:pPr>
        <w:pStyle w:val="BodyText"/>
        <w:spacing w:line="310" w:lineRule="exact" w:before="30"/>
        <w:ind w:right="223"/>
        <w:jc w:val="both"/>
      </w:pPr>
      <w:r>
        <w:rPr/>
        <w:t>方光电科技有限公司。设立完成后，该公司注册资本为</w:t>
      </w:r>
      <w:r>
        <w:rPr>
          <w:spacing w:val="-80"/>
        </w:rPr>
        <w:t> </w:t>
      </w:r>
      <w:r>
        <w:rPr/>
        <w:t>8000</w:t>
      </w:r>
      <w:r>
        <w:rPr>
          <w:spacing w:val="-80"/>
        </w:rPr>
        <w:t> </w:t>
      </w:r>
      <w:r>
        <w:rPr/>
        <w:t>万元，公司对其的持股比例</w:t>
      </w:r>
      <w:r>
        <w:rPr/>
        <w:t> 为</w:t>
      </w:r>
      <w:r>
        <w:rPr>
          <w:spacing w:val="-60"/>
        </w:rPr>
        <w:t> </w:t>
      </w:r>
      <w:r>
        <w:rPr/>
        <w:t>100%。</w:t>
      </w:r>
    </w:p>
    <w:p>
      <w:pPr>
        <w:spacing w:line="240" w:lineRule="auto" w:before="6"/>
        <w:rPr>
          <w:rFonts w:ascii="宋体" w:hAnsi="宋体" w:cs="宋体" w:eastAsia="宋体" w:hint="default"/>
          <w:sz w:val="21"/>
          <w:szCs w:val="21"/>
        </w:rPr>
      </w:pPr>
    </w:p>
    <w:p>
      <w:pPr>
        <w:pStyle w:val="BodyText"/>
        <w:spacing w:line="312" w:lineRule="exact"/>
        <w:ind w:right="0"/>
        <w:jc w:val="both"/>
      </w:pPr>
      <w:r>
        <w:rPr/>
        <w:t>(9) 经公司第四届董事会第二十一次会议审议通过，公司出资 15400</w:t>
      </w:r>
      <w:r>
        <w:rPr>
          <w:spacing w:val="-40"/>
        </w:rPr>
        <w:t> </w:t>
      </w:r>
      <w:r>
        <w:rPr/>
        <w:t>万元增资北京同方</w:t>
      </w:r>
    </w:p>
    <w:p>
      <w:pPr>
        <w:pStyle w:val="BodyText"/>
        <w:spacing w:line="312" w:lineRule="exact" w:before="29"/>
        <w:ind w:right="223"/>
        <w:jc w:val="both"/>
      </w:pPr>
      <w:r>
        <w:rPr/>
        <w:t>凌讯科技有限公司，增资完成后，该公司的注册资本增至 20000</w:t>
      </w:r>
      <w:r>
        <w:rPr>
          <w:spacing w:val="-41"/>
        </w:rPr>
        <w:t> </w:t>
      </w:r>
      <w:r>
        <w:rPr/>
        <w:t>万元。公司对其的持股</w:t>
      </w:r>
      <w:r>
        <w:rPr/>
        <w:t> 比例增至</w:t>
      </w:r>
      <w:r>
        <w:rPr>
          <w:spacing w:val="-60"/>
        </w:rPr>
        <w:t> </w:t>
      </w:r>
      <w:r>
        <w:rPr/>
        <w:t>93.1%。</w:t>
      </w:r>
    </w:p>
    <w:p>
      <w:pPr>
        <w:spacing w:line="240" w:lineRule="auto" w:before="11"/>
        <w:rPr>
          <w:rFonts w:ascii="宋体" w:hAnsi="宋体" w:cs="宋体" w:eastAsia="宋体" w:hint="default"/>
          <w:sz w:val="23"/>
          <w:szCs w:val="23"/>
        </w:rPr>
      </w:pPr>
    </w:p>
    <w:p>
      <w:pPr>
        <w:pStyle w:val="BodyText"/>
        <w:spacing w:line="310" w:lineRule="exact"/>
        <w:ind w:right="222"/>
        <w:jc w:val="both"/>
      </w:pPr>
      <w:r>
        <w:rPr>
          <w:spacing w:val="12"/>
        </w:rPr>
        <w:t>(10)2008年6</w:t>
      </w:r>
      <w:r>
        <w:rPr>
          <w:spacing w:val="-56"/>
        </w:rPr>
        <w:t> </w:t>
      </w:r>
      <w:r>
        <w:rPr>
          <w:spacing w:val="-3"/>
        </w:rPr>
        <w:t>月，根据北京同方数字教育技术有限公司</w:t>
      </w:r>
      <w:r>
        <w:rPr>
          <w:spacing w:val="-56"/>
        </w:rPr>
        <w:t> </w:t>
      </w:r>
      <w:r>
        <w:rPr/>
        <w:t>2008</w:t>
      </w:r>
      <w:r>
        <w:rPr>
          <w:spacing w:val="-56"/>
        </w:rPr>
        <w:t> </w:t>
      </w:r>
      <w:r>
        <w:rPr>
          <w:spacing w:val="-5"/>
        </w:rPr>
        <w:t>年第一次股东决定，该公司</w:t>
      </w:r>
      <w:r>
        <w:rPr/>
        <w:t> </w:t>
      </w:r>
      <w:r>
        <w:rPr>
          <w:spacing w:val="-6"/>
        </w:rPr>
        <w:t>名称变更为“北京同方电子商务有限公司”。</w:t>
      </w:r>
    </w:p>
    <w:p>
      <w:pPr>
        <w:spacing w:line="240" w:lineRule="auto" w:before="12"/>
        <w:rPr>
          <w:rFonts w:ascii="宋体" w:hAnsi="宋体" w:cs="宋体" w:eastAsia="宋体" w:hint="default"/>
          <w:sz w:val="23"/>
          <w:szCs w:val="23"/>
        </w:rPr>
      </w:pPr>
    </w:p>
    <w:p>
      <w:pPr>
        <w:pStyle w:val="BodyText"/>
        <w:spacing w:line="310" w:lineRule="exact"/>
        <w:ind w:right="87"/>
        <w:jc w:val="left"/>
      </w:pPr>
      <w:r>
        <w:rPr/>
        <w:t>经公司第四届董事会第二十一次会议审议通过，公司出资 16725</w:t>
      </w:r>
      <w:r>
        <w:rPr>
          <w:spacing w:val="-41"/>
        </w:rPr>
        <w:t> </w:t>
      </w:r>
      <w:r>
        <w:rPr/>
        <w:t>万元增资北京同方电子</w:t>
      </w:r>
      <w:r>
        <w:rPr/>
        <w:t> </w:t>
      </w:r>
      <w:r>
        <w:rPr>
          <w:spacing w:val="-11"/>
        </w:rPr>
        <w:t>商务有限公司，增资完成后，该公司注册资本增至</w:t>
      </w:r>
      <w:r>
        <w:rPr>
          <w:spacing w:val="-53"/>
        </w:rPr>
        <w:t> </w:t>
      </w:r>
      <w:r>
        <w:rPr/>
        <w:t>17125</w:t>
      </w:r>
      <w:r>
        <w:rPr>
          <w:spacing w:val="-53"/>
        </w:rPr>
        <w:t> </w:t>
      </w:r>
      <w:r>
        <w:rPr>
          <w:spacing w:val="-10"/>
        </w:rPr>
        <w:t>万元，公司对其持股比例为</w:t>
      </w:r>
      <w:r>
        <w:rPr>
          <w:spacing w:val="-53"/>
        </w:rPr>
        <w:t> </w:t>
      </w:r>
      <w:r>
        <w:rPr/>
        <w:t>100%。</w:t>
      </w:r>
    </w:p>
    <w:p>
      <w:pPr>
        <w:spacing w:line="240" w:lineRule="auto" w:before="12"/>
        <w:rPr>
          <w:rFonts w:ascii="宋体" w:hAnsi="宋体" w:cs="宋体" w:eastAsia="宋体" w:hint="default"/>
          <w:sz w:val="23"/>
          <w:szCs w:val="23"/>
        </w:rPr>
      </w:pPr>
    </w:p>
    <w:p>
      <w:pPr>
        <w:pStyle w:val="BodyText"/>
        <w:spacing w:line="310" w:lineRule="exact"/>
        <w:ind w:right="220"/>
        <w:jc w:val="both"/>
      </w:pPr>
      <w:r>
        <w:rPr/>
        <w:t>另外，本报告期内公司下属六家子公司在本报告期内发生注册资本、法定代表人、公司</w:t>
      </w:r>
      <w:r>
        <w:rPr>
          <w:spacing w:val="-47"/>
        </w:rPr>
        <w:t> </w:t>
      </w:r>
      <w:r>
        <w:rPr>
          <w:spacing w:val="-47"/>
        </w:rPr>
      </w:r>
      <w:r>
        <w:rPr/>
        <w:t>对其的持股比例等基本情况的变更。具体说明如下：</w:t>
      </w:r>
    </w:p>
    <w:p>
      <w:pPr>
        <w:spacing w:line="240" w:lineRule="auto" w:before="6"/>
        <w:rPr>
          <w:rFonts w:ascii="宋体" w:hAnsi="宋体" w:cs="宋体" w:eastAsia="宋体" w:hint="default"/>
          <w:sz w:val="21"/>
          <w:szCs w:val="21"/>
        </w:rPr>
      </w:pPr>
    </w:p>
    <w:p>
      <w:pPr>
        <w:pStyle w:val="BodyText"/>
        <w:spacing w:line="312" w:lineRule="exact"/>
        <w:ind w:right="0"/>
        <w:jc w:val="both"/>
      </w:pPr>
      <w:r>
        <w:rPr/>
        <w:t>(1)2008</w:t>
      </w:r>
      <w:r>
        <w:rPr>
          <w:spacing w:val="-58"/>
        </w:rPr>
        <w:t> </w:t>
      </w:r>
      <w:r>
        <w:rPr/>
        <w:t>年</w:t>
      </w:r>
      <w:r>
        <w:rPr>
          <w:spacing w:val="-57"/>
        </w:rPr>
        <w:t> </w:t>
      </w:r>
      <w:r>
        <w:rPr/>
        <w:t>3</w:t>
      </w:r>
      <w:r>
        <w:rPr>
          <w:spacing w:val="-58"/>
        </w:rPr>
        <w:t> </w:t>
      </w:r>
      <w:r>
        <w:rPr/>
        <w:t>月，泰豪科技股份有限公司以</w:t>
      </w:r>
      <w:r>
        <w:rPr>
          <w:spacing w:val="-58"/>
        </w:rPr>
        <w:t> </w:t>
      </w:r>
      <w:r>
        <w:rPr/>
        <w:t>2007</w:t>
      </w:r>
      <w:r>
        <w:rPr>
          <w:spacing w:val="-57"/>
        </w:rPr>
        <w:t> </w:t>
      </w:r>
      <w:r>
        <w:rPr/>
        <w:t>年末总股本</w:t>
      </w:r>
      <w:r>
        <w:rPr>
          <w:spacing w:val="-57"/>
        </w:rPr>
        <w:t> </w:t>
      </w:r>
      <w:r>
        <w:rPr/>
        <w:t>196,330,270</w:t>
      </w:r>
      <w:r>
        <w:rPr>
          <w:spacing w:val="-57"/>
        </w:rPr>
        <w:t> </w:t>
      </w:r>
      <w:r>
        <w:rPr/>
        <w:t>为基数，按每</w:t>
      </w:r>
    </w:p>
    <w:p>
      <w:pPr>
        <w:pStyle w:val="BodyText"/>
        <w:spacing w:line="311" w:lineRule="exact"/>
        <w:ind w:right="0"/>
        <w:jc w:val="both"/>
      </w:pPr>
      <w:r>
        <w:rPr/>
        <w:t>10</w:t>
      </w:r>
      <w:r>
        <w:rPr>
          <w:spacing w:val="-63"/>
        </w:rPr>
        <w:t> </w:t>
      </w:r>
      <w:r>
        <w:rPr/>
        <w:t>股转增</w:t>
      </w:r>
      <w:r>
        <w:rPr>
          <w:spacing w:val="-63"/>
        </w:rPr>
        <w:t> </w:t>
      </w:r>
      <w:r>
        <w:rPr/>
        <w:t>5</w:t>
      </w:r>
      <w:r>
        <w:rPr>
          <w:spacing w:val="-63"/>
        </w:rPr>
        <w:t> </w:t>
      </w:r>
      <w:r>
        <w:rPr>
          <w:spacing w:val="-4"/>
        </w:rPr>
        <w:t>股的比例，向全体股东转增</w:t>
      </w:r>
      <w:r>
        <w:rPr>
          <w:spacing w:val="-63"/>
        </w:rPr>
        <w:t> </w:t>
      </w:r>
      <w:r>
        <w:rPr/>
        <w:t>98,165,205</w:t>
      </w:r>
      <w:r>
        <w:rPr>
          <w:spacing w:val="-63"/>
        </w:rPr>
        <w:t> </w:t>
      </w:r>
      <w:r>
        <w:rPr>
          <w:spacing w:val="-5"/>
        </w:rPr>
        <w:t>股股本，转增完成后，该公司的总股</w:t>
      </w:r>
      <w:r>
        <w:rPr/>
      </w:r>
    </w:p>
    <w:p>
      <w:pPr>
        <w:pStyle w:val="BodyText"/>
        <w:spacing w:line="313" w:lineRule="exact"/>
        <w:ind w:right="0"/>
        <w:jc w:val="both"/>
      </w:pPr>
      <w:r>
        <w:rPr/>
        <w:t>本增至</w:t>
      </w:r>
      <w:r>
        <w:rPr>
          <w:spacing w:val="-60"/>
        </w:rPr>
        <w:t> </w:t>
      </w:r>
      <w:r>
        <w:rPr/>
        <w:t>294,495,615</w:t>
      </w:r>
      <w:r>
        <w:rPr>
          <w:spacing w:val="-60"/>
        </w:rPr>
        <w:t> </w:t>
      </w:r>
      <w:r>
        <w:rPr/>
        <w:t>股，公司对其的持股数增至</w:t>
      </w:r>
      <w:r>
        <w:rPr>
          <w:spacing w:val="-60"/>
        </w:rPr>
        <w:t> </w:t>
      </w:r>
      <w:r>
        <w:rPr/>
        <w:t>68,865,896</w:t>
      </w:r>
      <w:r>
        <w:rPr>
          <w:spacing w:val="-60"/>
        </w:rPr>
        <w:t> </w:t>
      </w:r>
      <w:r>
        <w:rPr/>
        <w:t>股，持股比例为</w:t>
      </w:r>
      <w:r>
        <w:rPr>
          <w:spacing w:val="-60"/>
        </w:rPr>
        <w:t> </w:t>
      </w:r>
      <w:r>
        <w:rPr/>
        <w:t>23.38%。</w:t>
      </w:r>
    </w:p>
    <w:p>
      <w:pPr>
        <w:spacing w:after="0" w:line="313" w:lineRule="exact"/>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10" w:lineRule="exact" w:before="58"/>
        <w:ind w:right="200"/>
        <w:jc w:val="both"/>
      </w:pPr>
      <w:r>
        <w:rPr/>
        <w:t>根据该公司第三届董事会第十九次临时会议决议，同意黄代放辞去总裁职务，聘任毛勇</w:t>
      </w:r>
      <w:r>
        <w:rPr>
          <w:spacing w:val="-47"/>
        </w:rPr>
        <w:t> </w:t>
      </w:r>
      <w:r>
        <w:rPr>
          <w:spacing w:val="-47"/>
        </w:rPr>
      </w:r>
      <w:r>
        <w:rPr/>
        <w:t>为总裁，公司法定代表人变更为毛勇。</w:t>
      </w:r>
    </w:p>
    <w:p>
      <w:pPr>
        <w:spacing w:line="240" w:lineRule="auto" w:before="8"/>
        <w:rPr>
          <w:rFonts w:ascii="宋体" w:hAnsi="宋体" w:cs="宋体" w:eastAsia="宋体" w:hint="default"/>
          <w:sz w:val="21"/>
          <w:szCs w:val="21"/>
        </w:rPr>
      </w:pPr>
    </w:p>
    <w:p>
      <w:pPr>
        <w:pStyle w:val="BodyText"/>
        <w:spacing w:line="237" w:lineRule="auto"/>
        <w:ind w:right="203"/>
        <w:jc w:val="both"/>
      </w:pPr>
      <w:r>
        <w:rPr>
          <w:spacing w:val="13"/>
        </w:rPr>
        <w:t>(2)2008年5</w:t>
      </w:r>
      <w:r>
        <w:rPr>
          <w:spacing w:val="-57"/>
        </w:rPr>
        <w:t> </w:t>
      </w:r>
      <w:r>
        <w:rPr>
          <w:spacing w:val="-4"/>
        </w:rPr>
        <w:t>月，中体同方体育科技有限公司股东北京同方创新投资有限公司出资收购国</w:t>
      </w:r>
      <w:r>
        <w:rPr>
          <w:spacing w:val="-118"/>
        </w:rPr>
        <w:t> </w:t>
      </w:r>
      <w:r>
        <w:rPr>
          <w:spacing w:val="-118"/>
        </w:rPr>
      </w:r>
      <w:r>
        <w:rPr/>
        <w:t>际商业机器中国有限公司持有的中体同方</w:t>
      </w:r>
      <w:r>
        <w:rPr>
          <w:spacing w:val="-40"/>
        </w:rPr>
        <w:t> </w:t>
      </w:r>
      <w:r>
        <w:rPr/>
        <w:t>15.54%股权。股权收购完成后，公司对其持股</w:t>
      </w:r>
      <w:r>
        <w:rPr/>
        <w:t> 比例仍为</w:t>
      </w:r>
      <w:r>
        <w:rPr>
          <w:spacing w:val="-60"/>
        </w:rPr>
        <w:t> </w:t>
      </w:r>
      <w:r>
        <w:rPr/>
        <w:t>42.23%，合并持股比例增至</w:t>
      </w:r>
      <w:r>
        <w:rPr>
          <w:spacing w:val="-60"/>
        </w:rPr>
        <w:t> </w:t>
      </w:r>
      <w:r>
        <w:rPr/>
        <w:t>100%。</w:t>
      </w:r>
    </w:p>
    <w:p>
      <w:pPr>
        <w:spacing w:line="240" w:lineRule="auto" w:before="1"/>
        <w:rPr>
          <w:rFonts w:ascii="宋体" w:hAnsi="宋体" w:cs="宋体" w:eastAsia="宋体" w:hint="default"/>
          <w:sz w:val="26"/>
          <w:szCs w:val="26"/>
        </w:rPr>
      </w:pPr>
    </w:p>
    <w:p>
      <w:pPr>
        <w:pStyle w:val="BodyText"/>
        <w:spacing w:line="310" w:lineRule="exact"/>
        <w:ind w:right="203"/>
        <w:jc w:val="both"/>
      </w:pPr>
      <w:r>
        <w:rPr>
          <w:spacing w:val="13"/>
        </w:rPr>
        <w:t>(3)2008年5</w:t>
      </w:r>
      <w:r>
        <w:rPr>
          <w:spacing w:val="-31"/>
        </w:rPr>
        <w:t> </w:t>
      </w:r>
      <w:r>
        <w:rPr>
          <w:spacing w:val="-4"/>
        </w:rPr>
        <w:t>月，北京同方易豪科技有限公司根据股东会决议，修改公司章程，法定代表</w:t>
      </w:r>
      <w:r>
        <w:rPr>
          <w:spacing w:val="-116"/>
        </w:rPr>
        <w:t> </w:t>
      </w:r>
      <w:r>
        <w:rPr>
          <w:spacing w:val="-116"/>
        </w:rPr>
      </w:r>
      <w:r>
        <w:rPr/>
        <w:t>人改由公司总经理担任。据此该公司法定代表人变更为总经理石振毅。</w:t>
      </w:r>
    </w:p>
    <w:p>
      <w:pPr>
        <w:spacing w:line="240" w:lineRule="auto" w:before="6"/>
        <w:rPr>
          <w:rFonts w:ascii="宋体" w:hAnsi="宋体" w:cs="宋体" w:eastAsia="宋体" w:hint="default"/>
          <w:sz w:val="21"/>
          <w:szCs w:val="21"/>
        </w:rPr>
      </w:pPr>
    </w:p>
    <w:p>
      <w:pPr>
        <w:pStyle w:val="BodyText"/>
        <w:spacing w:line="312" w:lineRule="exact"/>
        <w:ind w:right="0"/>
        <w:jc w:val="both"/>
      </w:pPr>
      <w:r>
        <w:rPr>
          <w:spacing w:val="13"/>
        </w:rPr>
        <w:t>(4)2008年6</w:t>
      </w:r>
      <w:r>
        <w:rPr>
          <w:spacing w:val="-25"/>
        </w:rPr>
        <w:t> </w:t>
      </w:r>
      <w:r>
        <w:rPr>
          <w:spacing w:val="-4"/>
        </w:rPr>
        <w:t>月，同方光盘股份有限公司根据股东大会通过的决议，出资回购其股东北京</w:t>
      </w:r>
    </w:p>
    <w:p>
      <w:pPr>
        <w:pStyle w:val="BodyText"/>
        <w:spacing w:line="311" w:lineRule="exact"/>
        <w:ind w:right="0"/>
        <w:jc w:val="both"/>
      </w:pPr>
      <w:r>
        <w:rPr/>
        <w:t>印刷学院持有的</w:t>
      </w:r>
      <w:r>
        <w:rPr>
          <w:spacing w:val="-60"/>
        </w:rPr>
        <w:t> </w:t>
      </w:r>
      <w:r>
        <w:rPr/>
        <w:t>100</w:t>
      </w:r>
      <w:r>
        <w:rPr>
          <w:spacing w:val="-60"/>
        </w:rPr>
        <w:t> </w:t>
      </w:r>
      <w:r>
        <w:rPr/>
        <w:t>万股股份和北京电影学院持有的</w:t>
      </w:r>
      <w:r>
        <w:rPr>
          <w:spacing w:val="-60"/>
        </w:rPr>
        <w:t> </w:t>
      </w:r>
      <w:r>
        <w:rPr/>
        <w:t>100</w:t>
      </w:r>
      <w:r>
        <w:rPr>
          <w:spacing w:val="-60"/>
        </w:rPr>
        <w:t> </w:t>
      </w:r>
      <w:r>
        <w:rPr/>
        <w:t>万股股份</w:t>
      </w:r>
      <w:r>
        <w:rPr>
          <w:spacing w:val="-100"/>
        </w:rPr>
        <w:t>。</w:t>
      </w:r>
      <w:r>
        <w:rPr/>
        <w:t>同方光盘回购的</w:t>
      </w:r>
      <w:r>
        <w:rPr>
          <w:spacing w:val="-60"/>
        </w:rPr>
        <w:t> </w:t>
      </w:r>
      <w:r>
        <w:rPr/>
        <w:t>200</w:t>
      </w:r>
    </w:p>
    <w:p>
      <w:pPr>
        <w:pStyle w:val="BodyText"/>
        <w:spacing w:line="312" w:lineRule="exact" w:before="29"/>
        <w:ind w:right="202"/>
        <w:jc w:val="both"/>
      </w:pPr>
      <w:r>
        <w:rPr/>
        <w:t>万股股份依法注销，注册资本减少</w:t>
      </w:r>
      <w:r>
        <w:rPr>
          <w:spacing w:val="-53"/>
        </w:rPr>
        <w:t> </w:t>
      </w:r>
      <w:r>
        <w:rPr/>
        <w:t>200</w:t>
      </w:r>
      <w:r>
        <w:rPr>
          <w:spacing w:val="-53"/>
        </w:rPr>
        <w:t> </w:t>
      </w:r>
      <w:r>
        <w:rPr/>
        <w:t>万元。减资完成后，该公司注册资本变更为</w:t>
      </w:r>
      <w:r>
        <w:rPr>
          <w:spacing w:val="-53"/>
        </w:rPr>
        <w:t> </w:t>
      </w:r>
      <w:r>
        <w:rPr/>
        <w:t>9800</w:t>
      </w:r>
      <w:r>
        <w:rPr/>
        <w:t> 万元，公司对其的持股比例变更为</w:t>
      </w:r>
      <w:r>
        <w:rPr>
          <w:spacing w:val="-60"/>
        </w:rPr>
        <w:t> </w:t>
      </w:r>
      <w:r>
        <w:rPr/>
        <w:t>98.98%，合并持股比例增至</w:t>
      </w:r>
      <w:r>
        <w:rPr>
          <w:spacing w:val="-60"/>
        </w:rPr>
        <w:t> </w:t>
      </w:r>
      <w:r>
        <w:rPr/>
        <w:t>100%。</w:t>
      </w:r>
    </w:p>
    <w:p>
      <w:pPr>
        <w:spacing w:line="240" w:lineRule="auto" w:before="11"/>
        <w:rPr>
          <w:rFonts w:ascii="宋体" w:hAnsi="宋体" w:cs="宋体" w:eastAsia="宋体" w:hint="default"/>
          <w:sz w:val="23"/>
          <w:szCs w:val="23"/>
        </w:rPr>
      </w:pPr>
    </w:p>
    <w:p>
      <w:pPr>
        <w:pStyle w:val="BodyText"/>
        <w:spacing w:line="310" w:lineRule="exact"/>
        <w:ind w:right="202"/>
        <w:jc w:val="both"/>
      </w:pPr>
      <w:r>
        <w:rPr/>
        <w:t>(5)200</w:t>
      </w:r>
      <w:r>
        <w:rPr>
          <w:spacing w:val="60"/>
        </w:rPr>
        <w:t>8年</w:t>
      </w:r>
      <w:r>
        <w:rPr/>
        <w:t>7</w:t>
      </w:r>
      <w:r>
        <w:rPr>
          <w:spacing w:val="-60"/>
        </w:rPr>
        <w:t> </w:t>
      </w:r>
      <w:r>
        <w:rPr/>
        <w:t>月</w:t>
      </w:r>
      <w:r>
        <w:rPr>
          <w:spacing w:val="-113"/>
        </w:rPr>
        <w:t>，</w:t>
      </w:r>
      <w:r>
        <w:rPr/>
        <w:t>北京城市开发股份有限公司经其股东会决议批准</w:t>
      </w:r>
      <w:r>
        <w:rPr>
          <w:spacing w:val="-113"/>
        </w:rPr>
        <w:t>，</w:t>
      </w:r>
      <w:r>
        <w:rPr/>
        <w:t>该公司名称变更</w:t>
      </w:r>
      <w:r>
        <w:rPr>
          <w:spacing w:val="-113"/>
        </w:rPr>
        <w:t>为</w:t>
      </w:r>
      <w:r>
        <w:rPr/>
        <w:t>“北</w:t>
      </w:r>
      <w:r>
        <w:rPr/>
        <w:t> 京首开亿信置业股份有限公司</w:t>
      </w:r>
      <w:r>
        <w:rPr>
          <w:spacing w:val="-120"/>
        </w:rPr>
        <w:t>”</w:t>
      </w:r>
      <w:r>
        <w:rPr/>
        <w:t>，法定代表人变更为刘安。</w:t>
      </w:r>
    </w:p>
    <w:p>
      <w:pPr>
        <w:spacing w:line="240" w:lineRule="auto" w:before="12"/>
        <w:rPr>
          <w:rFonts w:ascii="宋体" w:hAnsi="宋体" w:cs="宋体" w:eastAsia="宋体" w:hint="default"/>
          <w:sz w:val="23"/>
          <w:szCs w:val="23"/>
        </w:rPr>
      </w:pPr>
    </w:p>
    <w:p>
      <w:pPr>
        <w:pStyle w:val="BodyText"/>
        <w:spacing w:line="310" w:lineRule="exact"/>
        <w:ind w:right="202"/>
        <w:jc w:val="both"/>
      </w:pPr>
      <w:r>
        <w:rPr/>
        <w:t>(6)2008</w:t>
      </w:r>
      <w:r>
        <w:rPr>
          <w:spacing w:val="-53"/>
        </w:rPr>
        <w:t> </w:t>
      </w:r>
      <w:r>
        <w:rPr/>
        <w:t>年</w:t>
      </w:r>
      <w:r>
        <w:rPr>
          <w:spacing w:val="-53"/>
        </w:rPr>
        <w:t> </w:t>
      </w:r>
      <w:r>
        <w:rPr/>
        <w:t>11</w:t>
      </w:r>
      <w:r>
        <w:rPr>
          <w:spacing w:val="-53"/>
        </w:rPr>
        <w:t> </w:t>
      </w:r>
      <w:r>
        <w:rPr/>
        <w:t>月，山东同方鲁颖电子有限公司股东沂南县阳都资产运营有限公司将其持</w:t>
      </w:r>
      <w:r>
        <w:rPr/>
        <w:t> 有的山东鲁颖</w:t>
      </w:r>
      <w:r>
        <w:rPr>
          <w:spacing w:val="-40"/>
        </w:rPr>
        <w:t> </w:t>
      </w:r>
      <w:r>
        <w:rPr/>
        <w:t>13.93%的股权转让给北京同方创新投资有限公司。股权转让完成后，公司</w:t>
      </w:r>
      <w:r>
        <w:rPr/>
        <w:t> 对其的持股比例仍为</w:t>
      </w:r>
      <w:r>
        <w:rPr>
          <w:spacing w:val="-60"/>
        </w:rPr>
        <w:t> </w:t>
      </w:r>
      <w:r>
        <w:rPr/>
        <w:t>83.07%，合并持股比例增至</w:t>
      </w:r>
      <w:r>
        <w:rPr>
          <w:spacing w:val="-60"/>
        </w:rPr>
        <w:t> </w:t>
      </w:r>
      <w:r>
        <w:rPr/>
        <w:t>97%。</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spacing w:line="475" w:lineRule="auto" w:before="0"/>
        <w:ind w:left="138" w:right="2906" w:firstLine="0"/>
        <w:jc w:val="left"/>
        <w:rPr>
          <w:rFonts w:ascii="宋体" w:hAnsi="宋体" w:cs="宋体" w:eastAsia="宋体" w:hint="default"/>
          <w:sz w:val="24"/>
          <w:szCs w:val="24"/>
        </w:rPr>
      </w:pPr>
      <w:r>
        <w:rPr>
          <w:rFonts w:ascii="宋体" w:hAnsi="宋体" w:cs="宋体" w:eastAsia="宋体" w:hint="default"/>
          <w:b/>
          <w:bCs/>
          <w:sz w:val="24"/>
          <w:szCs w:val="24"/>
        </w:rPr>
        <w:t>B．公司对内投资</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报告期内，公司除募集资金投入项目外无其他重大对内投资。</w:t>
      </w:r>
    </w:p>
    <w:p>
      <w:pPr>
        <w:spacing w:line="240" w:lineRule="auto" w:before="6"/>
        <w:rPr>
          <w:rFonts w:ascii="宋体" w:hAnsi="宋体" w:cs="宋体" w:eastAsia="宋体" w:hint="default"/>
          <w:sz w:val="29"/>
          <w:szCs w:val="29"/>
        </w:rPr>
      </w:pPr>
    </w:p>
    <w:p>
      <w:pPr>
        <w:pStyle w:val="Heading3"/>
        <w:spacing w:line="240" w:lineRule="auto"/>
        <w:ind w:left="138" w:right="0"/>
        <w:jc w:val="both"/>
        <w:rPr>
          <w:b w:val="0"/>
          <w:bCs w:val="0"/>
        </w:rPr>
      </w:pPr>
      <w:r>
        <w:rPr/>
        <w:t>C.截至本报告期，公司控股、参股公司基本状况</w:t>
      </w:r>
      <w:r>
        <w:rPr>
          <w:b w:val="0"/>
          <w:bCs w:val="0"/>
        </w:rPr>
      </w:r>
    </w:p>
    <w:p>
      <w:pPr>
        <w:spacing w:line="240" w:lineRule="auto" w:before="9"/>
        <w:rPr>
          <w:rFonts w:ascii="宋体" w:hAnsi="宋体" w:cs="宋体" w:eastAsia="宋体" w:hint="default"/>
          <w:b/>
          <w:bCs/>
          <w:sz w:val="20"/>
          <w:szCs w:val="20"/>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970"/>
        <w:gridCol w:w="911"/>
      </w:tblGrid>
      <w:tr>
        <w:trPr>
          <w:trHeight w:val="65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51"/>
              <w:ind w:left="174" w:right="179"/>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74" w:right="181"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05" w:right="114"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51"/>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17"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sz w:val="18"/>
              </w:rPr>
              <w:t>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泰豪科技股份有限公司 </w:t>
            </w:r>
            <w:r>
              <w:rPr>
                <w:rFonts w:ascii="宋体" w:hAnsi="宋体" w:cs="宋体" w:eastAsia="宋体" w:hint="default"/>
                <w:sz w:val="18"/>
                <w:szCs w:val="18"/>
              </w:rPr>
              <w:t>(股票代码</w:t>
            </w:r>
            <w:r>
              <w:rPr>
                <w:rFonts w:ascii="宋体" w:hAnsi="宋体" w:cs="宋体" w:eastAsia="宋体" w:hint="default"/>
                <w:spacing w:val="-46"/>
                <w:sz w:val="18"/>
                <w:szCs w:val="18"/>
              </w:rPr>
              <w:t> </w:t>
            </w:r>
            <w:r>
              <w:rPr>
                <w:rFonts w:ascii="宋体" w:hAnsi="宋体" w:cs="宋体" w:eastAsia="宋体" w:hint="default"/>
                <w:sz w:val="18"/>
                <w:szCs w:val="18"/>
              </w:rPr>
              <w:t>600590)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36" w:right="0"/>
              <w:jc w:val="left"/>
              <w:rPr>
                <w:rFonts w:ascii="宋体" w:hAnsi="宋体" w:cs="宋体" w:eastAsia="宋体" w:hint="default"/>
                <w:sz w:val="18"/>
                <w:szCs w:val="18"/>
              </w:rPr>
            </w:pPr>
            <w:r>
              <w:rPr>
                <w:rFonts w:ascii="宋体" w:hAnsi="宋体" w:cs="宋体" w:eastAsia="宋体" w:hint="default"/>
                <w:sz w:val="18"/>
                <w:szCs w:val="18"/>
              </w:rPr>
              <w:t>96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毛  勇</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7"/>
              <w:ind w:left="172" w:right="171"/>
              <w:jc w:val="left"/>
              <w:rPr>
                <w:rFonts w:ascii="宋体" w:hAnsi="宋体" w:cs="宋体" w:eastAsia="宋体" w:hint="default"/>
                <w:sz w:val="18"/>
                <w:szCs w:val="18"/>
              </w:rPr>
            </w:pPr>
            <w:r>
              <w:rPr>
                <w:rFonts w:ascii="宋体" w:hAnsi="宋体" w:cs="宋体" w:eastAsia="宋体" w:hint="default"/>
                <w:sz w:val="18"/>
                <w:szCs w:val="18"/>
              </w:rPr>
              <w:t>江西 南昌</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7"/>
              <w:ind w:left="100" w:right="99"/>
              <w:jc w:val="left"/>
              <w:rPr>
                <w:rFonts w:ascii="宋体" w:hAnsi="宋体" w:cs="宋体" w:eastAsia="宋体" w:hint="default"/>
                <w:sz w:val="18"/>
                <w:szCs w:val="18"/>
              </w:rPr>
            </w:pPr>
            <w:r>
              <w:rPr>
                <w:rFonts w:ascii="宋体" w:hAnsi="宋体" w:cs="宋体" w:eastAsia="宋体" w:hint="default"/>
                <w:spacing w:val="-3"/>
                <w:sz w:val="18"/>
                <w:szCs w:val="18"/>
              </w:rPr>
              <w:t>楼宇电气集成制造、军工电</w:t>
            </w:r>
            <w:r>
              <w:rPr>
                <w:rFonts w:ascii="宋体" w:hAnsi="宋体" w:cs="宋体" w:eastAsia="宋体" w:hint="default"/>
                <w:sz w:val="18"/>
                <w:szCs w:val="18"/>
              </w:rPr>
              <w:t> 源和中小型电机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z w:val="18"/>
              </w:rPr>
              <w:t>29,449.56</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90"/>
              <w:jc w:val="right"/>
              <w:rPr>
                <w:rFonts w:ascii="Times New Roman" w:hAnsi="Times New Roman" w:cs="Times New Roman" w:eastAsia="Times New Roman" w:hint="default"/>
                <w:sz w:val="18"/>
                <w:szCs w:val="18"/>
              </w:rPr>
            </w:pPr>
            <w:r>
              <w:rPr>
                <w:rFonts w:ascii="Times New Roman"/>
                <w:sz w:val="18"/>
              </w:rPr>
              <w:t>23.38%</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同方威视技术股份有限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荣泳霖</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射线装置及核仪器仪表设</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备的生产、设备安装服务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7,500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76.00%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光盘存储产品、知识资源数</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据库的开发、研制、销售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9,800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98.98%</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人工环境产品的开发、制造</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和销售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z w:val="18"/>
              </w:rPr>
              <w:t>24,900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40.96%</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北京同方微电子有限公</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半导体集成电路芯片及相</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关产品</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3,160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86.00%</w:t>
            </w:r>
          </w:p>
        </w:tc>
      </w:tr>
      <w:tr>
        <w:trPr>
          <w:trHeight w:val="503"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6</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通信设备、电子产品</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40,000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64" w:top="1080" w:bottom="980" w:left="128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970"/>
        <w:gridCol w:w="911"/>
      </w:tblGrid>
      <w:tr>
        <w:trPr>
          <w:trHeight w:val="65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51"/>
              <w:ind w:left="174" w:right="179"/>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74" w:right="181"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05" w:right="114"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51"/>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沈阳同方多媒体科技有 </w:t>
            </w: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辽宁 沈阳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数字电视及数字音视频产</w:t>
            </w:r>
            <w:r>
              <w:rPr>
                <w:rFonts w:ascii="宋体" w:hAnsi="宋体" w:cs="宋体" w:eastAsia="宋体" w:hint="default"/>
                <w:sz w:val="18"/>
                <w:szCs w:val="18"/>
              </w:rPr>
            </w:r>
          </w:p>
          <w:p>
            <w:pPr>
              <w:pStyle w:val="TableParagraph"/>
              <w:spacing w:line="244" w:lineRule="auto" w:before="4"/>
              <w:ind w:left="100" w:right="62"/>
              <w:jc w:val="left"/>
              <w:rPr>
                <w:rFonts w:ascii="宋体" w:hAnsi="宋体" w:cs="宋体" w:eastAsia="宋体" w:hint="default"/>
                <w:sz w:val="18"/>
                <w:szCs w:val="18"/>
              </w:rPr>
            </w:pPr>
            <w:r>
              <w:rPr>
                <w:rFonts w:ascii="宋体" w:hAnsi="宋体" w:cs="宋体" w:eastAsia="宋体" w:hint="default"/>
                <w:sz w:val="18"/>
                <w:szCs w:val="18"/>
              </w:rPr>
              <w:t>品、信息技术产品的开发、 销售等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31,800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100.00%</w:t>
            </w:r>
          </w:p>
        </w:tc>
      </w:tr>
      <w:tr>
        <w:trPr>
          <w:trHeight w:val="523"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1"/>
              <w:ind w:right="5"/>
              <w:jc w:val="center"/>
              <w:rPr>
                <w:rFonts w:ascii="宋体" w:hAnsi="宋体" w:cs="宋体" w:eastAsia="宋体" w:hint="default"/>
                <w:sz w:val="18"/>
                <w:szCs w:val="18"/>
              </w:rPr>
            </w:pPr>
            <w:r>
              <w:rPr>
                <w:rFonts w:ascii="宋体"/>
                <w:sz w:val="18"/>
              </w:rPr>
              <w:t>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北京同方凌讯科技有限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1"/>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宋体" w:hAnsi="宋体" w:cs="宋体" w:eastAsia="宋体" w:hint="default"/>
                <w:sz w:val="18"/>
                <w:szCs w:val="18"/>
              </w:rPr>
              <w:t>数字电视系统建设与运营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93.10%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山东同方鲁颖电子有限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沂南</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中高压瓷介电容器、片式化</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电子元器件</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83.07%</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北京同方软件股份有限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计算机软件的开发、生产和</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74.00%</w:t>
            </w:r>
          </w:p>
        </w:tc>
      </w:tr>
      <w:tr>
        <w:trPr>
          <w:trHeight w:val="557"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sz w:val="18"/>
              </w:rPr>
              <w:t>11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北京同方信息安全技术 </w:t>
            </w:r>
            <w:r>
              <w:rPr>
                <w:rFonts w:ascii="宋体" w:hAnsi="宋体" w:cs="宋体" w:eastAsia="宋体" w:hint="default"/>
                <w:sz w:val="18"/>
                <w:szCs w:val="18"/>
              </w:rPr>
              <w:t>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网络安全软件和技术服务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3,375</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51.79%</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tabs>
                <w:tab w:pos="1774" w:val="left" w:leader="none"/>
              </w:tabs>
              <w:spacing w:line="214" w:lineRule="exact"/>
              <w:ind w:left="100" w:right="0"/>
              <w:jc w:val="left"/>
              <w:rPr>
                <w:rFonts w:ascii="宋体" w:hAnsi="宋体" w:cs="宋体" w:eastAsia="宋体" w:hint="default"/>
                <w:sz w:val="18"/>
                <w:szCs w:val="18"/>
              </w:rPr>
            </w:pPr>
            <w:r>
              <w:rPr>
                <w:rFonts w:ascii="宋体"/>
                <w:sz w:val="18"/>
              </w:rPr>
              <w:t>Technovator</w:t>
              <w:tab/>
              <w:t>Int</w:t>
            </w:r>
          </w:p>
          <w:p>
            <w:pPr>
              <w:pStyle w:val="TableParagraph"/>
              <w:spacing w:line="240" w:lineRule="auto" w:before="4"/>
              <w:ind w:left="100" w:right="0"/>
              <w:jc w:val="left"/>
              <w:rPr>
                <w:rFonts w:ascii="宋体" w:hAnsi="宋体" w:cs="宋体" w:eastAsia="宋体" w:hint="default"/>
                <w:sz w:val="18"/>
                <w:szCs w:val="18"/>
              </w:rPr>
            </w:pPr>
            <w:r>
              <w:rPr>
                <w:rFonts w:ascii="宋体"/>
                <w:sz w:val="18"/>
              </w:rPr>
              <w:t>Private Limited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赵晓波</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新加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楼宇自动控制产品的设计、</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生产和销售等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58" w:right="0"/>
              <w:jc w:val="center"/>
              <w:rPr>
                <w:rFonts w:ascii="宋体" w:hAnsi="宋体" w:cs="宋体" w:eastAsia="宋体" w:hint="default"/>
                <w:sz w:val="18"/>
                <w:szCs w:val="18"/>
              </w:rPr>
            </w:pPr>
            <w:r>
              <w:rPr>
                <w:rFonts w:ascii="宋体" w:hAnsi="宋体" w:cs="宋体" w:eastAsia="宋体" w:hint="default"/>
                <w:sz w:val="18"/>
                <w:szCs w:val="18"/>
              </w:rPr>
              <w:t>908</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4"/>
              <w:ind w:left="39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25.33%</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产品研发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6,000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100.00%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北京亚仕同方科技有限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李吉生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非接触式纸质电子票卡的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生产和销售等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5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393"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49.99%</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15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中体同方体育科技有限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开发体育科技产品；体育电</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子商务及政务服务软件；咨</w:t>
            </w:r>
            <w:r>
              <w:rPr>
                <w:rFonts w:ascii="宋体" w:hAnsi="宋体" w:cs="宋体" w:eastAsia="宋体" w:hint="default"/>
                <w:sz w:val="18"/>
                <w:szCs w:val="18"/>
              </w:rPr>
              <w:t> 询等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4,144</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42.23%</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云南云电同方科技有限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周兴东</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云南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9"/>
                <w:sz w:val="18"/>
                <w:szCs w:val="18"/>
              </w:rPr>
              <w:t> </w:t>
            </w:r>
            <w:r>
              <w:rPr>
                <w:rFonts w:ascii="宋体" w:hAnsi="宋体" w:cs="宋体" w:eastAsia="宋体" w:hint="default"/>
                <w:spacing w:val="4"/>
                <w:sz w:val="18"/>
                <w:szCs w:val="18"/>
              </w:rPr>
              <w:t>产业与电力高科技产业</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pacing w:val="-3"/>
                <w:sz w:val="18"/>
                <w:szCs w:val="18"/>
              </w:rPr>
              <w:t>产品的研发、生产、销售等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2,400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37.50%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郑州同方神火科技有限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李志经</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河南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计算机软硬件、医疗仪器</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50.00%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北京同方电子商务有限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电子商务经营相关业务的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17,125</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北京同方清芝商用机器</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王良海</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开发、研究、生产专用纸币</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清分机、点验钞机产品等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51.00%</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20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林荣强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环保产品、城市生活垃圾、</w:t>
            </w:r>
          </w:p>
          <w:p>
            <w:pPr>
              <w:pStyle w:val="TableParagraph"/>
              <w:spacing w:line="244" w:lineRule="auto" w:before="4"/>
              <w:ind w:left="100" w:right="84"/>
              <w:jc w:val="left"/>
              <w:rPr>
                <w:rFonts w:ascii="宋体" w:hAnsi="宋体" w:cs="宋体" w:eastAsia="宋体" w:hint="default"/>
                <w:sz w:val="18"/>
                <w:szCs w:val="18"/>
              </w:rPr>
            </w:pPr>
            <w:r>
              <w:rPr>
                <w:rFonts w:ascii="宋体" w:hAnsi="宋体" w:cs="宋体" w:eastAsia="宋体" w:hint="default"/>
                <w:spacing w:val="14"/>
                <w:sz w:val="18"/>
                <w:szCs w:val="18"/>
              </w:rPr>
              <w:t>危险废物处理业务与运营 </w:t>
            </w:r>
            <w:r>
              <w:rPr>
                <w:rFonts w:ascii="宋体" w:hAnsi="宋体" w:cs="宋体" w:eastAsia="宋体" w:hint="default"/>
                <w:sz w:val="18"/>
                <w:szCs w:val="18"/>
              </w:rPr>
              <w:t>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11,120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31.50%</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21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同方炭素科技有限公司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江苏 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活性炭产品以及相关机械</w:t>
            </w:r>
            <w:r>
              <w:rPr>
                <w:rFonts w:ascii="宋体" w:hAnsi="宋体" w:cs="宋体" w:eastAsia="宋体" w:hint="default"/>
                <w:sz w:val="18"/>
                <w:szCs w:val="18"/>
              </w:rPr>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设备装置的研发、生产、销</w:t>
            </w:r>
            <w:r>
              <w:rPr>
                <w:rFonts w:ascii="宋体" w:hAnsi="宋体" w:cs="宋体" w:eastAsia="宋体" w:hint="default"/>
                <w:sz w:val="18"/>
                <w:szCs w:val="18"/>
              </w:rPr>
              <w:t> 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94.00%</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22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郑燕康</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河北 廊坊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高亮度发光二级管外延片、</w:t>
            </w:r>
          </w:p>
          <w:p>
            <w:pPr>
              <w:pStyle w:val="TableParagraph"/>
              <w:spacing w:line="244" w:lineRule="auto" w:before="4"/>
              <w:ind w:left="100" w:right="62"/>
              <w:jc w:val="left"/>
              <w:rPr>
                <w:rFonts w:ascii="宋体" w:hAnsi="宋体" w:cs="宋体" w:eastAsia="宋体" w:hint="default"/>
                <w:sz w:val="18"/>
                <w:szCs w:val="18"/>
              </w:rPr>
            </w:pPr>
            <w:r>
              <w:rPr>
                <w:rFonts w:ascii="宋体" w:hAnsi="宋体" w:cs="宋体" w:eastAsia="宋体" w:hint="default"/>
                <w:sz w:val="18"/>
                <w:szCs w:val="18"/>
              </w:rPr>
              <w:t>芯片及其系列产品的开发、 生产</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before="97"/>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55.00%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北京同方房地产开发有</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自用办公楼、科技园开发、</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100.00%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无锡同方创新科技园有</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江苏</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10,000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同方鞍山科技园有限公</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辽宁</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3,000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100.00%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sz w:val="18"/>
              </w:rPr>
              <w:t>Resuccess</w:t>
            </w:r>
            <w:r>
              <w:rPr>
                <w:rFonts w:ascii="宋体"/>
                <w:spacing w:val="52"/>
                <w:sz w:val="18"/>
              </w:rPr>
              <w:t> </w:t>
            </w:r>
            <w:r>
              <w:rPr>
                <w:rFonts w:ascii="宋体"/>
                <w:sz w:val="18"/>
              </w:rPr>
              <w:t>Investments</w:t>
            </w:r>
          </w:p>
          <w:p>
            <w:pPr>
              <w:pStyle w:val="TableParagraph"/>
              <w:spacing w:line="240" w:lineRule="auto" w:before="4"/>
              <w:ind w:left="100" w:right="0"/>
              <w:jc w:val="left"/>
              <w:rPr>
                <w:rFonts w:ascii="宋体" w:hAnsi="宋体" w:cs="宋体" w:eastAsia="宋体" w:hint="default"/>
                <w:sz w:val="18"/>
                <w:szCs w:val="18"/>
              </w:rPr>
            </w:pPr>
            <w:r>
              <w:rPr>
                <w:rFonts w:ascii="宋体"/>
                <w:sz w:val="18"/>
              </w:rPr>
              <w:t>Limited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英属</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维京</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100.00%</w:t>
            </w:r>
          </w:p>
        </w:tc>
      </w:tr>
      <w:tr>
        <w:trPr>
          <w:trHeight w:val="518"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sz w:val="18"/>
              </w:rPr>
              <w:t>27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北京同方创新投资有限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7"/>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7"/>
              <w:ind w:left="100" w:right="98"/>
              <w:jc w:val="left"/>
              <w:rPr>
                <w:rFonts w:ascii="宋体" w:hAnsi="宋体" w:cs="宋体" w:eastAsia="宋体" w:hint="default"/>
                <w:sz w:val="18"/>
                <w:szCs w:val="18"/>
              </w:rPr>
            </w:pPr>
            <w:r>
              <w:rPr>
                <w:rFonts w:ascii="宋体" w:hAnsi="宋体" w:cs="宋体" w:eastAsia="宋体" w:hint="default"/>
                <w:spacing w:val="-3"/>
                <w:sz w:val="18"/>
                <w:szCs w:val="18"/>
              </w:rPr>
              <w:t>技术开发、技术转让、技术</w:t>
            </w:r>
            <w:r>
              <w:rPr>
                <w:rFonts w:ascii="宋体" w:hAnsi="宋体" w:cs="宋体" w:eastAsia="宋体" w:hint="default"/>
                <w:sz w:val="18"/>
                <w:szCs w:val="18"/>
              </w:rPr>
              <w:t> 咨询；高新技术项目投资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z w:val="18"/>
              </w:rPr>
              <w:t>18,000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90"/>
              <w:jc w:val="right"/>
              <w:rPr>
                <w:rFonts w:ascii="Times New Roman" w:hAnsi="Times New Roman" w:cs="Times New Roman" w:eastAsia="Times New Roman" w:hint="default"/>
                <w:sz w:val="18"/>
                <w:szCs w:val="18"/>
              </w:rPr>
            </w:pPr>
            <w:r>
              <w:rPr>
                <w:rFonts w:ascii="Times New Roman"/>
                <w:sz w:val="18"/>
              </w:rPr>
              <w:t>100.00%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浦东</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实业投资、创业投资、投资</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管理、投资咨询</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18,000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50.00%</w:t>
            </w:r>
          </w:p>
        </w:tc>
      </w:tr>
      <w:tr>
        <w:trPr>
          <w:trHeight w:val="502"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29</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项目投资及管理等</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55,000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36.36%</w:t>
            </w:r>
          </w:p>
        </w:tc>
      </w:tr>
    </w:tbl>
    <w:p>
      <w:pPr>
        <w:spacing w:after="0" w:line="240" w:lineRule="auto"/>
        <w:jc w:val="right"/>
        <w:rPr>
          <w:rFonts w:ascii="Times New Roman" w:hAnsi="Times New Roman" w:cs="Times New Roman" w:eastAsia="Times New Roman" w:hint="default"/>
          <w:sz w:val="18"/>
          <w:szCs w:val="18"/>
        </w:rPr>
        <w:sectPr>
          <w:headerReference w:type="default" r:id="rId22"/>
          <w:pgSz w:w="11910" w:h="16840"/>
          <w:pgMar w:header="610" w:footer="764" w:top="1080" w:bottom="960" w:left="128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970"/>
        <w:gridCol w:w="911"/>
      </w:tblGrid>
      <w:tr>
        <w:trPr>
          <w:trHeight w:val="65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51"/>
              <w:ind w:left="174" w:right="179"/>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74" w:right="181"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05" w:right="114"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51"/>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北京高新技术创业投资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徐京付</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对高新技术企业进行投资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及投资管理；投资咨询</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z w:val="18"/>
              </w:rPr>
              <w:t>31,000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3.23%</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中投信用担保有限公司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李军阳</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朝阳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企业贷款、投融资担保；个</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人消费贷款担保；资信咨询</w:t>
            </w:r>
            <w:r>
              <w:rPr>
                <w:rFonts w:ascii="宋体" w:hAnsi="宋体" w:cs="宋体" w:eastAsia="宋体" w:hint="default"/>
                <w:sz w:val="18"/>
                <w:szCs w:val="18"/>
              </w:rPr>
              <w:t> 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吉林同方科贸有限公司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李吉生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吉林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计算机及信息产品、机电设</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备、人工环境设备</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z w:val="18"/>
              </w:rPr>
              <w:t>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20.00%</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THTF USA,INC.</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美国 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计算机软件、数字通讯、网</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络产品、电子产品开发、生</w:t>
            </w:r>
            <w:r>
              <w:rPr>
                <w:rFonts w:ascii="宋体" w:hAnsi="宋体" w:cs="宋体" w:eastAsia="宋体" w:hint="default"/>
                <w:sz w:val="18"/>
                <w:szCs w:val="18"/>
              </w:rPr>
              <w:t> 产等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before="97"/>
              <w:ind w:left="25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39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100.00%</w:t>
            </w:r>
          </w:p>
        </w:tc>
      </w:tr>
      <w:tr>
        <w:trPr>
          <w:trHeight w:val="52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宋体" w:hAnsi="宋体" w:cs="宋体" w:eastAsia="宋体" w:hint="default"/>
                <w:sz w:val="18"/>
                <w:szCs w:val="18"/>
              </w:rPr>
            </w:pPr>
            <w:r>
              <w:rPr>
                <w:rFonts w:ascii="宋体"/>
                <w:sz w:val="18"/>
              </w:rPr>
              <w:t>34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3"/>
                <w:sz w:val="18"/>
                <w:szCs w:val="18"/>
              </w:rPr>
              <w:t>同方(哈尔滨)水务有限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张宇宙</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62" w:right="170" w:hanging="90"/>
              <w:jc w:val="left"/>
              <w:rPr>
                <w:rFonts w:ascii="宋体" w:hAnsi="宋体" w:cs="宋体" w:eastAsia="宋体" w:hint="default"/>
                <w:sz w:val="18"/>
                <w:szCs w:val="18"/>
              </w:rPr>
            </w:pPr>
            <w:r>
              <w:rPr>
                <w:rFonts w:ascii="宋体" w:hAnsi="宋体" w:cs="宋体" w:eastAsia="宋体" w:hint="default"/>
                <w:sz w:val="18"/>
                <w:szCs w:val="18"/>
              </w:rPr>
              <w:t>哈尔 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4"/>
                <w:sz w:val="18"/>
                <w:szCs w:val="18"/>
              </w:rPr>
              <w:t>哈尔滨太平污水处理厂项 </w:t>
            </w:r>
            <w:r>
              <w:rPr>
                <w:rFonts w:ascii="宋体" w:hAnsi="宋体" w:cs="宋体" w:eastAsia="宋体" w:hint="default"/>
                <w:sz w:val="18"/>
                <w:szCs w:val="18"/>
              </w:rPr>
              <w:t>目建设、运营等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7,500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w:t>
            </w:r>
          </w:p>
        </w:tc>
      </w:tr>
      <w:tr>
        <w:trPr>
          <w:trHeight w:val="57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5"/>
              <w:ind w:right="5"/>
              <w:jc w:val="center"/>
              <w:rPr>
                <w:rFonts w:ascii="宋体" w:hAnsi="宋体" w:cs="宋体" w:eastAsia="宋体" w:hint="default"/>
                <w:sz w:val="18"/>
                <w:szCs w:val="18"/>
              </w:rPr>
            </w:pPr>
            <w:r>
              <w:rPr>
                <w:rFonts w:ascii="宋体"/>
                <w:sz w:val="18"/>
              </w:rPr>
              <w:t>35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5"/>
              <w:ind w:left="100" w:right="84"/>
              <w:jc w:val="left"/>
              <w:rPr>
                <w:rFonts w:ascii="宋体" w:hAnsi="宋体" w:cs="宋体" w:eastAsia="宋体" w:hint="default"/>
                <w:sz w:val="18"/>
                <w:szCs w:val="18"/>
              </w:rPr>
            </w:pPr>
            <w:r>
              <w:rPr>
                <w:rFonts w:ascii="宋体" w:hAnsi="宋体" w:cs="宋体" w:eastAsia="宋体" w:hint="default"/>
                <w:spacing w:val="13"/>
                <w:sz w:val="18"/>
                <w:szCs w:val="18"/>
              </w:rPr>
              <w:t>中国学术期刊(光盘版)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电子杂志社</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潘龙法</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5"/>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5"/>
              <w:ind w:left="100" w:right="98"/>
              <w:jc w:val="left"/>
              <w:rPr>
                <w:rFonts w:ascii="宋体" w:hAnsi="宋体" w:cs="宋体" w:eastAsia="宋体" w:hint="default"/>
                <w:sz w:val="18"/>
                <w:szCs w:val="18"/>
              </w:rPr>
            </w:pPr>
            <w:r>
              <w:rPr>
                <w:rFonts w:ascii="宋体" w:hAnsi="宋体" w:cs="宋体" w:eastAsia="宋体" w:hint="default"/>
                <w:spacing w:val="-3"/>
                <w:sz w:val="18"/>
                <w:szCs w:val="18"/>
              </w:rPr>
              <w:t>编辑、出版、发行中国学术</w:t>
            </w:r>
            <w:r>
              <w:rPr>
                <w:rFonts w:ascii="宋体" w:hAnsi="宋体" w:cs="宋体" w:eastAsia="宋体" w:hint="default"/>
                <w:sz w:val="18"/>
                <w:szCs w:val="18"/>
              </w:rPr>
              <w:t> </w:t>
            </w:r>
            <w:r>
              <w:rPr>
                <w:rFonts w:ascii="宋体" w:hAnsi="宋体" w:cs="宋体" w:eastAsia="宋体" w:hint="default"/>
                <w:spacing w:val="-3"/>
                <w:sz w:val="18"/>
                <w:szCs w:val="18"/>
              </w:rPr>
              <w:t>期刊(光盘版)、互联网出版</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100.00%</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北京市同方教育培训学 </w:t>
            </w:r>
            <w:r>
              <w:rPr>
                <w:rFonts w:ascii="宋体" w:hAnsi="宋体" w:cs="宋体" w:eastAsia="宋体" w:hint="default"/>
                <w:sz w:val="18"/>
                <w:szCs w:val="18"/>
              </w:rPr>
              <w:t>校</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开办英语、经济类、管理类、</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艺术类、信息技术等面授培</w:t>
            </w:r>
            <w:r>
              <w:rPr>
                <w:rFonts w:ascii="宋体" w:hAnsi="宋体" w:cs="宋体" w:eastAsia="宋体" w:hint="default"/>
                <w:sz w:val="18"/>
                <w:szCs w:val="18"/>
              </w:rPr>
              <w:t> 训</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100.00%</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北京同方物业管理有限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陈兆祥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物业管理及相关服务；餐</w:t>
            </w:r>
            <w:r>
              <w:rPr>
                <w:rFonts w:ascii="宋体" w:hAnsi="宋体" w:cs="宋体" w:eastAsia="宋体" w:hint="default"/>
                <w:sz w:val="18"/>
                <w:szCs w:val="18"/>
              </w:rPr>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饮、娱乐商务服务；组织会</w:t>
            </w:r>
            <w:r>
              <w:rPr>
                <w:rFonts w:ascii="宋体" w:hAnsi="宋体" w:cs="宋体" w:eastAsia="宋体" w:hint="default"/>
                <w:sz w:val="18"/>
                <w:szCs w:val="18"/>
              </w:rPr>
              <w:t> 议等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950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100.00%</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北京同方易豪科技有限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石振毅</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酒店宽带、酒店互动数字电</w:t>
            </w:r>
          </w:p>
          <w:p>
            <w:pPr>
              <w:pStyle w:val="TableParagraph"/>
              <w:spacing w:line="244" w:lineRule="auto" w:before="4"/>
              <w:ind w:left="100" w:right="84"/>
              <w:jc w:val="left"/>
              <w:rPr>
                <w:rFonts w:ascii="宋体" w:hAnsi="宋体" w:cs="宋体" w:eastAsia="宋体" w:hint="default"/>
                <w:sz w:val="18"/>
                <w:szCs w:val="18"/>
              </w:rPr>
            </w:pPr>
            <w:r>
              <w:rPr>
                <w:rFonts w:ascii="宋体" w:hAnsi="宋体" w:cs="宋体" w:eastAsia="宋体" w:hint="default"/>
                <w:spacing w:val="14"/>
                <w:sz w:val="18"/>
                <w:szCs w:val="18"/>
              </w:rPr>
              <w:t>视系统等解决方案及系统 </w:t>
            </w:r>
            <w:r>
              <w:rPr>
                <w:rFonts w:ascii="宋体" w:hAnsi="宋体" w:cs="宋体" w:eastAsia="宋体" w:hint="default"/>
                <w:sz w:val="18"/>
                <w:szCs w:val="18"/>
              </w:rPr>
              <w:t>运营等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4,253</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48.37%</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北京中录同方文化传播 </w:t>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王笑然</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昌平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音像制品技术开发、组织文</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化交流、数字影视和光盘复</w:t>
            </w:r>
            <w:r>
              <w:rPr>
                <w:rFonts w:ascii="宋体" w:hAnsi="宋体" w:cs="宋体" w:eastAsia="宋体" w:hint="default"/>
                <w:sz w:val="18"/>
                <w:szCs w:val="18"/>
              </w:rPr>
              <w:t> 制等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50.00%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美国凌讯科技有限公司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董  弘</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美国</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芯片研发设计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before="29"/>
              <w:ind w:left="224" w:right="0"/>
              <w:jc w:val="left"/>
              <w:rPr>
                <w:rFonts w:ascii="Times New Roman" w:hAnsi="Times New Roman" w:cs="Times New Roman" w:eastAsia="Times New Roman" w:hint="default"/>
                <w:sz w:val="18"/>
                <w:szCs w:val="18"/>
              </w:rPr>
            </w:pPr>
            <w:r>
              <w:rPr>
                <w:rFonts w:ascii="Times New Roman"/>
                <w:sz w:val="18"/>
              </w:rPr>
              <w:t>1,688.54</w:t>
            </w:r>
          </w:p>
          <w:p>
            <w:pPr>
              <w:pStyle w:val="TableParagraph"/>
              <w:spacing w:line="226" w:lineRule="exact"/>
              <w:ind w:left="314"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8.49%</w:t>
            </w:r>
          </w:p>
        </w:tc>
      </w:tr>
      <w:tr>
        <w:trPr>
          <w:trHeight w:val="581"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9"/>
              <w:ind w:right="5"/>
              <w:jc w:val="center"/>
              <w:rPr>
                <w:rFonts w:ascii="宋体" w:hAnsi="宋体" w:cs="宋体" w:eastAsia="宋体" w:hint="default"/>
                <w:sz w:val="18"/>
                <w:szCs w:val="18"/>
              </w:rPr>
            </w:pPr>
            <w:r>
              <w:rPr>
                <w:rFonts w:ascii="宋体"/>
                <w:sz w:val="18"/>
              </w:rPr>
              <w:t>41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9"/>
              <w:ind w:left="100" w:right="84"/>
              <w:jc w:val="left"/>
              <w:rPr>
                <w:rFonts w:ascii="宋体" w:hAnsi="宋体" w:cs="宋体" w:eastAsia="宋体" w:hint="default"/>
                <w:sz w:val="18"/>
                <w:szCs w:val="18"/>
              </w:rPr>
            </w:pPr>
            <w:r>
              <w:rPr>
                <w:rFonts w:ascii="宋体" w:hAnsi="宋体" w:cs="宋体" w:eastAsia="宋体" w:hint="default"/>
                <w:spacing w:val="15"/>
                <w:sz w:val="18"/>
                <w:szCs w:val="18"/>
              </w:rPr>
              <w:t>同方鼎欣信息技术有限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36" w:right="0"/>
              <w:jc w:val="left"/>
              <w:rPr>
                <w:rFonts w:ascii="宋体" w:hAnsi="宋体" w:cs="宋体" w:eastAsia="宋体" w:hint="default"/>
                <w:sz w:val="18"/>
                <w:szCs w:val="18"/>
              </w:rPr>
            </w:pPr>
            <w:r>
              <w:rPr>
                <w:rFonts w:ascii="宋体" w:hAnsi="宋体" w:cs="宋体" w:eastAsia="宋体" w:hint="default"/>
                <w:sz w:val="18"/>
                <w:szCs w:val="18"/>
              </w:rPr>
              <w:t>94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8"/>
              <w:ind w:left="100" w:right="98"/>
              <w:jc w:val="left"/>
              <w:rPr>
                <w:rFonts w:ascii="宋体" w:hAnsi="宋体" w:cs="宋体" w:eastAsia="宋体" w:hint="default"/>
                <w:sz w:val="18"/>
                <w:szCs w:val="18"/>
              </w:rPr>
            </w:pPr>
            <w:r>
              <w:rPr>
                <w:rFonts w:ascii="宋体" w:hAnsi="宋体" w:cs="宋体" w:eastAsia="宋体" w:hint="default"/>
                <w:spacing w:val="-3"/>
                <w:sz w:val="18"/>
                <w:szCs w:val="18"/>
              </w:rPr>
              <w:t>生产开发计算机硬、软件及</w:t>
            </w:r>
            <w:r>
              <w:rPr>
                <w:rFonts w:ascii="宋体" w:hAnsi="宋体" w:cs="宋体" w:eastAsia="宋体" w:hint="default"/>
                <w:sz w:val="18"/>
                <w:szCs w:val="18"/>
              </w:rPr>
              <w:t> </w:t>
            </w:r>
            <w:r>
              <w:rPr>
                <w:rFonts w:ascii="宋体" w:hAnsi="宋体" w:cs="宋体" w:eastAsia="宋体" w:hint="default"/>
                <w:spacing w:val="-3"/>
                <w:sz w:val="18"/>
                <w:szCs w:val="18"/>
              </w:rPr>
              <w:t>其应用服务；销售自产产品</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67.42%</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北京首开亿信置业股份</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刘  安</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西城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房地产经营开发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18"/>
                <w:szCs w:val="18"/>
              </w:rPr>
            </w:pPr>
            <w:r>
              <w:rPr>
                <w:rFonts w:ascii="Times New Roman"/>
                <w:sz w:val="18"/>
              </w:rPr>
              <w:t>32,000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0.31%</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武汉国际会展中心股份</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张宪华</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湖北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组办会议、展览及展销、广</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告设计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18"/>
                <w:szCs w:val="18"/>
              </w:rPr>
            </w:pPr>
            <w:r>
              <w:rPr>
                <w:rFonts w:ascii="Times New Roman"/>
                <w:sz w:val="18"/>
              </w:rPr>
              <w:t>22,600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2.21%</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航天科工卫星技术有限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於  亮</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卫星、航天飞行器、空间探</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测器的开发、制造、服务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7,499</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13.74%</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梅  萌</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清华科技园开发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18"/>
                <w:szCs w:val="18"/>
              </w:rPr>
            </w:pPr>
            <w:r>
              <w:rPr>
                <w:rFonts w:ascii="Times New Roman"/>
                <w:sz w:val="18"/>
              </w:rPr>
              <w:t>54,432</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0.52%</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北京同方吉兆科技有限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数字电视发射机、调频广播</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发射机、机顶盒等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7,000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85.46%</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sz w:val="18"/>
              </w:rPr>
              <w:t>TongFang Asia</w:t>
            </w:r>
            <w:r>
              <w:rPr>
                <w:rFonts w:ascii="宋体"/>
                <w:spacing w:val="52"/>
                <w:sz w:val="18"/>
              </w:rPr>
              <w:t> </w:t>
            </w:r>
            <w:r>
              <w:rPr>
                <w:rFonts w:ascii="宋体"/>
                <w:sz w:val="18"/>
              </w:rPr>
              <w:t>Pacific</w:t>
            </w:r>
          </w:p>
          <w:p>
            <w:pPr>
              <w:pStyle w:val="TableParagraph"/>
              <w:spacing w:line="240" w:lineRule="auto" w:before="4"/>
              <w:ind w:left="100" w:right="0"/>
              <w:jc w:val="left"/>
              <w:rPr>
                <w:rFonts w:ascii="宋体" w:hAnsi="宋体" w:cs="宋体" w:eastAsia="宋体" w:hint="default"/>
                <w:sz w:val="18"/>
                <w:szCs w:val="18"/>
              </w:rPr>
            </w:pPr>
            <w:r>
              <w:rPr>
                <w:rFonts w:ascii="宋体"/>
                <w:sz w:val="18"/>
              </w:rPr>
              <w:t>(R&amp;D Center) Pte.</w:t>
            </w:r>
            <w:r>
              <w:rPr>
                <w:rFonts w:ascii="宋体"/>
                <w:spacing w:val="-40"/>
                <w:sz w:val="18"/>
              </w:rPr>
              <w:t> </w:t>
            </w:r>
            <w:r>
              <w:rPr>
                <w:rFonts w:ascii="宋体"/>
                <w:sz w:val="18"/>
              </w:rPr>
              <w:t>Ltd.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新加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5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39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90"/>
              <w:jc w:val="right"/>
              <w:rPr>
                <w:rFonts w:ascii="Times New Roman" w:hAnsi="Times New Roman" w:cs="Times New Roman" w:eastAsia="Times New Roman" w:hint="default"/>
                <w:sz w:val="18"/>
                <w:szCs w:val="18"/>
              </w:rPr>
            </w:pPr>
            <w:r>
              <w:rPr>
                <w:rFonts w:ascii="Times New Roman"/>
                <w:sz w:val="18"/>
              </w:rPr>
              <w:t>100.00%</w:t>
            </w:r>
          </w:p>
        </w:tc>
      </w:tr>
      <w:tr>
        <w:trPr>
          <w:trHeight w:val="512"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6"/>
              <w:ind w:right="5"/>
              <w:jc w:val="center"/>
              <w:rPr>
                <w:rFonts w:ascii="宋体" w:hAnsi="宋体" w:cs="宋体" w:eastAsia="宋体" w:hint="default"/>
                <w:sz w:val="18"/>
                <w:szCs w:val="18"/>
              </w:rPr>
            </w:pPr>
            <w:r>
              <w:rPr>
                <w:rFonts w:ascii="宋体"/>
                <w:sz w:val="18"/>
              </w:rPr>
              <w:t>48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4"/>
              <w:ind w:left="100" w:right="84"/>
              <w:jc w:val="left"/>
              <w:rPr>
                <w:rFonts w:ascii="宋体" w:hAnsi="宋体" w:cs="宋体" w:eastAsia="宋体" w:hint="default"/>
                <w:sz w:val="18"/>
                <w:szCs w:val="18"/>
              </w:rPr>
            </w:pPr>
            <w:r>
              <w:rPr>
                <w:rFonts w:ascii="宋体" w:hAnsi="宋体" w:cs="宋体" w:eastAsia="宋体" w:hint="default"/>
                <w:spacing w:val="15"/>
                <w:sz w:val="18"/>
                <w:szCs w:val="18"/>
              </w:rPr>
              <w:t>上海百视通电视传媒有 </w:t>
            </w: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张大钟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4"/>
              <w:ind w:left="172" w:right="170"/>
              <w:jc w:val="left"/>
              <w:rPr>
                <w:rFonts w:ascii="宋体" w:hAnsi="宋体" w:cs="宋体" w:eastAsia="宋体" w:hint="default"/>
                <w:sz w:val="18"/>
                <w:szCs w:val="18"/>
              </w:rPr>
            </w:pPr>
            <w:r>
              <w:rPr>
                <w:rFonts w:ascii="宋体" w:hAnsi="宋体" w:cs="宋体" w:eastAsia="宋体" w:hint="default"/>
                <w:sz w:val="18"/>
                <w:szCs w:val="18"/>
              </w:rPr>
              <w:t>上海 虹口</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00" w:right="0"/>
              <w:jc w:val="left"/>
              <w:rPr>
                <w:rFonts w:ascii="宋体" w:hAnsi="宋体" w:cs="宋体" w:eastAsia="宋体" w:hint="default"/>
                <w:sz w:val="18"/>
                <w:szCs w:val="18"/>
              </w:rPr>
            </w:pPr>
            <w:r>
              <w:rPr>
                <w:rFonts w:ascii="宋体" w:hAnsi="宋体" w:cs="宋体" w:eastAsia="宋体" w:hint="default"/>
                <w:sz w:val="18"/>
                <w:szCs w:val="18"/>
              </w:rPr>
              <w:t>IPTV</w:t>
            </w:r>
            <w:r>
              <w:rPr>
                <w:rFonts w:ascii="宋体" w:hAnsi="宋体" w:cs="宋体" w:eastAsia="宋体" w:hint="default"/>
                <w:spacing w:val="-46"/>
                <w:sz w:val="18"/>
                <w:szCs w:val="18"/>
              </w:rPr>
              <w:t> </w:t>
            </w:r>
            <w:r>
              <w:rPr>
                <w:rFonts w:ascii="宋体" w:hAnsi="宋体" w:cs="宋体" w:eastAsia="宋体" w:hint="default"/>
                <w:sz w:val="18"/>
                <w:szCs w:val="18"/>
              </w:rPr>
              <w:t>内容管理及审核</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833</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0"/>
              <w:jc w:val="right"/>
              <w:rPr>
                <w:rFonts w:ascii="Times New Roman" w:hAnsi="Times New Roman" w:cs="Times New Roman" w:eastAsia="Times New Roman" w:hint="default"/>
                <w:sz w:val="18"/>
                <w:szCs w:val="18"/>
              </w:rPr>
            </w:pPr>
            <w:r>
              <w:rPr>
                <w:rFonts w:ascii="Times New Roman"/>
                <w:sz w:val="18"/>
              </w:rPr>
              <w:t>40.00%</w:t>
            </w:r>
          </w:p>
        </w:tc>
      </w:tr>
      <w:tr>
        <w:trPr>
          <w:trHeight w:val="52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宋体" w:hAnsi="宋体" w:cs="宋体" w:eastAsia="宋体" w:hint="default"/>
                <w:sz w:val="18"/>
                <w:szCs w:val="18"/>
              </w:rPr>
            </w:pPr>
            <w:r>
              <w:rPr>
                <w:rFonts w:ascii="宋体"/>
                <w:sz w:val="18"/>
              </w:rPr>
              <w:t>49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百视通网络电视技术发 </w:t>
            </w:r>
            <w:r>
              <w:rPr>
                <w:rFonts w:ascii="宋体" w:hAnsi="宋体" w:cs="宋体" w:eastAsia="宋体" w:hint="default"/>
                <w:sz w:val="18"/>
                <w:szCs w:val="18"/>
              </w:rPr>
              <w:t>展有限责任公司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黎瑞刚</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上海 长宁</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IPTV</w:t>
            </w:r>
            <w:r>
              <w:rPr>
                <w:rFonts w:ascii="宋体" w:hAnsi="宋体" w:cs="宋体" w:eastAsia="宋体" w:hint="default"/>
                <w:spacing w:val="-46"/>
                <w:sz w:val="18"/>
                <w:szCs w:val="18"/>
              </w:rPr>
              <w:t> </w:t>
            </w:r>
            <w:r>
              <w:rPr>
                <w:rFonts w:ascii="宋体" w:hAnsi="宋体" w:cs="宋体" w:eastAsia="宋体" w:hint="default"/>
                <w:sz w:val="18"/>
                <w:szCs w:val="18"/>
              </w:rPr>
              <w:t>技术服务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19,790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40.00%</w:t>
            </w:r>
          </w:p>
        </w:tc>
      </w:tr>
      <w:tr>
        <w:trPr>
          <w:trHeight w:val="518"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50</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同方光电科技有限公司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北京 顺义</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高亮度发光二极管外延芯 </w:t>
            </w:r>
            <w:r>
              <w:rPr>
                <w:rFonts w:ascii="宋体" w:hAnsi="宋体" w:cs="宋体" w:eastAsia="宋体" w:hint="default"/>
                <w:sz w:val="18"/>
                <w:szCs w:val="18"/>
              </w:rPr>
              <w:t>片的开发、生产和销售</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Times New Roman" w:hAnsi="Times New Roman" w:cs="Times New Roman" w:eastAsia="Times New Roman" w:hint="default"/>
          <w:sz w:val="20"/>
          <w:szCs w:val="20"/>
        </w:rPr>
      </w:pPr>
    </w:p>
    <w:p>
      <w:pPr>
        <w:spacing w:before="190"/>
        <w:ind w:left="138" w:right="2906" w:firstLine="0"/>
        <w:jc w:val="left"/>
        <w:rPr>
          <w:rFonts w:ascii="宋体" w:hAnsi="宋体" w:cs="宋体" w:eastAsia="宋体" w:hint="default"/>
          <w:sz w:val="28"/>
          <w:szCs w:val="28"/>
        </w:rPr>
      </w:pPr>
      <w:r>
        <w:rPr>
          <w:rFonts w:ascii="宋体" w:hAnsi="宋体" w:cs="宋体" w:eastAsia="宋体" w:hint="default"/>
          <w:b/>
          <w:bCs/>
          <w:sz w:val="28"/>
          <w:szCs w:val="28"/>
        </w:rPr>
        <w:t>(五)公司在技术创新和科研成果孵化方面的情况</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610" w:footer="764" w:top="1080" w:bottom="960" w:left="128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313" w:lineRule="exact" w:before="26"/>
        <w:ind w:right="0"/>
        <w:jc w:val="both"/>
      </w:pPr>
      <w:r>
        <w:rPr/>
        <w:t>2008</w:t>
      </w:r>
      <w:r>
        <w:rPr>
          <w:spacing w:val="-40"/>
        </w:rPr>
        <w:t> </w:t>
      </w:r>
      <w:r>
        <w:rPr/>
        <w:t>年，公司根据产业布局和长期发展规划，围绕核心业务领域继续开展了卓有成效的</w:t>
      </w:r>
    </w:p>
    <w:p>
      <w:pPr>
        <w:pStyle w:val="BodyText"/>
        <w:spacing w:line="312" w:lineRule="exact"/>
        <w:ind w:right="0"/>
        <w:jc w:val="both"/>
      </w:pPr>
      <w:r>
        <w:rPr/>
        <w:t>技术研发工作。报告期内，公司共有 100</w:t>
      </w:r>
      <w:r>
        <w:rPr>
          <w:spacing w:val="-77"/>
        </w:rPr>
        <w:t> </w:t>
      </w:r>
      <w:r>
        <w:rPr/>
        <w:t>多项大型研发项目在进行中，其中列入国家级</w:t>
      </w:r>
    </w:p>
    <w:p>
      <w:pPr>
        <w:pStyle w:val="BodyText"/>
        <w:spacing w:line="313" w:lineRule="exact"/>
        <w:ind w:right="0"/>
        <w:jc w:val="both"/>
      </w:pPr>
      <w:r>
        <w:rPr/>
        <w:t>和省部级的科技计划项目达</w:t>
      </w:r>
      <w:r>
        <w:rPr>
          <w:spacing w:val="-60"/>
        </w:rPr>
        <w:t> </w:t>
      </w:r>
      <w:r>
        <w:rPr/>
        <w:t>71</w:t>
      </w:r>
      <w:r>
        <w:rPr>
          <w:spacing w:val="-60"/>
        </w:rPr>
        <w:t> </w:t>
      </w:r>
      <w:r>
        <w:rPr/>
        <w:t>项。</w:t>
      </w:r>
    </w:p>
    <w:p>
      <w:pPr>
        <w:spacing w:line="240" w:lineRule="auto" w:before="0"/>
        <w:rPr>
          <w:rFonts w:ascii="宋体" w:hAnsi="宋体" w:cs="宋体" w:eastAsia="宋体" w:hint="default"/>
          <w:sz w:val="26"/>
          <w:szCs w:val="26"/>
        </w:rPr>
      </w:pPr>
    </w:p>
    <w:p>
      <w:pPr>
        <w:pStyle w:val="BodyText"/>
        <w:spacing w:line="312" w:lineRule="exact"/>
        <w:ind w:right="140"/>
        <w:jc w:val="both"/>
      </w:pPr>
      <w:r>
        <w:rPr/>
        <w:t>在技术创新和科研成果孵化方面，基于极低功耗 Soc</w:t>
      </w:r>
      <w:r>
        <w:rPr>
          <w:spacing w:val="-70"/>
        </w:rPr>
        <w:t> </w:t>
      </w:r>
      <w:r>
        <w:rPr/>
        <w:t>芯片的消化道无线检测产品开发项</w:t>
      </w:r>
      <w:r>
        <w:rPr>
          <w:spacing w:val="-1"/>
        </w:rPr>
        <w:t> </w:t>
      </w:r>
      <w:r>
        <w:rPr/>
        <w:t>目列入国家</w:t>
      </w:r>
      <w:r>
        <w:rPr>
          <w:spacing w:val="-54"/>
        </w:rPr>
        <w:t> </w:t>
      </w:r>
      <w:r>
        <w:rPr/>
        <w:t>863</w:t>
      </w:r>
      <w:r>
        <w:rPr>
          <w:spacing w:val="-54"/>
        </w:rPr>
        <w:t> </w:t>
      </w:r>
      <w:r>
        <w:rPr>
          <w:spacing w:val="-3"/>
        </w:rPr>
        <w:t>计划；建筑节能关键技术研究与示范-大型公共建筑能量管理与节能诊断</w:t>
      </w:r>
      <w:r>
        <w:rPr>
          <w:spacing w:val="-114"/>
        </w:rPr>
        <w:t> </w:t>
      </w:r>
      <w:r>
        <w:rPr>
          <w:spacing w:val="-114"/>
        </w:rPr>
      </w:r>
      <w:r>
        <w:rPr/>
        <w:t>技术研究项目列入国家科技支撑计划；基于自主可信密码模块的可信支付终端产业化项</w:t>
      </w:r>
      <w:r>
        <w:rPr>
          <w:spacing w:val="-47"/>
        </w:rPr>
        <w:t> </w:t>
      </w:r>
      <w:r>
        <w:rPr>
          <w:spacing w:val="-47"/>
        </w:rPr>
      </w:r>
      <w:r>
        <w:rPr>
          <w:spacing w:val="-3"/>
        </w:rPr>
        <w:t>目列入国家发改委信息安全专项项目计划；适用于</w:t>
      </w:r>
      <w:r>
        <w:rPr>
          <w:spacing w:val="-63"/>
        </w:rPr>
        <w:t> </w:t>
      </w:r>
      <w:r>
        <w:rPr/>
        <w:t>PC</w:t>
      </w:r>
      <w:r>
        <w:rPr>
          <w:spacing w:val="-63"/>
        </w:rPr>
        <w:t> </w:t>
      </w:r>
      <w:r>
        <w:rPr/>
        <w:t>和移动终端应用的</w:t>
      </w:r>
      <w:r>
        <w:rPr>
          <w:spacing w:val="-63"/>
        </w:rPr>
        <w:t> </w:t>
      </w:r>
      <w:r>
        <w:rPr/>
        <w:t>TCM/TPM</w:t>
      </w:r>
      <w:r>
        <w:rPr>
          <w:spacing w:val="-63"/>
        </w:rPr>
        <w:t> </w:t>
      </w:r>
      <w:r>
        <w:rPr/>
        <w:t>可信计</w:t>
      </w:r>
      <w:r>
        <w:rPr>
          <w:spacing w:val="-1"/>
        </w:rPr>
        <w:t> </w:t>
      </w:r>
      <w:r>
        <w:rPr/>
        <w:t>算</w:t>
      </w:r>
      <w:r>
        <w:rPr>
          <w:spacing w:val="-66"/>
        </w:rPr>
        <w:t> </w:t>
      </w:r>
      <w:r>
        <w:rPr/>
        <w:t>SOC</w:t>
      </w:r>
      <w:r>
        <w:rPr>
          <w:spacing w:val="-66"/>
        </w:rPr>
        <w:t> </w:t>
      </w:r>
      <w:r>
        <w:rPr>
          <w:spacing w:val="-9"/>
        </w:rPr>
        <w:t>芯片、基于</w:t>
      </w:r>
      <w:r>
        <w:rPr>
          <w:spacing w:val="-66"/>
        </w:rPr>
        <w:t> </w:t>
      </w:r>
      <w:r>
        <w:rPr/>
        <w:t>eFlash</w:t>
      </w:r>
      <w:r>
        <w:rPr>
          <w:spacing w:val="-66"/>
        </w:rPr>
        <w:t> </w:t>
      </w:r>
      <w:r>
        <w:rPr/>
        <w:t>的移动通信用接触式</w:t>
      </w:r>
      <w:r>
        <w:rPr>
          <w:spacing w:val="-66"/>
        </w:rPr>
        <w:t> </w:t>
      </w:r>
      <w:r>
        <w:rPr/>
        <w:t>CPU</w:t>
      </w:r>
      <w:r>
        <w:rPr>
          <w:spacing w:val="-66"/>
        </w:rPr>
        <w:t> </w:t>
      </w:r>
      <w:r>
        <w:rPr/>
        <w:t>卡芯片系列产业化两个项目列入国家</w:t>
      </w:r>
      <w:r>
        <w:rPr>
          <w:spacing w:val="-1"/>
        </w:rPr>
        <w:t> </w:t>
      </w:r>
      <w:r>
        <w:rPr/>
        <w:t>发改委、工业与信息化部集成电路产业研究与开发专项；同方安全</w:t>
      </w:r>
      <w:r>
        <w:rPr>
          <w:spacing w:val="-79"/>
        </w:rPr>
        <w:t> </w:t>
      </w:r>
      <w:r>
        <w:rPr/>
        <w:t>PC</w:t>
      </w:r>
      <w:r>
        <w:rPr>
          <w:spacing w:val="-79"/>
        </w:rPr>
        <w:t> </w:t>
      </w:r>
      <w:r>
        <w:rPr/>
        <w:t>研发及推广项目列</w:t>
      </w:r>
      <w:r>
        <w:rPr/>
        <w:t> 入工业与信息化部电子发展基金；组合移动式双能检查系统、组合移动式双能双视角检</w:t>
      </w:r>
      <w:r>
        <w:rPr>
          <w:spacing w:val="-47"/>
        </w:rPr>
        <w:t> </w:t>
      </w:r>
      <w:r>
        <w:rPr>
          <w:spacing w:val="-47"/>
        </w:rPr>
      </w:r>
      <w:r>
        <w:rPr>
          <w:spacing w:val="-1"/>
        </w:rPr>
        <w:t>查系统两个项目列入国家商务部出口研发项目；高亮度发光二极管(LED)外延片、芯片产</w:t>
      </w:r>
      <w:r>
        <w:rPr/>
        <w:t> 业化项目列入北京市工业促进局工业基金项目；敏捷外包服务一体化平台项目列入北京</w:t>
      </w:r>
      <w:r>
        <w:rPr>
          <w:spacing w:val="-47"/>
        </w:rPr>
        <w:t> </w:t>
      </w:r>
      <w:r>
        <w:rPr>
          <w:spacing w:val="-47"/>
        </w:rPr>
      </w:r>
      <w:r>
        <w:rPr/>
        <w:t>市科委高成长企业自主创新科技专项；铁路集装箱检查系统项目列入国家重点新产品项</w:t>
      </w:r>
      <w:r>
        <w:rPr>
          <w:spacing w:val="-47"/>
        </w:rPr>
        <w:t> </w:t>
      </w:r>
      <w:r>
        <w:rPr>
          <w:spacing w:val="-47"/>
        </w:rPr>
      </w:r>
      <w:r>
        <w:rPr>
          <w:spacing w:val="-6"/>
        </w:rPr>
        <w:t>目；铁路集装货物检查系统、FS6000</w:t>
      </w:r>
      <w:r>
        <w:rPr>
          <w:spacing w:val="-49"/>
        </w:rPr>
        <w:t> </w:t>
      </w:r>
      <w:r>
        <w:rPr/>
        <w:t>快速集装箱/车辆检查系统两个项目列入北京市商务</w:t>
      </w:r>
      <w:r>
        <w:rPr>
          <w:spacing w:val="-118"/>
        </w:rPr>
        <w:t> </w:t>
      </w:r>
      <w:r>
        <w:rPr>
          <w:spacing w:val="-118"/>
        </w:rPr>
      </w:r>
      <w:r>
        <w:rPr/>
        <w:t>局出口研发项目；液体安全检查系统获得</w:t>
      </w:r>
      <w:r>
        <w:rPr>
          <w:spacing w:val="-80"/>
        </w:rPr>
        <w:t> </w:t>
      </w:r>
      <w:r>
        <w:rPr/>
        <w:t>2008</w:t>
      </w:r>
      <w:r>
        <w:rPr>
          <w:spacing w:val="-80"/>
        </w:rPr>
        <w:t> </w:t>
      </w:r>
      <w:r>
        <w:rPr/>
        <w:t>信息产业重大技术发明奖；车载移动式集</w:t>
      </w:r>
    </w:p>
    <w:p>
      <w:pPr>
        <w:pStyle w:val="BodyText"/>
        <w:spacing w:line="283" w:lineRule="exact"/>
        <w:ind w:right="0"/>
        <w:jc w:val="both"/>
      </w:pPr>
      <w:r>
        <w:rPr/>
        <w:t>装箱检查系统获得</w:t>
      </w:r>
      <w:r>
        <w:rPr>
          <w:spacing w:val="-60"/>
        </w:rPr>
        <w:t> </w:t>
      </w:r>
      <w:r>
        <w:rPr/>
        <w:t>2008</w:t>
      </w:r>
      <w:r>
        <w:rPr>
          <w:spacing w:val="-60"/>
        </w:rPr>
        <w:t> </w:t>
      </w:r>
      <w:r>
        <w:rPr/>
        <w:t>年北京市专利发明奖。</w:t>
      </w:r>
    </w:p>
    <w:p>
      <w:pPr>
        <w:spacing w:line="240" w:lineRule="auto" w:before="9"/>
        <w:rPr>
          <w:rFonts w:ascii="宋体" w:hAnsi="宋体" w:cs="宋体" w:eastAsia="宋体" w:hint="default"/>
          <w:sz w:val="23"/>
          <w:szCs w:val="23"/>
        </w:rPr>
      </w:pPr>
    </w:p>
    <w:p>
      <w:pPr>
        <w:pStyle w:val="BodyText"/>
        <w:spacing w:line="312" w:lineRule="exact"/>
        <w:ind w:right="0"/>
        <w:jc w:val="both"/>
      </w:pPr>
      <w:r>
        <w:rPr>
          <w:spacing w:val="-7"/>
        </w:rPr>
        <w:t>在知识产权方面，2008</w:t>
      </w:r>
      <w:r>
        <w:rPr>
          <w:spacing w:val="-58"/>
        </w:rPr>
        <w:t> </w:t>
      </w:r>
      <w:r>
        <w:rPr/>
        <w:t>年度公司新申请中国专利和计算机软件登记</w:t>
      </w:r>
      <w:r>
        <w:rPr>
          <w:spacing w:val="-58"/>
        </w:rPr>
        <w:t> </w:t>
      </w:r>
      <w:r>
        <w:rPr/>
        <w:t>228</w:t>
      </w:r>
      <w:r>
        <w:rPr>
          <w:spacing w:val="-58"/>
        </w:rPr>
        <w:t> </w:t>
      </w:r>
      <w:r>
        <w:rPr>
          <w:spacing w:val="-14"/>
        </w:rPr>
        <w:t>项，其中发明</w:t>
      </w:r>
      <w:r>
        <w:rPr>
          <w:spacing w:val="-58"/>
        </w:rPr>
        <w:t> </w:t>
      </w:r>
      <w:r>
        <w:rPr/>
        <w:t>132</w:t>
      </w:r>
    </w:p>
    <w:p>
      <w:pPr>
        <w:pStyle w:val="BodyText"/>
        <w:spacing w:line="311" w:lineRule="exact"/>
        <w:ind w:right="0"/>
        <w:jc w:val="both"/>
      </w:pPr>
      <w:r>
        <w:rPr/>
        <w:t>项、实用新型</w:t>
      </w:r>
      <w:r>
        <w:rPr>
          <w:spacing w:val="-64"/>
        </w:rPr>
        <w:t> </w:t>
      </w:r>
      <w:r>
        <w:rPr/>
        <w:t>75</w:t>
      </w:r>
      <w:r>
        <w:rPr>
          <w:spacing w:val="-64"/>
        </w:rPr>
        <w:t> </w:t>
      </w:r>
      <w:r>
        <w:rPr/>
        <w:t>项、外观设计</w:t>
      </w:r>
      <w:r>
        <w:rPr>
          <w:spacing w:val="-64"/>
        </w:rPr>
        <w:t> </w:t>
      </w:r>
      <w:r>
        <w:rPr/>
        <w:t>15</w:t>
      </w:r>
      <w:r>
        <w:rPr>
          <w:spacing w:val="-64"/>
        </w:rPr>
        <w:t> </w:t>
      </w:r>
      <w:r>
        <w:rPr/>
        <w:t>项、计算机软件登记</w:t>
      </w:r>
      <w:r>
        <w:rPr>
          <w:spacing w:val="-64"/>
        </w:rPr>
        <w:t> </w:t>
      </w:r>
      <w:r>
        <w:rPr/>
        <w:t>6</w:t>
      </w:r>
      <w:r>
        <w:rPr>
          <w:spacing w:val="-64"/>
        </w:rPr>
        <w:t> </w:t>
      </w:r>
      <w:r>
        <w:rPr>
          <w:spacing w:val="-3"/>
        </w:rPr>
        <w:t>项。截止</w:t>
      </w:r>
      <w:r>
        <w:rPr>
          <w:spacing w:val="-64"/>
        </w:rPr>
        <w:t> </w:t>
      </w:r>
      <w:r>
        <w:rPr/>
        <w:t>2008</w:t>
      </w:r>
      <w:r>
        <w:rPr>
          <w:spacing w:val="-64"/>
        </w:rPr>
        <w:t> </w:t>
      </w:r>
      <w:r>
        <w:rPr/>
        <w:t>年底，公司共申</w:t>
      </w:r>
    </w:p>
    <w:p>
      <w:pPr>
        <w:pStyle w:val="BodyText"/>
        <w:spacing w:line="311" w:lineRule="exact"/>
        <w:ind w:right="0"/>
        <w:jc w:val="both"/>
      </w:pPr>
      <w:r>
        <w:rPr/>
        <w:t>请中国专利</w:t>
      </w:r>
      <w:r>
        <w:rPr>
          <w:spacing w:val="-64"/>
        </w:rPr>
        <w:t> </w:t>
      </w:r>
      <w:r>
        <w:rPr/>
        <w:t>1171</w:t>
      </w:r>
      <w:r>
        <w:rPr>
          <w:spacing w:val="-64"/>
        </w:rPr>
        <w:t> </w:t>
      </w:r>
      <w:r>
        <w:rPr/>
        <w:t>项，获得中国专利权</w:t>
      </w:r>
      <w:r>
        <w:rPr>
          <w:spacing w:val="-64"/>
        </w:rPr>
        <w:t> </w:t>
      </w:r>
      <w:r>
        <w:rPr/>
        <w:t>645</w:t>
      </w:r>
      <w:r>
        <w:rPr>
          <w:spacing w:val="-64"/>
        </w:rPr>
        <w:t> </w:t>
      </w:r>
      <w:r>
        <w:rPr/>
        <w:t>项，其中发明</w:t>
      </w:r>
      <w:r>
        <w:rPr>
          <w:spacing w:val="-64"/>
        </w:rPr>
        <w:t> </w:t>
      </w:r>
      <w:r>
        <w:rPr/>
        <w:t>180</w:t>
      </w:r>
      <w:r>
        <w:rPr>
          <w:spacing w:val="-64"/>
        </w:rPr>
        <w:t> </w:t>
      </w:r>
      <w:r>
        <w:rPr/>
        <w:t>项，实用新型</w:t>
      </w:r>
      <w:r>
        <w:rPr>
          <w:spacing w:val="-64"/>
        </w:rPr>
        <w:t> </w:t>
      </w:r>
      <w:r>
        <w:rPr/>
        <w:t>421</w:t>
      </w:r>
      <w:r>
        <w:rPr>
          <w:spacing w:val="-64"/>
        </w:rPr>
        <w:t> </w:t>
      </w:r>
      <w:r>
        <w:rPr>
          <w:spacing w:val="-3"/>
        </w:rPr>
        <w:t>项，外观</w:t>
      </w:r>
    </w:p>
    <w:p>
      <w:pPr>
        <w:pStyle w:val="BodyText"/>
        <w:spacing w:line="311" w:lineRule="exact"/>
        <w:ind w:right="0"/>
        <w:jc w:val="both"/>
      </w:pPr>
      <w:r>
        <w:rPr/>
        <w:t>设计</w:t>
      </w:r>
      <w:r>
        <w:rPr>
          <w:spacing w:val="-65"/>
        </w:rPr>
        <w:t> </w:t>
      </w:r>
      <w:r>
        <w:rPr/>
        <w:t>44</w:t>
      </w:r>
      <w:r>
        <w:rPr>
          <w:spacing w:val="-65"/>
        </w:rPr>
        <w:t> </w:t>
      </w:r>
      <w:r>
        <w:rPr/>
        <w:t>项；申请并获得计算机软件登记著作权</w:t>
      </w:r>
      <w:r>
        <w:rPr>
          <w:spacing w:val="-65"/>
        </w:rPr>
        <w:t> </w:t>
      </w:r>
      <w:r>
        <w:rPr/>
        <w:t>156</w:t>
      </w:r>
      <w:r>
        <w:rPr>
          <w:spacing w:val="-65"/>
        </w:rPr>
        <w:t> </w:t>
      </w:r>
      <w:r>
        <w:rPr/>
        <w:t>项。共申请涉外专利</w:t>
      </w:r>
      <w:r>
        <w:rPr>
          <w:spacing w:val="-65"/>
        </w:rPr>
        <w:t> </w:t>
      </w:r>
      <w:r>
        <w:rPr/>
        <w:t>353</w:t>
      </w:r>
      <w:r>
        <w:rPr>
          <w:spacing w:val="-65"/>
        </w:rPr>
        <w:t> </w:t>
      </w:r>
      <w:r>
        <w:rPr>
          <w:spacing w:val="-3"/>
        </w:rPr>
        <w:t>项，已获得</w:t>
      </w:r>
    </w:p>
    <w:p>
      <w:pPr>
        <w:pStyle w:val="BodyText"/>
        <w:spacing w:line="312" w:lineRule="exact"/>
        <w:ind w:right="0"/>
        <w:jc w:val="both"/>
      </w:pPr>
      <w:r>
        <w:rPr/>
        <w:t>外国发明专利权</w:t>
      </w:r>
      <w:r>
        <w:rPr>
          <w:spacing w:val="-60"/>
        </w:rPr>
        <w:t> </w:t>
      </w:r>
      <w:r>
        <w:rPr/>
        <w:t>76</w:t>
      </w:r>
      <w:r>
        <w:rPr>
          <w:spacing w:val="-60"/>
        </w:rPr>
        <w:t> </w:t>
      </w:r>
      <w:r>
        <w:rPr/>
        <w:t>项。</w:t>
      </w:r>
    </w:p>
    <w:p>
      <w:pPr>
        <w:spacing w:line="240" w:lineRule="auto" w:before="1"/>
        <w:rPr>
          <w:rFonts w:ascii="宋体" w:hAnsi="宋体" w:cs="宋体" w:eastAsia="宋体" w:hint="default"/>
          <w:sz w:val="26"/>
          <w:szCs w:val="26"/>
        </w:rPr>
      </w:pPr>
    </w:p>
    <w:p>
      <w:pPr>
        <w:pStyle w:val="BodyText"/>
        <w:spacing w:line="310" w:lineRule="exact"/>
        <w:ind w:right="143"/>
        <w:jc w:val="both"/>
      </w:pPr>
      <w:r>
        <w:rPr/>
        <w:t>2008</w:t>
      </w:r>
      <w:r>
        <w:rPr>
          <w:spacing w:val="-51"/>
        </w:rPr>
        <w:t> </w:t>
      </w:r>
      <w:r>
        <w:rPr>
          <w:spacing w:val="-3"/>
        </w:rPr>
        <w:t>年度，依据国家科技部等部委的文件,公司及下属的各公司通过了北京市科委和各地</w:t>
      </w:r>
      <w:r>
        <w:rPr/>
        <w:t> 方省级科委组织的高新技术企业的认定。</w:t>
      </w:r>
    </w:p>
    <w:p>
      <w:pPr>
        <w:spacing w:line="240" w:lineRule="auto" w:before="12"/>
        <w:rPr>
          <w:rFonts w:ascii="宋体" w:hAnsi="宋体" w:cs="宋体" w:eastAsia="宋体" w:hint="default"/>
          <w:sz w:val="20"/>
          <w:szCs w:val="20"/>
        </w:rPr>
      </w:pPr>
    </w:p>
    <w:p>
      <w:pPr>
        <w:pStyle w:val="Heading2"/>
        <w:spacing w:line="240" w:lineRule="auto"/>
        <w:ind w:left="138" w:right="0"/>
        <w:jc w:val="both"/>
        <w:rPr>
          <w:b w:val="0"/>
          <w:bCs w:val="0"/>
        </w:rPr>
      </w:pPr>
      <w:r>
        <w:rPr/>
        <w:t>(六)公司</w:t>
      </w:r>
      <w:r>
        <w:rPr>
          <w:spacing w:val="-75"/>
        </w:rPr>
        <w:t> </w:t>
      </w:r>
      <w:r>
        <w:rPr/>
        <w:t>2009</w:t>
      </w:r>
      <w:r>
        <w:rPr>
          <w:spacing w:val="-73"/>
        </w:rPr>
        <w:t> </w:t>
      </w:r>
      <w:r>
        <w:rPr/>
        <w:t>年业务展望</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left="138" w:right="0"/>
        <w:jc w:val="both"/>
        <w:rPr>
          <w:b w:val="0"/>
          <w:bCs w:val="0"/>
        </w:rPr>
      </w:pPr>
      <w:r>
        <w:rPr/>
        <w:t>1、2009</w:t>
      </w:r>
      <w:r>
        <w:rPr>
          <w:spacing w:val="-61"/>
        </w:rPr>
        <w:t> </w:t>
      </w:r>
      <w:r>
        <w:rPr/>
        <w:t>年经营规划</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right="142"/>
        <w:jc w:val="both"/>
      </w:pPr>
      <w:r>
        <w:rPr/>
        <w:t>公司在</w:t>
      </w:r>
      <w:r>
        <w:rPr>
          <w:spacing w:val="-57"/>
        </w:rPr>
        <w:t> </w:t>
      </w:r>
      <w:r>
        <w:rPr/>
        <w:t>2009</w:t>
      </w:r>
      <w:r>
        <w:rPr>
          <w:spacing w:val="-57"/>
        </w:rPr>
        <w:t> </w:t>
      </w:r>
      <w:r>
        <w:rPr>
          <w:spacing w:val="-5"/>
        </w:rPr>
        <w:t>年总体经营目标确定为：在</w:t>
      </w:r>
      <w:r>
        <w:rPr>
          <w:spacing w:val="-57"/>
        </w:rPr>
        <w:t> </w:t>
      </w:r>
      <w:r>
        <w:rPr/>
        <w:t>2008</w:t>
      </w:r>
      <w:r>
        <w:rPr>
          <w:spacing w:val="-57"/>
        </w:rPr>
        <w:t> </w:t>
      </w:r>
      <w:r>
        <w:rPr>
          <w:spacing w:val="-4"/>
        </w:rPr>
        <w:t>年销售收入基础上，保持销售收入</w:t>
      </w:r>
      <w:r>
        <w:rPr>
          <w:spacing w:val="-57"/>
        </w:rPr>
        <w:t> </w:t>
      </w:r>
      <w:r>
        <w:rPr/>
        <w:t>10～20%</w:t>
      </w:r>
      <w:r>
        <w:rPr/>
        <w:t> 的增长速度。</w:t>
      </w:r>
    </w:p>
    <w:p>
      <w:pPr>
        <w:spacing w:line="240" w:lineRule="auto" w:before="6"/>
        <w:rPr>
          <w:rFonts w:ascii="宋体" w:hAnsi="宋体" w:cs="宋体" w:eastAsia="宋体" w:hint="default"/>
          <w:sz w:val="21"/>
          <w:szCs w:val="21"/>
        </w:rPr>
      </w:pPr>
    </w:p>
    <w:p>
      <w:pPr>
        <w:pStyle w:val="Heading3"/>
        <w:spacing w:line="240" w:lineRule="auto"/>
        <w:ind w:left="138" w:right="0"/>
        <w:jc w:val="both"/>
        <w:rPr>
          <w:b w:val="0"/>
          <w:bCs w:val="0"/>
        </w:rPr>
      </w:pPr>
      <w:r>
        <w:rPr/>
        <w:t>2、实施的策略</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right="0"/>
        <w:jc w:val="both"/>
      </w:pPr>
      <w:r>
        <w:rPr/>
        <w:t>2009</w:t>
      </w:r>
      <w:r>
        <w:rPr>
          <w:spacing w:val="-60"/>
        </w:rPr>
        <w:t> </w:t>
      </w:r>
      <w:r>
        <w:rPr/>
        <w:t>年，将是公司克服困难、把握机会的一年。</w:t>
      </w:r>
    </w:p>
    <w:p>
      <w:pPr>
        <w:spacing w:line="240" w:lineRule="auto" w:before="11"/>
        <w:rPr>
          <w:rFonts w:ascii="宋体" w:hAnsi="宋体" w:cs="宋体" w:eastAsia="宋体" w:hint="default"/>
          <w:sz w:val="23"/>
          <w:szCs w:val="23"/>
        </w:rPr>
      </w:pPr>
    </w:p>
    <w:p>
      <w:pPr>
        <w:pStyle w:val="BodyText"/>
        <w:spacing w:line="237" w:lineRule="auto"/>
        <w:ind w:right="140"/>
        <w:jc w:val="both"/>
      </w:pPr>
      <w:r>
        <w:rPr/>
        <w:t>受到国际整体经济环境的影响，2009</w:t>
      </w:r>
      <w:r>
        <w:rPr>
          <w:spacing w:val="-40"/>
        </w:rPr>
        <w:t> </w:t>
      </w:r>
      <w:r>
        <w:rPr/>
        <w:t>年我国经济充满了不确定性，对于公司而言，一方</w:t>
      </w:r>
      <w:r>
        <w:rPr/>
        <w:t> 面消费者需求下降、国际市场开拓难度加大、人民币汇率上升使得产品出口成本加大等</w:t>
      </w:r>
      <w:r>
        <w:rPr>
          <w:spacing w:val="-47"/>
        </w:rPr>
        <w:t> </w:t>
      </w:r>
      <w:r>
        <w:rPr>
          <w:spacing w:val="-47"/>
        </w:rPr>
      </w:r>
      <w:r>
        <w:rPr/>
        <w:t>诸多困难对公司业务开展和持续增长提出了严峻的挑战；另一方面，我国政府为刺激经</w:t>
      </w:r>
      <w:r>
        <w:rPr>
          <w:spacing w:val="-47"/>
        </w:rPr>
        <w:t> </w:t>
      </w:r>
      <w:r>
        <w:rPr>
          <w:spacing w:val="-47"/>
        </w:rPr>
      </w:r>
      <w:r>
        <w:rPr/>
        <w:t>济发展加大投资、各级政府大力推动循环经济发展等为公司相关产业的发展也提供了巨</w:t>
      </w:r>
    </w:p>
    <w:p>
      <w:pPr>
        <w:spacing w:after="0" w:line="237" w:lineRule="auto"/>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20"/>
        <w:jc w:val="both"/>
      </w:pPr>
      <w:r>
        <w:rPr/>
        <w:t>大的市场机遇。为此，公司将紧紧把握机遇，将产业发展的节奏与我国经济发展节奏相</w:t>
      </w:r>
      <w:r>
        <w:rPr>
          <w:spacing w:val="-47"/>
        </w:rPr>
        <w:t> </w:t>
      </w:r>
      <w:r>
        <w:rPr>
          <w:spacing w:val="-47"/>
        </w:rPr>
      </w:r>
      <w:r>
        <w:rPr/>
        <w:t>契合，大力发展政府支持和引导的产业，通过加强品牌推广、实施内部资源整合以及持</w:t>
      </w:r>
      <w:r>
        <w:rPr>
          <w:spacing w:val="-47"/>
        </w:rPr>
        <w:t> </w:t>
      </w:r>
      <w:r>
        <w:rPr>
          <w:spacing w:val="-47"/>
        </w:rPr>
      </w:r>
      <w:r>
        <w:rPr/>
        <w:t>续提升自主创新能力，实现企业的可持续发展。</w:t>
      </w:r>
    </w:p>
    <w:p>
      <w:pPr>
        <w:spacing w:line="240" w:lineRule="auto" w:before="6"/>
        <w:rPr>
          <w:rFonts w:ascii="宋体" w:hAnsi="宋体" w:cs="宋体" w:eastAsia="宋体" w:hint="default"/>
          <w:sz w:val="21"/>
          <w:szCs w:val="21"/>
        </w:rPr>
      </w:pPr>
    </w:p>
    <w:p>
      <w:pPr>
        <w:pStyle w:val="BodyText"/>
        <w:spacing w:line="240" w:lineRule="auto"/>
        <w:ind w:right="0"/>
        <w:jc w:val="both"/>
      </w:pPr>
      <w:r>
        <w:rPr/>
        <w:t>2009</w:t>
      </w:r>
      <w:r>
        <w:rPr>
          <w:spacing w:val="-60"/>
        </w:rPr>
        <w:t> </w:t>
      </w:r>
      <w:r>
        <w:rPr/>
        <w:t>年，公司将从整体上侧重以下几个方面的工作：</w:t>
      </w:r>
    </w:p>
    <w:p>
      <w:pPr>
        <w:spacing w:line="240" w:lineRule="auto" w:before="11"/>
        <w:rPr>
          <w:rFonts w:ascii="宋体" w:hAnsi="宋体" w:cs="宋体" w:eastAsia="宋体" w:hint="default"/>
          <w:sz w:val="23"/>
          <w:szCs w:val="23"/>
        </w:rPr>
      </w:pPr>
    </w:p>
    <w:p>
      <w:pPr>
        <w:pStyle w:val="BodyText"/>
        <w:spacing w:line="237" w:lineRule="auto"/>
        <w:ind w:right="86"/>
        <w:jc w:val="left"/>
      </w:pPr>
      <w:r>
        <w:rPr/>
        <w:t>一是加强品牌的强势传播。2009</w:t>
      </w:r>
      <w:r>
        <w:rPr>
          <w:spacing w:val="-40"/>
        </w:rPr>
        <w:t> </w:t>
      </w:r>
      <w:r>
        <w:rPr/>
        <w:t>年，面对不确定的市场环境，公司将进一步坚持“社会</w:t>
      </w:r>
      <w:r>
        <w:rPr/>
        <w:t> </w:t>
      </w:r>
      <w:r>
        <w:rPr>
          <w:spacing w:val="-2"/>
        </w:rPr>
        <w:t>责任、自主创新、诚信”的原则，加大品牌传播宣传力度，并针对不同产业的发展阶段，</w:t>
      </w:r>
      <w:r>
        <w:rPr>
          <w:spacing w:val="-85"/>
        </w:rPr>
        <w:t> </w:t>
      </w:r>
      <w:r>
        <w:rPr>
          <w:spacing w:val="-85"/>
        </w:rPr>
      </w:r>
      <w:r>
        <w:rPr/>
        <w:t>实施不同的品牌宣传策略，同时通过产业融合、自主创新、并购整合等方式，在不同方</w:t>
      </w:r>
      <w:r>
        <w:rPr>
          <w:spacing w:val="-47"/>
        </w:rPr>
        <w:t> </w:t>
      </w:r>
      <w:r>
        <w:rPr>
          <w:spacing w:val="-47"/>
        </w:rPr>
      </w:r>
      <w:r>
        <w:rPr/>
        <w:t>面进一步提升品牌价值。</w:t>
      </w:r>
    </w:p>
    <w:p>
      <w:pPr>
        <w:spacing w:line="240" w:lineRule="auto" w:before="11"/>
        <w:rPr>
          <w:rFonts w:ascii="宋体" w:hAnsi="宋体" w:cs="宋体" w:eastAsia="宋体" w:hint="default"/>
          <w:sz w:val="23"/>
          <w:szCs w:val="23"/>
        </w:rPr>
      </w:pPr>
    </w:p>
    <w:p>
      <w:pPr>
        <w:pStyle w:val="BodyText"/>
        <w:spacing w:line="237" w:lineRule="auto"/>
        <w:ind w:right="220"/>
        <w:jc w:val="both"/>
      </w:pPr>
      <w:r>
        <w:rPr/>
        <w:t>二是集中资源，发展优势产业。2009</w:t>
      </w:r>
      <w:r>
        <w:rPr>
          <w:spacing w:val="-40"/>
        </w:rPr>
        <w:t> </w:t>
      </w:r>
      <w:r>
        <w:rPr/>
        <w:t>年，公司将进一步加大资源整合力度，完善资源配</w:t>
      </w:r>
      <w:r>
        <w:rPr/>
        <w:t> 置，把握市场机遇，集中力量发展优势产业，并将通过优化产业结构，加强内部合作的</w:t>
      </w:r>
      <w:r>
        <w:rPr>
          <w:spacing w:val="-47"/>
        </w:rPr>
        <w:t> </w:t>
      </w:r>
      <w:r>
        <w:rPr>
          <w:spacing w:val="-47"/>
        </w:rPr>
      </w:r>
      <w:r>
        <w:rPr/>
        <w:t>方式，进一步强化各相关产业之间在市场、技术、发展趋势方面的关联程度，发挥集团</w:t>
      </w:r>
      <w:r>
        <w:rPr>
          <w:spacing w:val="-47"/>
        </w:rPr>
        <w:t> </w:t>
      </w:r>
      <w:r>
        <w:rPr>
          <w:spacing w:val="-47"/>
        </w:rPr>
      </w:r>
      <w:r>
        <w:rPr/>
        <w:t>整体综合优势，在细分市场和行业领域构筑竞争优势，实现做大最强。</w:t>
      </w:r>
    </w:p>
    <w:p>
      <w:pPr>
        <w:spacing w:line="240" w:lineRule="auto" w:before="1"/>
        <w:rPr>
          <w:rFonts w:ascii="宋体" w:hAnsi="宋体" w:cs="宋体" w:eastAsia="宋体" w:hint="default"/>
          <w:sz w:val="26"/>
          <w:szCs w:val="26"/>
        </w:rPr>
      </w:pPr>
    </w:p>
    <w:p>
      <w:pPr>
        <w:pStyle w:val="BodyText"/>
        <w:spacing w:line="310" w:lineRule="exact"/>
        <w:ind w:right="220"/>
        <w:jc w:val="both"/>
      </w:pPr>
      <w:r>
        <w:rPr/>
        <w:t>三是加强资金、资产管理，提高资产运营效率。2009</w:t>
      </w:r>
      <w:r>
        <w:rPr>
          <w:spacing w:val="-40"/>
        </w:rPr>
        <w:t> </w:t>
      </w:r>
      <w:r>
        <w:rPr/>
        <w:t>年，公司将进一步完善内部考核机</w:t>
      </w:r>
      <w:r>
        <w:rPr/>
        <w:t> 制，并加强对各产业的资金资产管理考核要求，贯彻实施计划预算考核管理体系，通过</w:t>
      </w:r>
      <w:r>
        <w:rPr>
          <w:spacing w:val="-47"/>
        </w:rPr>
        <w:t> </w:t>
      </w:r>
      <w:r>
        <w:rPr>
          <w:spacing w:val="-47"/>
        </w:rPr>
      </w:r>
      <w:r>
        <w:rPr/>
        <w:t>各种形式提高资产质量，增加现金储备，增强对抗风险能力。</w:t>
      </w:r>
    </w:p>
    <w:p>
      <w:pPr>
        <w:spacing w:line="240" w:lineRule="auto" w:before="6"/>
        <w:rPr>
          <w:rFonts w:ascii="宋体" w:hAnsi="宋体" w:cs="宋体" w:eastAsia="宋体" w:hint="default"/>
          <w:sz w:val="21"/>
          <w:szCs w:val="21"/>
        </w:rPr>
      </w:pPr>
    </w:p>
    <w:p>
      <w:pPr>
        <w:pStyle w:val="Heading3"/>
        <w:spacing w:line="240" w:lineRule="auto"/>
        <w:ind w:left="138" w:right="0"/>
        <w:jc w:val="both"/>
        <w:rPr>
          <w:b w:val="0"/>
          <w:bCs w:val="0"/>
        </w:rPr>
      </w:pPr>
      <w:r>
        <w:rPr/>
        <w:t>3、主营业务展望</w:t>
      </w:r>
      <w:r>
        <w:rPr>
          <w:b w:val="0"/>
          <w:bCs w:val="0"/>
        </w:rPr>
      </w:r>
    </w:p>
    <w:p>
      <w:pPr>
        <w:spacing w:line="240" w:lineRule="auto" w:before="8"/>
        <w:rPr>
          <w:rFonts w:ascii="宋体" w:hAnsi="宋体" w:cs="宋体" w:eastAsia="宋体" w:hint="default"/>
          <w:b/>
          <w:bCs/>
          <w:sz w:val="23"/>
          <w:szCs w:val="23"/>
        </w:rPr>
      </w:pPr>
    </w:p>
    <w:p>
      <w:pPr>
        <w:pStyle w:val="BodyText"/>
        <w:spacing w:line="475" w:lineRule="auto"/>
        <w:ind w:right="2326"/>
        <w:jc w:val="left"/>
      </w:pPr>
      <w:r>
        <w:rPr/>
        <w:t>2009</w:t>
      </w:r>
      <w:r>
        <w:rPr>
          <w:spacing w:val="-60"/>
        </w:rPr>
        <w:t> </w:t>
      </w:r>
      <w:r>
        <w:rPr/>
        <w:t>年，公司在四个产业领域的工作重点为：</w:t>
      </w:r>
      <w:r>
        <w:rPr/>
        <w:t> (1)计算机系统：加大笔记本产品投入力度，创造具有核心价值产品</w:t>
      </w:r>
    </w:p>
    <w:p>
      <w:pPr>
        <w:pStyle w:val="BodyText"/>
        <w:spacing w:line="237" w:lineRule="auto" w:before="75"/>
        <w:ind w:right="220"/>
        <w:jc w:val="both"/>
      </w:pPr>
      <w:r>
        <w:rPr/>
        <w:t>2009</w:t>
      </w:r>
      <w:r>
        <w:rPr>
          <w:spacing w:val="-40"/>
        </w:rPr>
        <w:t> </w:t>
      </w:r>
      <w:r>
        <w:rPr/>
        <w:t>年，面对日益严峻的市场环境和不断变化的市场需求，公司在计算机产业方面将进</w:t>
      </w:r>
      <w:r>
        <w:rPr/>
        <w:t> 一步加大对笔记本产品的投入，加强产品个性化创新，打造更能符合消费者需求、引导</w:t>
      </w:r>
      <w:r>
        <w:rPr>
          <w:spacing w:val="-47"/>
        </w:rPr>
        <w:t> </w:t>
      </w:r>
      <w:r>
        <w:rPr>
          <w:spacing w:val="-47"/>
        </w:rPr>
      </w:r>
      <w:r>
        <w:rPr/>
        <w:t>潮流的新产品。另一方面，公司还将加大对计算机产品中高端应用的技术开发和市场应</w:t>
      </w:r>
      <w:r>
        <w:rPr>
          <w:spacing w:val="-47"/>
        </w:rPr>
        <w:t> </w:t>
      </w:r>
      <w:r>
        <w:rPr>
          <w:spacing w:val="-47"/>
        </w:rPr>
      </w:r>
      <w:r>
        <w:rPr/>
        <w:t>用，创造具有核心价值的产品，并通过实施统筹规划、多种跨界的市场营销模式，重点</w:t>
      </w:r>
      <w:r>
        <w:rPr>
          <w:spacing w:val="-47"/>
        </w:rPr>
        <w:t> </w:t>
      </w:r>
      <w:r>
        <w:rPr>
          <w:spacing w:val="-47"/>
        </w:rPr>
      </w:r>
      <w:r>
        <w:rPr/>
        <w:t>加大在商业电脑方面的销售力度，以应对消费类产品市场需求下降的客观环境。</w:t>
      </w:r>
    </w:p>
    <w:p>
      <w:pPr>
        <w:spacing w:line="240" w:lineRule="auto" w:before="8"/>
        <w:rPr>
          <w:rFonts w:ascii="宋体" w:hAnsi="宋体" w:cs="宋体" w:eastAsia="宋体" w:hint="default"/>
          <w:sz w:val="23"/>
          <w:szCs w:val="23"/>
        </w:rPr>
      </w:pPr>
    </w:p>
    <w:p>
      <w:pPr>
        <w:pStyle w:val="BodyText"/>
        <w:spacing w:line="240" w:lineRule="auto"/>
        <w:ind w:right="0"/>
        <w:jc w:val="both"/>
      </w:pPr>
      <w:r>
        <w:rPr/>
        <w:t>(2)应用信息：持续技术创新，保证海外市场拓展</w:t>
      </w:r>
    </w:p>
    <w:p>
      <w:pPr>
        <w:spacing w:line="240" w:lineRule="auto" w:before="9"/>
        <w:rPr>
          <w:rFonts w:ascii="宋体" w:hAnsi="宋体" w:cs="宋体" w:eastAsia="宋体" w:hint="default"/>
          <w:sz w:val="23"/>
          <w:szCs w:val="23"/>
        </w:rPr>
      </w:pPr>
    </w:p>
    <w:p>
      <w:pPr>
        <w:pStyle w:val="BodyText"/>
        <w:spacing w:line="237" w:lineRule="auto"/>
        <w:ind w:right="86"/>
        <w:jc w:val="left"/>
      </w:pPr>
      <w:r>
        <w:rPr>
          <w:spacing w:val="-2"/>
        </w:rPr>
        <w:t>在公司最具核心竞争力之一的应用信息产业，公司已经确立了包括安防系统、数字城市、</w:t>
      </w:r>
      <w:r>
        <w:rPr>
          <w:spacing w:val="-82"/>
        </w:rPr>
        <w:t> </w:t>
      </w:r>
      <w:r>
        <w:rPr>
          <w:spacing w:val="-82"/>
        </w:rPr>
      </w:r>
      <w:r>
        <w:rPr/>
        <w:t>电子商务等核心产业，并拥有了一系列具有自主知识产权的核心技术。2009</w:t>
      </w:r>
      <w:r>
        <w:rPr>
          <w:spacing w:val="-40"/>
        </w:rPr>
        <w:t> </w:t>
      </w:r>
      <w:r>
        <w:rPr/>
        <w:t>年，公司将</w:t>
      </w:r>
      <w:r>
        <w:rPr/>
        <w:t> 进一步加大对高级技术人才的引进和培养力度，加强技术创新队伍建设，同时通过结合</w:t>
      </w:r>
      <w:r>
        <w:rPr>
          <w:spacing w:val="-47"/>
        </w:rPr>
        <w:t> </w:t>
      </w:r>
      <w:r>
        <w:rPr>
          <w:spacing w:val="-47"/>
        </w:rPr>
      </w:r>
      <w:r>
        <w:rPr/>
        <w:t>国家相关产业政策，参与国家和地方科技重点项目等方式，促进行业知名度的提升和技</w:t>
      </w:r>
      <w:r>
        <w:rPr>
          <w:spacing w:val="-47"/>
        </w:rPr>
        <w:t> </w:t>
      </w:r>
      <w:r>
        <w:rPr>
          <w:spacing w:val="-47"/>
        </w:rPr>
      </w:r>
      <w:r>
        <w:rPr>
          <w:spacing w:val="-2"/>
        </w:rPr>
        <w:t>术进步。在海外市场拓展方面，公司将把提高产品质量和工作标准放在更加突出的位置，</w:t>
      </w:r>
      <w:r>
        <w:rPr>
          <w:spacing w:val="-82"/>
        </w:rPr>
        <w:t> </w:t>
      </w:r>
      <w:r>
        <w:rPr>
          <w:spacing w:val="-82"/>
        </w:rPr>
      </w:r>
      <w:r>
        <w:rPr/>
        <w:t>增强项目执行力度，确保海外市场的拓展和项目顺利执行，通过精细化管理和绩效考核</w:t>
      </w:r>
      <w:r>
        <w:rPr>
          <w:spacing w:val="-47"/>
        </w:rPr>
        <w:t> </w:t>
      </w:r>
      <w:r>
        <w:rPr>
          <w:spacing w:val="-47"/>
        </w:rPr>
      </w:r>
      <w:r>
        <w:rPr/>
        <w:t>体系的进一步完善降低成本、防范风险。</w:t>
      </w:r>
    </w:p>
    <w:p>
      <w:pPr>
        <w:spacing w:line="240" w:lineRule="auto" w:before="7"/>
        <w:rPr>
          <w:rFonts w:ascii="宋体" w:hAnsi="宋体" w:cs="宋体" w:eastAsia="宋体" w:hint="default"/>
          <w:sz w:val="23"/>
          <w:szCs w:val="23"/>
        </w:rPr>
      </w:pPr>
    </w:p>
    <w:p>
      <w:pPr>
        <w:pStyle w:val="BodyText"/>
        <w:spacing w:line="240" w:lineRule="auto"/>
        <w:ind w:right="0"/>
        <w:jc w:val="both"/>
      </w:pPr>
      <w:r>
        <w:rPr/>
        <w:t>(3)数字电视系统：推动主干产业发展，布局数字传媒产业链</w:t>
      </w:r>
    </w:p>
    <w:p>
      <w:pPr>
        <w:spacing w:after="0" w:line="240" w:lineRule="auto"/>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left="238" w:right="280"/>
        <w:jc w:val="both"/>
      </w:pPr>
      <w:r>
        <w:rPr/>
        <w:t>在数字电视系统领域，公司已经形成了以互联网服务、数字通信与装备制造、数字电视</w:t>
      </w:r>
      <w:r>
        <w:rPr>
          <w:spacing w:val="-47"/>
        </w:rPr>
        <w:t> </w:t>
      </w:r>
      <w:r>
        <w:rPr>
          <w:spacing w:val="-47"/>
        </w:rPr>
      </w:r>
      <w:r>
        <w:rPr/>
        <w:t>系统终端产品生产等为核心的主干产业，并已经在</w:t>
      </w:r>
      <w:r>
        <w:rPr>
          <w:spacing w:val="-40"/>
        </w:rPr>
        <w:t> </w:t>
      </w:r>
      <w:r>
        <w:rPr/>
        <w:t>IPTV、电视购物等新媒体领域积极布</w:t>
      </w:r>
      <w:r>
        <w:rPr/>
        <w:t> 局，形成了具有竞争力的数字传媒产业链。2009</w:t>
      </w:r>
      <w:r>
        <w:rPr>
          <w:spacing w:val="-40"/>
        </w:rPr>
        <w:t> </w:t>
      </w:r>
      <w:r>
        <w:rPr/>
        <w:t>年，公司将继续加大对主干产业发展的</w:t>
      </w:r>
      <w:r>
        <w:rPr/>
        <w:t> 支持力度，尤其将紧紧把握数字电视地面网络系统建设的市场机遇，通过盈利模式的不</w:t>
      </w:r>
      <w:r>
        <w:rPr>
          <w:spacing w:val="-47"/>
        </w:rPr>
        <w:t> </w:t>
      </w:r>
      <w:r>
        <w:rPr>
          <w:spacing w:val="-47"/>
        </w:rPr>
      </w:r>
      <w:r>
        <w:rPr/>
        <w:t>断创新，开展与各地广电部门的合作，积极抢占市场份额，推动数字电视系统业务的发</w:t>
      </w:r>
      <w:r>
        <w:rPr>
          <w:spacing w:val="-47"/>
        </w:rPr>
        <w:t> </w:t>
      </w:r>
      <w:r>
        <w:rPr>
          <w:spacing w:val="-47"/>
        </w:rPr>
      </w:r>
      <w:r>
        <w:rPr/>
        <w:t>展。公司还将通过寻求对外合作机会，利用品牌优势获取独有业务资源，围绕以综合运</w:t>
      </w:r>
      <w:r>
        <w:rPr>
          <w:spacing w:val="-47"/>
        </w:rPr>
        <w:t> </w:t>
      </w:r>
      <w:r>
        <w:rPr>
          <w:spacing w:val="-47"/>
        </w:rPr>
      </w:r>
      <w:r>
        <w:rPr/>
        <w:t>营服务为纽带、以内容资源为核心的数字传媒产业链实施布局。</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(4)能源环境：围绕核心业务加大投入，加快产品产业化步伐</w:t>
      </w:r>
    </w:p>
    <w:p>
      <w:pPr>
        <w:spacing w:line="240" w:lineRule="auto" w:before="9"/>
        <w:rPr>
          <w:rFonts w:ascii="宋体" w:hAnsi="宋体" w:cs="宋体" w:eastAsia="宋体" w:hint="default"/>
          <w:sz w:val="23"/>
          <w:szCs w:val="23"/>
        </w:rPr>
      </w:pPr>
    </w:p>
    <w:p>
      <w:pPr>
        <w:pStyle w:val="BodyText"/>
        <w:spacing w:line="237" w:lineRule="auto"/>
        <w:ind w:left="238" w:right="280"/>
        <w:jc w:val="both"/>
      </w:pPr>
      <w:r>
        <w:rPr/>
        <w:t>2009</w:t>
      </w:r>
      <w:r>
        <w:rPr>
          <w:spacing w:val="-40"/>
        </w:rPr>
        <w:t> </w:t>
      </w:r>
      <w:r>
        <w:rPr/>
        <w:t>年，公司将在能源与环境领域，将把握国家在节能环保市场方面的相关政策和市场</w:t>
      </w:r>
      <w:r>
        <w:rPr/>
        <w:t> 机遇，加大对水处理、建筑节能等核心产业的投入力度，并进一步加快核心产业的创新</w:t>
      </w:r>
      <w:r>
        <w:rPr>
          <w:spacing w:val="-47"/>
        </w:rPr>
        <w:t> </w:t>
      </w:r>
      <w:r>
        <w:rPr>
          <w:spacing w:val="-47"/>
        </w:rPr>
      </w:r>
      <w:r>
        <w:rPr/>
        <w:t>力度和速度，用创新破解产业发展的难题。未来一年，公司还将在产业的深度和广度上</w:t>
      </w:r>
      <w:r>
        <w:rPr>
          <w:spacing w:val="-47"/>
        </w:rPr>
        <w:t> </w:t>
      </w:r>
      <w:r>
        <w:rPr>
          <w:spacing w:val="-47"/>
        </w:rPr>
      </w:r>
      <w:r>
        <w:rPr/>
        <w:t>开拓发展，围绕产业链上下游进行延伸和培育，特别要通过内部资源的整合、优秀技术</w:t>
      </w:r>
      <w:r>
        <w:rPr>
          <w:spacing w:val="-47"/>
        </w:rPr>
        <w:t> </w:t>
      </w:r>
      <w:r>
        <w:rPr>
          <w:spacing w:val="-47"/>
        </w:rPr>
      </w:r>
      <w:r>
        <w:rPr/>
        <w:t>人才的引进、激励机制与管理流程的理顺，加快现有产品的产业化步伐，加速能源与环</w:t>
      </w:r>
      <w:r>
        <w:rPr>
          <w:spacing w:val="-47"/>
        </w:rPr>
        <w:t> </w:t>
      </w:r>
      <w:r>
        <w:rPr>
          <w:spacing w:val="-47"/>
        </w:rPr>
      </w:r>
      <w:r>
        <w:rPr/>
        <w:t>境产业的可持续发展。</w:t>
      </w:r>
    </w:p>
    <w:p>
      <w:pPr>
        <w:spacing w:line="240" w:lineRule="auto" w:before="1"/>
        <w:rPr>
          <w:rFonts w:ascii="宋体" w:hAnsi="宋体" w:cs="宋体" w:eastAsia="宋体" w:hint="default"/>
          <w:sz w:val="23"/>
          <w:szCs w:val="23"/>
        </w:rPr>
      </w:pPr>
    </w:p>
    <w:p>
      <w:pPr>
        <w:spacing w:line="460" w:lineRule="auto" w:before="0"/>
        <w:ind w:left="238" w:right="4426" w:firstLine="0"/>
        <w:jc w:val="left"/>
        <w:rPr>
          <w:rFonts w:ascii="宋体" w:hAnsi="宋体" w:cs="宋体" w:eastAsia="宋体" w:hint="default"/>
          <w:sz w:val="24"/>
          <w:szCs w:val="24"/>
        </w:rPr>
      </w:pPr>
      <w:r>
        <w:rPr>
          <w:rFonts w:ascii="宋体" w:hAnsi="宋体" w:cs="宋体" w:eastAsia="宋体" w:hint="default"/>
          <w:b/>
          <w:bCs/>
          <w:sz w:val="28"/>
          <w:szCs w:val="28"/>
        </w:rPr>
        <w:t>(七)董事会日常工作情况</w:t>
      </w:r>
      <w:r>
        <w:rPr>
          <w:rFonts w:ascii="宋体" w:hAnsi="宋体" w:cs="宋体" w:eastAsia="宋体" w:hint="default"/>
          <w:b/>
          <w:bCs/>
          <w:spacing w:val="1"/>
          <w:w w:val="99"/>
          <w:sz w:val="28"/>
          <w:szCs w:val="28"/>
        </w:rPr>
        <w:t> </w:t>
      </w:r>
      <w:r>
        <w:rPr>
          <w:rFonts w:ascii="宋体" w:hAnsi="宋体" w:cs="宋体" w:eastAsia="宋体" w:hint="default"/>
          <w:b/>
          <w:bCs/>
          <w:sz w:val="24"/>
          <w:szCs w:val="24"/>
        </w:rPr>
        <w:t>1、董事会会议简述</w:t>
      </w:r>
      <w:r>
        <w:rPr>
          <w:rFonts w:ascii="宋体" w:hAnsi="宋体" w:cs="宋体" w:eastAsia="宋体" w:hint="default"/>
          <w:b/>
          <w:bCs/>
          <w:spacing w:val="1"/>
          <w:w w:val="99"/>
          <w:sz w:val="24"/>
          <w:szCs w:val="24"/>
        </w:rPr>
        <w:t> </w:t>
      </w:r>
      <w:r>
        <w:rPr>
          <w:rFonts w:ascii="宋体" w:hAnsi="宋体" w:cs="宋体" w:eastAsia="宋体" w:hint="default"/>
          <w:sz w:val="24"/>
          <w:szCs w:val="24"/>
        </w:rPr>
        <w:t>本报告年度共召开董事会十五次，主要情况为：</w:t>
      </w:r>
    </w:p>
    <w:p>
      <w:pPr>
        <w:spacing w:line="240" w:lineRule="auto" w:before="8"/>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989"/>
        <w:gridCol w:w="1980"/>
        <w:gridCol w:w="2520"/>
        <w:gridCol w:w="1965"/>
      </w:tblGrid>
      <w:tr>
        <w:trPr>
          <w:trHeight w:val="295" w:hRule="exact"/>
        </w:trPr>
        <w:tc>
          <w:tcPr>
            <w:tcW w:w="298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董事会会议届次</w:t>
            </w:r>
            <w:r>
              <w:rPr>
                <w:rFonts w:ascii="宋体" w:hAnsi="宋体" w:cs="宋体" w:eastAsia="宋体" w:hint="default"/>
                <w:sz w:val="21"/>
                <w:szCs w:val="21"/>
              </w:rPr>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52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信息披露报纸</w:t>
            </w:r>
            <w:r>
              <w:rPr>
                <w:rFonts w:ascii="宋体" w:hAnsi="宋体" w:cs="宋体" w:eastAsia="宋体" w:hint="default"/>
                <w:sz w:val="21"/>
                <w:szCs w:val="21"/>
              </w:rPr>
            </w:r>
          </w:p>
        </w:tc>
        <w:tc>
          <w:tcPr>
            <w:tcW w:w="196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51"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28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第四届董事会第九次会议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第四届董事会第十次会议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第四届董事会第十一次会议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第四届董事会第十二次会议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第四届董事会第十三次会议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第四届董事会第十四次会议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第四届董事会第十五次会议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第四届董事会第十六次会议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第四届董事会第十七次会议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第四届董事会第十八次会议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第四届董事会第十九次会议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第四届董事会第二十次会议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第四届董事会第二十一次会议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第四届董事会第二十二次会议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35" w:hRule="exact"/>
        </w:trPr>
        <w:tc>
          <w:tcPr>
            <w:tcW w:w="2989"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第四届董事会第二十三次会议</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12"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0"/>
        <w:rPr>
          <w:rFonts w:ascii="宋体" w:hAnsi="宋体" w:cs="宋体" w:eastAsia="宋体" w:hint="default"/>
          <w:sz w:val="18"/>
          <w:szCs w:val="18"/>
        </w:rPr>
      </w:pPr>
    </w:p>
    <w:p>
      <w:pPr>
        <w:pStyle w:val="Heading3"/>
        <w:spacing w:line="240" w:lineRule="auto" w:before="26"/>
        <w:ind w:left="238" w:right="0"/>
        <w:jc w:val="left"/>
        <w:rPr>
          <w:b w:val="0"/>
          <w:bCs w:val="0"/>
        </w:rPr>
      </w:pPr>
      <w:r>
        <w:rPr/>
        <w:t>2、董事会履行股东大会决议、执行股东大会授权情况说明</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left="238" w:right="0"/>
        <w:jc w:val="left"/>
      </w:pPr>
      <w:r>
        <w:rPr/>
        <w:t>(1)根据</w:t>
      </w:r>
      <w:r>
        <w:rPr>
          <w:spacing w:val="-51"/>
        </w:rPr>
        <w:t> </w:t>
      </w:r>
      <w:r>
        <w:rPr/>
        <w:t>2008</w:t>
      </w:r>
      <w:r>
        <w:rPr>
          <w:spacing w:val="-51"/>
        </w:rPr>
        <w:t> </w:t>
      </w:r>
      <w:r>
        <w:rPr/>
        <w:t>年</w:t>
      </w:r>
      <w:r>
        <w:rPr>
          <w:spacing w:val="-51"/>
        </w:rPr>
        <w:t> </w:t>
      </w:r>
      <w:r>
        <w:rPr/>
        <w:t>6</w:t>
      </w:r>
      <w:r>
        <w:rPr>
          <w:spacing w:val="-50"/>
        </w:rPr>
        <w:t> </w:t>
      </w:r>
      <w:r>
        <w:rPr/>
        <w:t>月</w:t>
      </w:r>
      <w:r>
        <w:rPr>
          <w:spacing w:val="-50"/>
        </w:rPr>
        <w:t> </w:t>
      </w:r>
      <w:r>
        <w:rPr/>
        <w:t>23</w:t>
      </w:r>
      <w:r>
        <w:rPr>
          <w:spacing w:val="-51"/>
        </w:rPr>
        <w:t> </w:t>
      </w:r>
      <w:r>
        <w:rPr/>
        <w:t>日召开的</w:t>
      </w:r>
      <w:r>
        <w:rPr>
          <w:spacing w:val="-51"/>
        </w:rPr>
        <w:t> </w:t>
      </w:r>
      <w:r>
        <w:rPr/>
        <w:t>2007</w:t>
      </w:r>
      <w:r>
        <w:rPr>
          <w:spacing w:val="-51"/>
        </w:rPr>
        <w:t> </w:t>
      </w:r>
      <w:r>
        <w:rPr/>
        <w:t>年年度股东大会审议通过的利润分配方案，公司</w:t>
      </w:r>
    </w:p>
    <w:p>
      <w:pPr>
        <w:spacing w:after="0" w:line="240" w:lineRule="auto"/>
        <w:jc w:val="left"/>
        <w:sectPr>
          <w:pgSz w:w="11910" w:h="16840"/>
          <w:pgMar w:header="610" w:footer="764" w:top="1080" w:bottom="960" w:left="1180" w:right="10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142"/>
        <w:jc w:val="both"/>
      </w:pPr>
      <w:r>
        <w:rPr/>
        <w:t>于</w:t>
      </w:r>
      <w:r>
        <w:rPr>
          <w:spacing w:val="-65"/>
        </w:rPr>
        <w:t> </w:t>
      </w:r>
      <w:r>
        <w:rPr>
          <w:spacing w:val="23"/>
        </w:rPr>
        <w:t>2008年8月</w:t>
      </w:r>
      <w:r>
        <w:rPr>
          <w:spacing w:val="-65"/>
        </w:rPr>
        <w:t> </w:t>
      </w:r>
      <w:r>
        <w:rPr/>
        <w:t>11</w:t>
      </w:r>
      <w:r>
        <w:rPr>
          <w:spacing w:val="-65"/>
        </w:rPr>
        <w:t> </w:t>
      </w:r>
      <w:r>
        <w:rPr/>
        <w:t>日在中国证券报和上海证券报刊登关于</w:t>
      </w:r>
      <w:r>
        <w:rPr>
          <w:spacing w:val="-65"/>
        </w:rPr>
        <w:t> </w:t>
      </w:r>
      <w:r>
        <w:rPr/>
        <w:t>2007</w:t>
      </w:r>
      <w:r>
        <w:rPr>
          <w:spacing w:val="-65"/>
        </w:rPr>
        <w:t> </w:t>
      </w:r>
      <w:r>
        <w:rPr/>
        <w:t>年度分红派息及转增股本</w:t>
      </w:r>
      <w:r>
        <w:rPr/>
        <w:t> 实施公告。以截至</w:t>
      </w:r>
      <w:r>
        <w:rPr>
          <w:spacing w:val="-51"/>
        </w:rPr>
        <w:t> </w:t>
      </w:r>
      <w:r>
        <w:rPr/>
        <w:t>2008</w:t>
      </w:r>
      <w:r>
        <w:rPr>
          <w:spacing w:val="-51"/>
        </w:rPr>
        <w:t> </w:t>
      </w:r>
      <w:r>
        <w:rPr/>
        <w:t>年</w:t>
      </w:r>
      <w:r>
        <w:rPr>
          <w:spacing w:val="-51"/>
        </w:rPr>
        <w:t> </w:t>
      </w:r>
      <w:r>
        <w:rPr/>
        <w:t>5</w:t>
      </w:r>
      <w:r>
        <w:rPr>
          <w:spacing w:val="-50"/>
        </w:rPr>
        <w:t> </w:t>
      </w:r>
      <w:r>
        <w:rPr/>
        <w:t>月</w:t>
      </w:r>
      <w:r>
        <w:rPr>
          <w:spacing w:val="-51"/>
        </w:rPr>
        <w:t> </w:t>
      </w:r>
      <w:r>
        <w:rPr/>
        <w:t>30</w:t>
      </w:r>
      <w:r>
        <w:rPr>
          <w:spacing w:val="-51"/>
        </w:rPr>
        <w:t> </w:t>
      </w:r>
      <w:r>
        <w:rPr/>
        <w:t>日公司总股份</w:t>
      </w:r>
      <w:r>
        <w:rPr>
          <w:spacing w:val="-51"/>
        </w:rPr>
        <w:t> </w:t>
      </w:r>
      <w:r>
        <w:rPr/>
        <w:t>751,515,811</w:t>
      </w:r>
      <w:r>
        <w:rPr>
          <w:spacing w:val="-51"/>
        </w:rPr>
        <w:t> </w:t>
      </w:r>
      <w:r>
        <w:rPr/>
        <w:t>股为基数，向全体股东以</w:t>
      </w:r>
    </w:p>
    <w:p>
      <w:pPr>
        <w:pStyle w:val="BodyText"/>
        <w:spacing w:line="282" w:lineRule="exact"/>
        <w:ind w:right="0"/>
        <w:jc w:val="both"/>
      </w:pPr>
      <w:r>
        <w:rPr/>
        <w:t>每 10 </w:t>
      </w:r>
      <w:r>
        <w:rPr>
          <w:spacing w:val="17"/>
        </w:rPr>
        <w:t>股派送现金红利 </w:t>
      </w:r>
      <w:r>
        <w:rPr/>
        <w:t>0.8 </w:t>
      </w:r>
      <w:r>
        <w:rPr>
          <w:spacing w:val="17"/>
        </w:rPr>
        <w:t>元(含税)，共计 </w:t>
      </w:r>
      <w:r>
        <w:rPr/>
        <w:t>60,121,264.88</w:t>
      </w:r>
      <w:r>
        <w:rPr>
          <w:spacing w:val="95"/>
        </w:rPr>
        <w:t> </w:t>
      </w:r>
      <w:r>
        <w:rPr>
          <w:spacing w:val="20"/>
        </w:rPr>
        <w:t>元，累计未分配利润</w:t>
      </w:r>
      <w:r>
        <w:rPr/>
      </w:r>
    </w:p>
    <w:p>
      <w:pPr>
        <w:pStyle w:val="BodyText"/>
        <w:spacing w:line="311" w:lineRule="exact"/>
        <w:ind w:right="0"/>
        <w:jc w:val="both"/>
      </w:pPr>
      <w:r>
        <w:rPr/>
        <w:t>947,690,304.88 </w:t>
      </w:r>
      <w:r>
        <w:rPr>
          <w:spacing w:val="20"/>
        </w:rPr>
        <w:t>元留待以后年度分配。以公司截至 </w:t>
      </w:r>
      <w:r>
        <w:rPr/>
        <w:t>2008 年 5 月 30 </w:t>
      </w:r>
      <w:r>
        <w:rPr>
          <w:spacing w:val="19"/>
        </w:rPr>
        <w:t> </w:t>
      </w:r>
      <w:r>
        <w:rPr>
          <w:spacing w:val="17"/>
        </w:rPr>
        <w:t>日的总股本</w:t>
      </w:r>
    </w:p>
    <w:p>
      <w:pPr>
        <w:pStyle w:val="BodyText"/>
        <w:spacing w:line="311" w:lineRule="exact"/>
        <w:ind w:right="0"/>
        <w:jc w:val="both"/>
      </w:pPr>
      <w:r>
        <w:rPr/>
        <w:t>751,515,811 </w:t>
      </w:r>
      <w:r>
        <w:rPr>
          <w:spacing w:val="22"/>
        </w:rPr>
        <w:t>股为基数，向全体股东以每 </w:t>
      </w:r>
      <w:r>
        <w:rPr/>
        <w:t>10 </w:t>
      </w:r>
      <w:r>
        <w:rPr>
          <w:spacing w:val="16"/>
        </w:rPr>
        <w:t>股转增 </w:t>
      </w:r>
      <w:r>
        <w:rPr/>
        <w:t>3</w:t>
      </w:r>
      <w:r>
        <w:rPr>
          <w:spacing w:val="92"/>
        </w:rPr>
        <w:t> </w:t>
      </w:r>
      <w:r>
        <w:rPr>
          <w:spacing w:val="21"/>
        </w:rPr>
        <w:t>股，合计向全体股东转增</w:t>
      </w:r>
      <w:r>
        <w:rPr>
          <w:spacing w:val="-96"/>
        </w:rPr>
        <w:t> </w:t>
      </w:r>
      <w:r>
        <w:rPr/>
      </w:r>
    </w:p>
    <w:p>
      <w:pPr>
        <w:pStyle w:val="BodyText"/>
        <w:spacing w:line="311" w:lineRule="exact"/>
        <w:ind w:right="0"/>
        <w:jc w:val="both"/>
      </w:pPr>
      <w:r>
        <w:rPr/>
        <w:t>225,454,743</w:t>
      </w:r>
      <w:r>
        <w:rPr>
          <w:spacing w:val="-63"/>
        </w:rPr>
        <w:t> </w:t>
      </w:r>
      <w:r>
        <w:rPr>
          <w:spacing w:val="-6"/>
        </w:rPr>
        <w:t>股，转增完成后，公司总股本增至</w:t>
      </w:r>
      <w:r>
        <w:rPr>
          <w:spacing w:val="-63"/>
        </w:rPr>
        <w:t> </w:t>
      </w:r>
      <w:r>
        <w:rPr/>
        <w:t>976,970,554</w:t>
      </w:r>
      <w:r>
        <w:rPr>
          <w:spacing w:val="-63"/>
        </w:rPr>
        <w:t> </w:t>
      </w:r>
      <w:r>
        <w:rPr>
          <w:spacing w:val="-4"/>
        </w:rPr>
        <w:t>股。本次分红派息及转增股</w:t>
      </w:r>
      <w:r>
        <w:rPr/>
      </w:r>
    </w:p>
    <w:p>
      <w:pPr>
        <w:pStyle w:val="BodyText"/>
        <w:spacing w:line="310" w:lineRule="exact" w:before="31"/>
        <w:ind w:right="143"/>
        <w:jc w:val="both"/>
      </w:pPr>
      <w:r>
        <w:rPr/>
        <w:t>本股权登记日为</w:t>
      </w:r>
      <w:r>
        <w:rPr>
          <w:spacing w:val="-54"/>
        </w:rPr>
        <w:t> </w:t>
      </w:r>
      <w:r>
        <w:rPr/>
        <w:t>2008</w:t>
      </w:r>
      <w:r>
        <w:rPr>
          <w:spacing w:val="-55"/>
        </w:rPr>
        <w:t> </w:t>
      </w:r>
      <w:r>
        <w:rPr>
          <w:spacing w:val="44"/>
        </w:rPr>
        <w:t>年8月</w:t>
      </w:r>
      <w:r>
        <w:rPr>
          <w:spacing w:val="-55"/>
        </w:rPr>
        <w:t> </w:t>
      </w:r>
      <w:r>
        <w:rPr/>
        <w:t>14</w:t>
      </w:r>
      <w:r>
        <w:rPr>
          <w:spacing w:val="-55"/>
        </w:rPr>
        <w:t> </w:t>
      </w:r>
      <w:r>
        <w:rPr/>
        <w:t>日，除息除权日为</w:t>
      </w:r>
      <w:r>
        <w:rPr>
          <w:spacing w:val="-54"/>
        </w:rPr>
        <w:t> </w:t>
      </w:r>
      <w:r>
        <w:rPr/>
        <w:t>2008</w:t>
      </w:r>
      <w:r>
        <w:rPr>
          <w:spacing w:val="-54"/>
        </w:rPr>
        <w:t> </w:t>
      </w:r>
      <w:r>
        <w:rPr/>
        <w:t>年</w:t>
      </w:r>
      <w:r>
        <w:rPr>
          <w:spacing w:val="-54"/>
        </w:rPr>
        <w:t> </w:t>
      </w:r>
      <w:r>
        <w:rPr/>
        <w:t>8</w:t>
      </w:r>
      <w:r>
        <w:rPr>
          <w:spacing w:val="-55"/>
        </w:rPr>
        <w:t> </w:t>
      </w:r>
      <w:r>
        <w:rPr/>
        <w:t>月</w:t>
      </w:r>
      <w:r>
        <w:rPr>
          <w:spacing w:val="-54"/>
        </w:rPr>
        <w:t> </w:t>
      </w:r>
      <w:r>
        <w:rPr/>
        <w:t>15</w:t>
      </w:r>
      <w:r>
        <w:rPr>
          <w:spacing w:val="-54"/>
        </w:rPr>
        <w:t> </w:t>
      </w:r>
      <w:r>
        <w:rPr/>
        <w:t>日，新增可流通股份</w:t>
      </w:r>
      <w:r>
        <w:rPr/>
        <w:t> 上市流通日为</w:t>
      </w:r>
      <w:r>
        <w:rPr>
          <w:spacing w:val="-59"/>
        </w:rPr>
        <w:t> </w:t>
      </w:r>
      <w:r>
        <w:rPr>
          <w:spacing w:val="25"/>
        </w:rPr>
        <w:t>2008年8月</w:t>
      </w:r>
      <w:r>
        <w:rPr>
          <w:spacing w:val="-59"/>
        </w:rPr>
        <w:t> </w:t>
      </w:r>
      <w:r>
        <w:rPr/>
        <w:t>18</w:t>
      </w:r>
      <w:r>
        <w:rPr>
          <w:spacing w:val="-59"/>
        </w:rPr>
        <w:t> </w:t>
      </w:r>
      <w:r>
        <w:rPr/>
        <w:t>日，现金红利发放日为</w:t>
      </w:r>
      <w:r>
        <w:rPr>
          <w:spacing w:val="-59"/>
        </w:rPr>
        <w:t> </w:t>
      </w:r>
      <w:r>
        <w:rPr>
          <w:spacing w:val="25"/>
        </w:rPr>
        <w:t>2008年8月</w:t>
      </w:r>
      <w:r>
        <w:rPr>
          <w:spacing w:val="-59"/>
        </w:rPr>
        <w:t> </w:t>
      </w:r>
      <w:r>
        <w:rPr/>
        <w:t>22</w:t>
      </w:r>
      <w:r>
        <w:rPr>
          <w:spacing w:val="-59"/>
        </w:rPr>
        <w:t> </w:t>
      </w:r>
      <w:r>
        <w:rPr/>
        <w:t>日。</w:t>
      </w:r>
    </w:p>
    <w:p>
      <w:pPr>
        <w:spacing w:line="240" w:lineRule="auto" w:before="6"/>
        <w:rPr>
          <w:rFonts w:ascii="宋体" w:hAnsi="宋体" w:cs="宋体" w:eastAsia="宋体" w:hint="default"/>
          <w:sz w:val="21"/>
          <w:szCs w:val="21"/>
        </w:rPr>
      </w:pPr>
    </w:p>
    <w:p>
      <w:pPr>
        <w:pStyle w:val="BodyText"/>
        <w:spacing w:line="312" w:lineRule="exact"/>
        <w:ind w:right="0"/>
        <w:jc w:val="both"/>
      </w:pPr>
      <w:r>
        <w:rPr/>
        <w:t>(2)根据</w:t>
      </w:r>
      <w:r>
        <w:rPr>
          <w:spacing w:val="-56"/>
        </w:rPr>
        <w:t> </w:t>
      </w:r>
      <w:r>
        <w:rPr/>
        <w:t>2007</w:t>
      </w:r>
      <w:r>
        <w:rPr>
          <w:spacing w:val="-56"/>
        </w:rPr>
        <w:t> </w:t>
      </w:r>
      <w:r>
        <w:rPr/>
        <w:t>年</w:t>
      </w:r>
      <w:r>
        <w:rPr>
          <w:spacing w:val="-56"/>
        </w:rPr>
        <w:t> </w:t>
      </w:r>
      <w:r>
        <w:rPr/>
        <w:t>11</w:t>
      </w:r>
      <w:r>
        <w:rPr>
          <w:spacing w:val="-57"/>
        </w:rPr>
        <w:t> </w:t>
      </w:r>
      <w:r>
        <w:rPr/>
        <w:t>月</w:t>
      </w:r>
      <w:r>
        <w:rPr>
          <w:spacing w:val="-56"/>
        </w:rPr>
        <w:t> </w:t>
      </w:r>
      <w:r>
        <w:rPr/>
        <w:t>15</w:t>
      </w:r>
      <w:r>
        <w:rPr>
          <w:spacing w:val="-56"/>
        </w:rPr>
        <w:t> </w:t>
      </w:r>
      <w:r>
        <w:rPr/>
        <w:t>日召开的</w:t>
      </w:r>
      <w:r>
        <w:rPr>
          <w:spacing w:val="-56"/>
        </w:rPr>
        <w:t> </w:t>
      </w:r>
      <w:r>
        <w:rPr/>
        <w:t>2007</w:t>
      </w:r>
      <w:r>
        <w:rPr>
          <w:spacing w:val="-57"/>
        </w:rPr>
        <w:t> </w:t>
      </w:r>
      <w:r>
        <w:rPr/>
        <w:t>年第二次临时股东大会审议通过的</w:t>
      </w:r>
      <w:r>
        <w:rPr>
          <w:spacing w:val="-56"/>
        </w:rPr>
        <w:t> </w:t>
      </w:r>
      <w:r>
        <w:rPr/>
        <w:t>2007</w:t>
      </w:r>
      <w:r>
        <w:rPr>
          <w:spacing w:val="-56"/>
        </w:rPr>
        <w:t> </w:t>
      </w:r>
      <w:r>
        <w:rPr/>
        <w:t>年配股</w:t>
      </w:r>
    </w:p>
    <w:p>
      <w:pPr>
        <w:pStyle w:val="BodyText"/>
        <w:spacing w:line="311" w:lineRule="exact"/>
        <w:ind w:right="0"/>
        <w:jc w:val="both"/>
      </w:pPr>
      <w:r>
        <w:rPr/>
        <w:t>方案，公司向中国证监会报送了配股申请文件，并于</w:t>
      </w:r>
      <w:r>
        <w:rPr>
          <w:spacing w:val="-80"/>
        </w:rPr>
        <w:t> </w:t>
      </w:r>
      <w:r>
        <w:rPr>
          <w:spacing w:val="30"/>
        </w:rPr>
        <w:t>2008年5月4</w:t>
      </w:r>
      <w:r>
        <w:rPr>
          <w:spacing w:val="-80"/>
        </w:rPr>
        <w:t> </w:t>
      </w:r>
      <w:r>
        <w:rPr/>
        <w:t>日获得中国证券监督</w:t>
      </w:r>
    </w:p>
    <w:p>
      <w:pPr>
        <w:pStyle w:val="BodyText"/>
        <w:spacing w:line="310" w:lineRule="exact" w:before="31"/>
        <w:ind w:right="142"/>
        <w:jc w:val="both"/>
      </w:pPr>
      <w:r>
        <w:rPr/>
        <w:t>管理委员会核准。公司于</w:t>
      </w:r>
      <w:r>
        <w:rPr>
          <w:spacing w:val="-47"/>
        </w:rPr>
        <w:t> </w:t>
      </w:r>
      <w:r>
        <w:rPr/>
        <w:t>2008</w:t>
      </w:r>
      <w:r>
        <w:rPr>
          <w:spacing w:val="-47"/>
        </w:rPr>
        <w:t> </w:t>
      </w:r>
      <w:r>
        <w:rPr/>
        <w:t>年</w:t>
      </w:r>
      <w:r>
        <w:rPr>
          <w:spacing w:val="-48"/>
        </w:rPr>
        <w:t> </w:t>
      </w:r>
      <w:r>
        <w:rPr/>
        <w:t>5</w:t>
      </w:r>
      <w:r>
        <w:rPr>
          <w:spacing w:val="-47"/>
        </w:rPr>
        <w:t> </w:t>
      </w:r>
      <w:r>
        <w:rPr/>
        <w:t>月</w:t>
      </w:r>
      <w:r>
        <w:rPr>
          <w:spacing w:val="-47"/>
        </w:rPr>
        <w:t> </w:t>
      </w:r>
      <w:r>
        <w:rPr/>
        <w:t>13</w:t>
      </w:r>
      <w:r>
        <w:rPr>
          <w:spacing w:val="-47"/>
        </w:rPr>
        <w:t> </w:t>
      </w:r>
      <w:r>
        <w:rPr/>
        <w:t>日刊登了配股发行公告，并于</w:t>
      </w:r>
      <w:r>
        <w:rPr>
          <w:spacing w:val="-47"/>
        </w:rPr>
        <w:t> </w:t>
      </w:r>
      <w:r>
        <w:rPr/>
        <w:t>2008</w:t>
      </w:r>
      <w:r>
        <w:rPr>
          <w:spacing w:val="-48"/>
        </w:rPr>
        <w:t> </w:t>
      </w:r>
      <w:r>
        <w:rPr>
          <w:spacing w:val="48"/>
        </w:rPr>
        <w:t>年5月</w:t>
      </w:r>
      <w:r>
        <w:rPr>
          <w:spacing w:val="-47"/>
        </w:rPr>
        <w:t> </w:t>
      </w:r>
      <w:r>
        <w:rPr/>
        <w:t>30</w:t>
      </w:r>
      <w:r>
        <w:rPr/>
        <w:t> 日刊登了股份上市及股本变动公告，完成了配股方案的实施。</w:t>
      </w:r>
    </w:p>
    <w:p>
      <w:pPr>
        <w:spacing w:line="240" w:lineRule="auto" w:before="6"/>
        <w:rPr>
          <w:rFonts w:ascii="宋体" w:hAnsi="宋体" w:cs="宋体" w:eastAsia="宋体" w:hint="default"/>
          <w:sz w:val="21"/>
          <w:szCs w:val="21"/>
        </w:rPr>
      </w:pPr>
    </w:p>
    <w:p>
      <w:pPr>
        <w:pStyle w:val="Heading3"/>
        <w:spacing w:line="240" w:lineRule="auto"/>
        <w:ind w:left="138" w:right="0"/>
        <w:jc w:val="both"/>
        <w:rPr>
          <w:b w:val="0"/>
          <w:bCs w:val="0"/>
        </w:rPr>
      </w:pPr>
      <w:r>
        <w:rPr/>
        <w:t>3、董事会审计委员会履职情况报告</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right="0"/>
        <w:jc w:val="both"/>
      </w:pPr>
      <w:r>
        <w:rPr/>
        <w:t>(1)召开了公司董事会审计委员会第四届第三次会议，讨论通过了如下决议：</w:t>
      </w:r>
    </w:p>
    <w:p>
      <w:pPr>
        <w:spacing w:line="240" w:lineRule="auto" w:before="9"/>
        <w:rPr>
          <w:rFonts w:ascii="宋体" w:hAnsi="宋体" w:cs="宋体" w:eastAsia="宋体" w:hint="default"/>
          <w:sz w:val="23"/>
          <w:szCs w:val="23"/>
        </w:rPr>
      </w:pPr>
    </w:p>
    <w:p>
      <w:pPr>
        <w:pStyle w:val="BodyText"/>
        <w:spacing w:line="237" w:lineRule="auto"/>
        <w:ind w:right="140"/>
        <w:jc w:val="both"/>
      </w:pPr>
      <w:r>
        <w:rPr/>
        <w:t>同方股份有限公司编制的财务会计报表已经按照企业会计准则和《企业会计制度》的规</w:t>
      </w:r>
      <w:r>
        <w:rPr>
          <w:spacing w:val="-47"/>
        </w:rPr>
        <w:t> </w:t>
      </w:r>
      <w:r>
        <w:rPr>
          <w:spacing w:val="-47"/>
        </w:rPr>
      </w:r>
      <w:r>
        <w:rPr/>
        <w:t>定编制，在所有重大方面公允反映了公司</w:t>
      </w:r>
      <w:r>
        <w:rPr>
          <w:spacing w:val="-51"/>
        </w:rPr>
        <w:t> </w:t>
      </w:r>
      <w:r>
        <w:rPr/>
        <w:t>2008</w:t>
      </w:r>
      <w:r>
        <w:rPr>
          <w:spacing w:val="-51"/>
        </w:rPr>
        <w:t> </w:t>
      </w:r>
      <w:r>
        <w:rPr/>
        <w:t>年</w:t>
      </w:r>
      <w:r>
        <w:rPr>
          <w:spacing w:val="-51"/>
        </w:rPr>
        <w:t> </w:t>
      </w:r>
      <w:r>
        <w:rPr/>
        <w:t>12</w:t>
      </w:r>
      <w:r>
        <w:rPr>
          <w:spacing w:val="-50"/>
        </w:rPr>
        <w:t> </w:t>
      </w:r>
      <w:r>
        <w:rPr/>
        <w:t>月</w:t>
      </w:r>
      <w:r>
        <w:rPr>
          <w:spacing w:val="-50"/>
        </w:rPr>
        <w:t> </w:t>
      </w:r>
      <w:r>
        <w:rPr/>
        <w:t>31</w:t>
      </w:r>
      <w:r>
        <w:rPr>
          <w:spacing w:val="-51"/>
        </w:rPr>
        <w:t> </w:t>
      </w:r>
      <w:r>
        <w:rPr/>
        <w:t>日的财务状况以及</w:t>
      </w:r>
      <w:r>
        <w:rPr>
          <w:spacing w:val="-51"/>
        </w:rPr>
        <w:t> </w:t>
      </w:r>
      <w:r>
        <w:rPr/>
        <w:t>2008</w:t>
      </w:r>
      <w:r>
        <w:rPr>
          <w:spacing w:val="-51"/>
        </w:rPr>
        <w:t> </w:t>
      </w:r>
      <w:r>
        <w:rPr/>
        <w:t>年度</w:t>
      </w:r>
      <w:r>
        <w:rPr/>
        <w:t> 的经营成果和现金流量。该财务会计报表尚未完成审计。</w:t>
      </w:r>
    </w:p>
    <w:p>
      <w:pPr>
        <w:spacing w:line="240" w:lineRule="auto" w:before="11"/>
        <w:rPr>
          <w:rFonts w:ascii="宋体" w:hAnsi="宋体" w:cs="宋体" w:eastAsia="宋体" w:hint="default"/>
          <w:sz w:val="23"/>
          <w:szCs w:val="23"/>
        </w:rPr>
      </w:pPr>
    </w:p>
    <w:p>
      <w:pPr>
        <w:pStyle w:val="BodyText"/>
        <w:spacing w:line="237" w:lineRule="auto"/>
        <w:ind w:right="140"/>
        <w:jc w:val="both"/>
      </w:pPr>
      <w:r>
        <w:rPr>
          <w:spacing w:val="-1"/>
        </w:rPr>
        <w:t>(2)公司年审注册会计师进场后，董事会审计委员会与公司年审注册会计师就审计过程中</w:t>
      </w:r>
      <w:r>
        <w:rPr/>
        <w:t> 发现的问题以及审计报告提交的时间进行了沟通和交流，先后发送了三次审计报告督促</w:t>
      </w:r>
      <w:r>
        <w:rPr>
          <w:spacing w:val="-47"/>
        </w:rPr>
        <w:t> </w:t>
      </w:r>
      <w:r>
        <w:rPr>
          <w:spacing w:val="-47"/>
        </w:rPr>
      </w:r>
      <w:r>
        <w:rPr/>
        <w:t>函，督促会计师事务所按照拟定的审计工作计划安排，在约定的时间内提交审计报告。</w:t>
      </w:r>
    </w:p>
    <w:p>
      <w:pPr>
        <w:spacing w:line="240" w:lineRule="auto" w:before="7"/>
        <w:rPr>
          <w:rFonts w:ascii="宋体" w:hAnsi="宋体" w:cs="宋体" w:eastAsia="宋体" w:hint="default"/>
          <w:sz w:val="23"/>
          <w:szCs w:val="23"/>
        </w:rPr>
      </w:pPr>
    </w:p>
    <w:p>
      <w:pPr>
        <w:pStyle w:val="BodyText"/>
        <w:spacing w:line="240" w:lineRule="auto"/>
        <w:ind w:right="0"/>
        <w:jc w:val="both"/>
      </w:pPr>
      <w:r>
        <w:rPr/>
        <w:t>(3)召开了公司董事会审计委员会第四届第四次会议，讨论通过了如下决议：</w:t>
      </w:r>
    </w:p>
    <w:p>
      <w:pPr>
        <w:spacing w:line="240" w:lineRule="auto" w:before="1"/>
        <w:rPr>
          <w:rFonts w:ascii="宋体" w:hAnsi="宋体" w:cs="宋体" w:eastAsia="宋体" w:hint="default"/>
          <w:sz w:val="26"/>
          <w:szCs w:val="26"/>
        </w:rPr>
      </w:pPr>
    </w:p>
    <w:p>
      <w:pPr>
        <w:pStyle w:val="BodyText"/>
        <w:spacing w:line="310" w:lineRule="exact"/>
        <w:ind w:right="140"/>
        <w:jc w:val="both"/>
      </w:pPr>
      <w:r>
        <w:rPr/>
        <w:t>审阅了信永中和会计师事务所审计的</w:t>
      </w:r>
      <w:r>
        <w:rPr>
          <w:spacing w:val="-79"/>
        </w:rPr>
        <w:t> </w:t>
      </w:r>
      <w:r>
        <w:rPr/>
        <w:t>2008</w:t>
      </w:r>
      <w:r>
        <w:rPr>
          <w:spacing w:val="-79"/>
        </w:rPr>
        <w:t> </w:t>
      </w:r>
      <w:r>
        <w:rPr/>
        <w:t>年同方股份有限公司财务会计报表，并形成如</w:t>
      </w:r>
      <w:r>
        <w:rPr/>
        <w:t> 下意见：</w:t>
      </w:r>
    </w:p>
    <w:p>
      <w:pPr>
        <w:spacing w:line="240" w:lineRule="auto" w:before="8"/>
        <w:rPr>
          <w:rFonts w:ascii="宋体" w:hAnsi="宋体" w:cs="宋体" w:eastAsia="宋体" w:hint="default"/>
          <w:sz w:val="21"/>
          <w:szCs w:val="21"/>
        </w:rPr>
      </w:pPr>
    </w:p>
    <w:p>
      <w:pPr>
        <w:pStyle w:val="BodyText"/>
        <w:spacing w:line="237" w:lineRule="auto"/>
        <w:ind w:right="140"/>
        <w:jc w:val="both"/>
      </w:pPr>
      <w:r>
        <w:rPr/>
        <w:t>同方股份有限公司编制的财务会计报表已经按照企业会计准则和《企业会计制度》的规</w:t>
      </w:r>
      <w:r>
        <w:rPr>
          <w:spacing w:val="-47"/>
        </w:rPr>
        <w:t> </w:t>
      </w:r>
      <w:r>
        <w:rPr>
          <w:spacing w:val="-47"/>
        </w:rPr>
      </w:r>
      <w:r>
        <w:rPr/>
        <w:t>定编制，在所有重大方面公允反映了公司</w:t>
      </w:r>
      <w:r>
        <w:rPr>
          <w:spacing w:val="-51"/>
        </w:rPr>
        <w:t> </w:t>
      </w:r>
      <w:r>
        <w:rPr/>
        <w:t>2008</w:t>
      </w:r>
      <w:r>
        <w:rPr>
          <w:spacing w:val="-51"/>
        </w:rPr>
        <w:t> </w:t>
      </w:r>
      <w:r>
        <w:rPr/>
        <w:t>年</w:t>
      </w:r>
      <w:r>
        <w:rPr>
          <w:spacing w:val="-51"/>
        </w:rPr>
        <w:t> </w:t>
      </w:r>
      <w:r>
        <w:rPr/>
        <w:t>12</w:t>
      </w:r>
      <w:r>
        <w:rPr>
          <w:spacing w:val="-50"/>
        </w:rPr>
        <w:t> </w:t>
      </w:r>
      <w:r>
        <w:rPr/>
        <w:t>月</w:t>
      </w:r>
      <w:r>
        <w:rPr>
          <w:spacing w:val="-50"/>
        </w:rPr>
        <w:t> </w:t>
      </w:r>
      <w:r>
        <w:rPr/>
        <w:t>31</w:t>
      </w:r>
      <w:r>
        <w:rPr>
          <w:spacing w:val="-51"/>
        </w:rPr>
        <w:t> </w:t>
      </w:r>
      <w:r>
        <w:rPr/>
        <w:t>日的财务状况以及</w:t>
      </w:r>
      <w:r>
        <w:rPr>
          <w:spacing w:val="-51"/>
        </w:rPr>
        <w:t> </w:t>
      </w:r>
      <w:r>
        <w:rPr/>
        <w:t>2008</w:t>
      </w:r>
      <w:r>
        <w:rPr>
          <w:spacing w:val="-51"/>
        </w:rPr>
        <w:t> </w:t>
      </w:r>
      <w:r>
        <w:rPr/>
        <w:t>年度</w:t>
      </w:r>
      <w:r>
        <w:rPr/>
        <w:t> 的经营成果和现金流量。该财务会计报表已经信永中和会计师事务所审计并出具了标准</w:t>
      </w:r>
      <w:r>
        <w:rPr>
          <w:spacing w:val="-47"/>
        </w:rPr>
        <w:t> </w:t>
      </w:r>
      <w:r>
        <w:rPr>
          <w:spacing w:val="-47"/>
        </w:rPr>
      </w:r>
      <w:r>
        <w:rPr/>
        <w:t>无保留意见的审计报告，同意将该财务会计报表及审计报告提交董事会审核。</w:t>
      </w:r>
    </w:p>
    <w:p>
      <w:pPr>
        <w:spacing w:line="240" w:lineRule="auto" w:before="8"/>
        <w:rPr>
          <w:rFonts w:ascii="宋体" w:hAnsi="宋体" w:cs="宋体" w:eastAsia="宋体" w:hint="default"/>
          <w:sz w:val="23"/>
          <w:szCs w:val="23"/>
        </w:rPr>
      </w:pPr>
    </w:p>
    <w:p>
      <w:pPr>
        <w:pStyle w:val="BodyText"/>
        <w:spacing w:line="312" w:lineRule="exact"/>
        <w:ind w:right="0"/>
        <w:jc w:val="both"/>
      </w:pPr>
      <w:r>
        <w:rPr/>
        <w:t>此外，委员会还审阅了信永中和会计师事务所的</w:t>
      </w:r>
      <w:r>
        <w:rPr>
          <w:spacing w:val="-80"/>
        </w:rPr>
        <w:t> </w:t>
      </w:r>
      <w:r>
        <w:rPr/>
        <w:t>2008</w:t>
      </w:r>
      <w:r>
        <w:rPr>
          <w:spacing w:val="-80"/>
        </w:rPr>
        <w:t> </w:t>
      </w:r>
      <w:r>
        <w:rPr/>
        <w:t>年度公司审计工作总结报告，同意</w:t>
      </w:r>
    </w:p>
    <w:p>
      <w:pPr>
        <w:pStyle w:val="BodyText"/>
        <w:spacing w:line="311" w:lineRule="exact"/>
        <w:ind w:right="0"/>
        <w:jc w:val="both"/>
      </w:pPr>
      <w:r>
        <w:rPr/>
        <w:t>将该审计工作总结报告提交董事会审核</w:t>
      </w:r>
      <w:r>
        <w:rPr>
          <w:spacing w:val="-110"/>
        </w:rPr>
        <w:t>；</w:t>
      </w:r>
      <w:r>
        <w:rPr/>
        <w:t>通过</w:t>
      </w:r>
      <w:r>
        <w:rPr>
          <w:spacing w:val="-110"/>
        </w:rPr>
        <w:t>了</w:t>
      </w:r>
      <w:r>
        <w:rPr/>
        <w:t>《续聘信永中和会计师事务所任公司</w:t>
      </w:r>
      <w:r>
        <w:rPr>
          <w:spacing w:val="-60"/>
        </w:rPr>
        <w:t> </w:t>
      </w:r>
      <w:r>
        <w:rPr/>
        <w:t>2009</w:t>
      </w:r>
    </w:p>
    <w:p>
      <w:pPr>
        <w:pStyle w:val="BodyText"/>
        <w:spacing w:line="311" w:lineRule="exact"/>
        <w:ind w:right="0"/>
        <w:jc w:val="both"/>
      </w:pPr>
      <w:r>
        <w:rPr/>
        <w:t>年审计服务机构的议案</w:t>
      </w:r>
      <w:r>
        <w:rPr>
          <w:spacing w:val="-120"/>
        </w:rPr>
        <w:t>》</w:t>
      </w:r>
      <w:r>
        <w:rPr/>
        <w:t>，同意将该议案提交董事会审核；通过了《关于</w:t>
      </w:r>
      <w:r>
        <w:rPr>
          <w:spacing w:val="-20"/>
        </w:rPr>
        <w:t> </w:t>
      </w:r>
      <w:r>
        <w:rPr/>
        <w:t>2008</w:t>
      </w:r>
      <w:r>
        <w:rPr>
          <w:spacing w:val="-21"/>
        </w:rPr>
        <w:t> </w:t>
      </w:r>
      <w:r>
        <w:rPr/>
        <w:t>年度日常</w:t>
      </w:r>
    </w:p>
    <w:p>
      <w:pPr>
        <w:pStyle w:val="BodyText"/>
        <w:spacing w:line="237" w:lineRule="auto" w:before="1"/>
        <w:ind w:right="143"/>
        <w:jc w:val="both"/>
      </w:pPr>
      <w:r>
        <w:rPr>
          <w:spacing w:val="-1"/>
        </w:rPr>
        <w:t>关联交易执行情况以及</w:t>
      </w:r>
      <w:r>
        <w:rPr>
          <w:spacing w:val="-10"/>
        </w:rPr>
        <w:t> </w:t>
      </w:r>
      <w:r>
        <w:rPr>
          <w:spacing w:val="-1"/>
        </w:rPr>
        <w:t>2009</w:t>
      </w:r>
      <w:r>
        <w:rPr>
          <w:spacing w:val="-10"/>
        </w:rPr>
        <w:t> </w:t>
      </w:r>
      <w:r>
        <w:rPr>
          <w:spacing w:val="-6"/>
        </w:rPr>
        <w:t>年度日常关联交易预计的议案》，同意将该议案提交董事会</w:t>
      </w:r>
      <w:r>
        <w:rPr>
          <w:spacing w:val="-117"/>
        </w:rPr>
        <w:t> </w:t>
      </w:r>
      <w:r>
        <w:rPr>
          <w:spacing w:val="-117"/>
        </w:rPr>
      </w:r>
      <w:r>
        <w:rPr>
          <w:spacing w:val="-5"/>
        </w:rPr>
        <w:t>审核；通过了《关于修订董事会审计委员会年度报告工作制度的议案》，同意将该议案提</w:t>
      </w:r>
      <w:r>
        <w:rPr>
          <w:spacing w:val="-87"/>
        </w:rPr>
        <w:t> </w:t>
      </w:r>
      <w:r>
        <w:rPr>
          <w:spacing w:val="-87"/>
        </w:rPr>
      </w:r>
      <w:r>
        <w:rPr/>
        <w:t>交董事会审议。</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t>4、董事会薪酬与考核委员会履职情况报告</w:t>
      </w:r>
      <w:r>
        <w:rPr>
          <w:b w:val="0"/>
          <w:bCs w:val="0"/>
        </w:rPr>
      </w:r>
    </w:p>
    <w:p>
      <w:pPr>
        <w:spacing w:after="0" w:line="240" w:lineRule="auto"/>
        <w:jc w:val="both"/>
        <w:sectPr>
          <w:pgSz w:w="11910" w:h="16840"/>
          <w:pgMar w:header="610" w:footer="764" w:top="1080" w:bottom="960" w:left="128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240" w:lineRule="auto" w:before="26"/>
        <w:ind w:right="0"/>
        <w:jc w:val="both"/>
      </w:pPr>
      <w:r>
        <w:rPr/>
        <w:t>召开了公司董事会薪酬与考核委员会第四届第二次会议，讨论通过了如下决议：</w:t>
      </w:r>
    </w:p>
    <w:p>
      <w:pPr>
        <w:spacing w:line="240" w:lineRule="auto" w:before="8"/>
        <w:rPr>
          <w:rFonts w:ascii="宋体" w:hAnsi="宋体" w:cs="宋体" w:eastAsia="宋体" w:hint="default"/>
          <w:sz w:val="23"/>
          <w:szCs w:val="23"/>
        </w:rPr>
      </w:pPr>
    </w:p>
    <w:p>
      <w:pPr>
        <w:pStyle w:val="BodyText"/>
        <w:spacing w:line="312" w:lineRule="exact"/>
        <w:ind w:right="0"/>
        <w:jc w:val="both"/>
      </w:pPr>
      <w:r>
        <w:rPr/>
        <w:t>公司 2008</w:t>
      </w:r>
      <w:r>
        <w:rPr>
          <w:spacing w:val="-96"/>
        </w:rPr>
        <w:t> </w:t>
      </w:r>
      <w:r>
        <w:rPr>
          <w:spacing w:val="-3"/>
        </w:rPr>
        <w:t>年度能严格按照高管薪酬和有关考核制度执行，制定的考核制度及薪酬发放的</w:t>
      </w:r>
      <w:r>
        <w:rPr/>
      </w:r>
    </w:p>
    <w:p>
      <w:pPr>
        <w:pStyle w:val="BodyText"/>
        <w:spacing w:line="311" w:lineRule="exact"/>
        <w:ind w:right="0"/>
        <w:jc w:val="both"/>
      </w:pPr>
      <w:r>
        <w:rPr>
          <w:spacing w:val="-3"/>
        </w:rPr>
        <w:t>程序符合有关法律法规及公司章程的规定，同意在公司</w:t>
      </w:r>
      <w:r>
        <w:rPr>
          <w:spacing w:val="-63"/>
        </w:rPr>
        <w:t> </w:t>
      </w:r>
      <w:r>
        <w:rPr/>
        <w:t>2008</w:t>
      </w:r>
      <w:r>
        <w:rPr>
          <w:spacing w:val="-63"/>
        </w:rPr>
        <w:t> </w:t>
      </w:r>
      <w:r>
        <w:rPr/>
        <w:t>年年度报告中披露高管从公</w:t>
      </w:r>
    </w:p>
    <w:p>
      <w:pPr>
        <w:pStyle w:val="BodyText"/>
        <w:spacing w:line="237" w:lineRule="auto" w:before="1"/>
        <w:ind w:right="140"/>
        <w:jc w:val="both"/>
      </w:pPr>
      <w:r>
        <w:rPr/>
        <w:t>司领取的税前报酬总额。独立董事的薪酬仅采用津贴方式，同意在公司</w:t>
      </w:r>
      <w:r>
        <w:rPr>
          <w:spacing w:val="-79"/>
        </w:rPr>
        <w:t> </w:t>
      </w:r>
      <w:r>
        <w:rPr/>
        <w:t>2008</w:t>
      </w:r>
      <w:r>
        <w:rPr>
          <w:spacing w:val="-79"/>
        </w:rPr>
        <w:t> </w:t>
      </w:r>
      <w:r>
        <w:rPr/>
        <w:t>年年度报告</w:t>
      </w:r>
      <w:r>
        <w:rPr/>
        <w:t> 中披露独立董事从公司领取的税前报酬。并同意将《关于对公司董事、监事、高级管理</w:t>
      </w:r>
      <w:r>
        <w:rPr>
          <w:spacing w:val="-47"/>
        </w:rPr>
        <w:t> </w:t>
      </w:r>
      <w:r>
        <w:rPr>
          <w:spacing w:val="-47"/>
        </w:rPr>
      </w:r>
      <w:r>
        <w:rPr/>
        <w:t>人员</w:t>
      </w:r>
      <w:r>
        <w:rPr>
          <w:spacing w:val="-40"/>
        </w:rPr>
        <w:t> </w:t>
      </w:r>
      <w:r>
        <w:rPr/>
        <w:t>2008</w:t>
      </w:r>
      <w:r>
        <w:rPr>
          <w:spacing w:val="-40"/>
        </w:rPr>
        <w:t> </w:t>
      </w:r>
      <w:r>
        <w:rPr/>
        <w:t>年度所披露薪酬的审核意见及</w:t>
      </w:r>
      <w:r>
        <w:rPr>
          <w:spacing w:val="-40"/>
        </w:rPr>
        <w:t> </w:t>
      </w:r>
      <w:r>
        <w:rPr/>
        <w:t>2009</w:t>
      </w:r>
      <w:r>
        <w:rPr>
          <w:spacing w:val="-40"/>
        </w:rPr>
        <w:t> </w:t>
      </w:r>
      <w:r>
        <w:rPr/>
        <w:t>年高管人员年薪的核定方案》提交董事会</w:t>
      </w:r>
      <w:r>
        <w:rPr/>
        <w:t> 审议。</w:t>
      </w:r>
    </w:p>
    <w:p>
      <w:pPr>
        <w:spacing w:line="240" w:lineRule="auto" w:before="13"/>
        <w:rPr>
          <w:rFonts w:ascii="宋体" w:hAnsi="宋体" w:cs="宋体" w:eastAsia="宋体" w:hint="default"/>
          <w:sz w:val="22"/>
          <w:szCs w:val="22"/>
        </w:rPr>
      </w:pPr>
    </w:p>
    <w:p>
      <w:pPr>
        <w:pStyle w:val="Heading2"/>
        <w:spacing w:line="240" w:lineRule="auto"/>
        <w:ind w:left="138" w:right="0"/>
        <w:jc w:val="both"/>
        <w:rPr>
          <w:b w:val="0"/>
          <w:bCs w:val="0"/>
        </w:rPr>
      </w:pPr>
      <w:r>
        <w:rPr/>
        <w:t>(八)本年度利润分配预案</w:t>
      </w:r>
      <w:r>
        <w:rPr>
          <w:b w:val="0"/>
          <w:bCs w:val="0"/>
        </w:rPr>
      </w:r>
    </w:p>
    <w:p>
      <w:pPr>
        <w:spacing w:line="240" w:lineRule="auto" w:before="2"/>
        <w:rPr>
          <w:rFonts w:ascii="宋体" w:hAnsi="宋体" w:cs="宋体" w:eastAsia="宋体" w:hint="default"/>
          <w:b/>
          <w:bCs/>
          <w:sz w:val="21"/>
          <w:szCs w:val="21"/>
        </w:rPr>
      </w:pPr>
    </w:p>
    <w:p>
      <w:pPr>
        <w:pStyle w:val="BodyText"/>
        <w:spacing w:line="312" w:lineRule="exact"/>
        <w:ind w:right="0"/>
        <w:jc w:val="both"/>
      </w:pPr>
      <w:r>
        <w:rPr>
          <w:spacing w:val="6"/>
        </w:rPr>
        <w:t>根据公司 </w:t>
      </w:r>
      <w:r>
        <w:rPr/>
        <w:t>2008 </w:t>
      </w:r>
      <w:r>
        <w:rPr>
          <w:spacing w:val="9"/>
        </w:rPr>
        <w:t>年度财务审计报告，公司在 </w:t>
      </w:r>
      <w:r>
        <w:rPr/>
        <w:t>2008</w:t>
      </w:r>
      <w:r>
        <w:rPr>
          <w:spacing w:val="24"/>
        </w:rPr>
        <w:t> </w:t>
      </w:r>
      <w:r>
        <w:rPr>
          <w:spacing w:val="10"/>
        </w:rPr>
        <w:t>年实现归属于母公司股东的净利润</w:t>
      </w:r>
      <w:r>
        <w:rPr/>
      </w:r>
    </w:p>
    <w:p>
      <w:pPr>
        <w:pStyle w:val="BodyText"/>
        <w:spacing w:line="311" w:lineRule="exact"/>
        <w:ind w:right="0"/>
        <w:jc w:val="both"/>
      </w:pPr>
      <w:r>
        <w:rPr/>
        <w:t>251,426,820.71</w:t>
      </w:r>
      <w:r>
        <w:rPr>
          <w:spacing w:val="-40"/>
        </w:rPr>
        <w:t> </w:t>
      </w:r>
      <w:r>
        <w:rPr/>
        <w:t>元，提取</w:t>
      </w:r>
      <w:r>
        <w:rPr>
          <w:spacing w:val="-40"/>
        </w:rPr>
        <w:t> </w:t>
      </w:r>
      <w:r>
        <w:rPr/>
        <w:t>10%的法定公积金</w:t>
      </w:r>
      <w:r>
        <w:rPr>
          <w:spacing w:val="-40"/>
        </w:rPr>
        <w:t> </w:t>
      </w:r>
      <w:r>
        <w:rPr/>
        <w:t>25,142,682.07</w:t>
      </w:r>
      <w:r>
        <w:rPr>
          <w:spacing w:val="-40"/>
        </w:rPr>
        <w:t> </w:t>
      </w:r>
      <w:r>
        <w:rPr/>
        <w:t>元后，累计未分配利润共计</w:t>
      </w:r>
    </w:p>
    <w:p>
      <w:pPr>
        <w:pStyle w:val="BodyText"/>
        <w:spacing w:line="313" w:lineRule="exact"/>
        <w:ind w:right="0"/>
        <w:jc w:val="both"/>
      </w:pPr>
      <w:r>
        <w:rPr/>
        <w:t>1,173,974,447.56</w:t>
      </w:r>
      <w:r>
        <w:rPr>
          <w:spacing w:val="-60"/>
        </w:rPr>
        <w:t> </w:t>
      </w:r>
      <w:r>
        <w:rPr/>
        <w:t>元。</w:t>
      </w:r>
    </w:p>
    <w:p>
      <w:pPr>
        <w:spacing w:line="240" w:lineRule="auto" w:before="7"/>
        <w:rPr>
          <w:rFonts w:ascii="宋体" w:hAnsi="宋体" w:cs="宋体" w:eastAsia="宋体" w:hint="default"/>
          <w:sz w:val="23"/>
          <w:szCs w:val="23"/>
        </w:rPr>
      </w:pPr>
    </w:p>
    <w:p>
      <w:pPr>
        <w:pStyle w:val="BodyText"/>
        <w:spacing w:line="313" w:lineRule="exact"/>
        <w:ind w:right="0"/>
        <w:jc w:val="both"/>
      </w:pPr>
      <w:r>
        <w:rPr/>
        <w:t>公司董事会拟定的分配方案为：以</w:t>
      </w:r>
      <w:r>
        <w:rPr>
          <w:spacing w:val="-62"/>
        </w:rPr>
        <w:t> </w:t>
      </w:r>
      <w:r>
        <w:rPr/>
        <w:t>2008</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日总股本</w:t>
      </w:r>
      <w:r>
        <w:rPr>
          <w:spacing w:val="-62"/>
        </w:rPr>
        <w:t> </w:t>
      </w:r>
      <w:r>
        <w:rPr/>
        <w:t>976,970,554</w:t>
      </w:r>
      <w:r>
        <w:rPr>
          <w:spacing w:val="-62"/>
        </w:rPr>
        <w:t> </w:t>
      </w:r>
      <w:r>
        <w:rPr>
          <w:spacing w:val="-4"/>
        </w:rPr>
        <w:t>股为基准，向</w:t>
      </w:r>
    </w:p>
    <w:p>
      <w:pPr>
        <w:pStyle w:val="BodyText"/>
        <w:spacing w:line="311" w:lineRule="exact"/>
        <w:ind w:right="0"/>
        <w:jc w:val="both"/>
      </w:pPr>
      <w:r>
        <w:rPr/>
        <w:t>全体股东以每</w:t>
      </w:r>
      <w:r>
        <w:rPr>
          <w:spacing w:val="-59"/>
        </w:rPr>
        <w:t> </w:t>
      </w:r>
      <w:r>
        <w:rPr/>
        <w:t>10</w:t>
      </w:r>
      <w:r>
        <w:rPr>
          <w:spacing w:val="-59"/>
        </w:rPr>
        <w:t> </w:t>
      </w:r>
      <w:r>
        <w:rPr/>
        <w:t>股派送现金红利</w:t>
      </w:r>
      <w:r>
        <w:rPr>
          <w:spacing w:val="-59"/>
        </w:rPr>
        <w:t> </w:t>
      </w:r>
      <w:r>
        <w:rPr/>
        <w:t>0.7</w:t>
      </w:r>
      <w:r>
        <w:rPr>
          <w:spacing w:val="-59"/>
        </w:rPr>
        <w:t> </w:t>
      </w:r>
      <w:r>
        <w:rPr>
          <w:spacing w:val="-3"/>
        </w:rPr>
        <w:t>元(含税)，共计</w:t>
      </w:r>
      <w:r>
        <w:rPr>
          <w:spacing w:val="-59"/>
        </w:rPr>
        <w:t> </w:t>
      </w:r>
      <w:r>
        <w:rPr/>
        <w:t>68,387,938.78</w:t>
      </w:r>
      <w:r>
        <w:rPr>
          <w:spacing w:val="-59"/>
        </w:rPr>
        <w:t> </w:t>
      </w:r>
      <w:r>
        <w:rPr>
          <w:spacing w:val="-3"/>
        </w:rPr>
        <w:t>元，尚余可供分配</w:t>
      </w:r>
    </w:p>
    <w:p>
      <w:pPr>
        <w:pStyle w:val="BodyText"/>
        <w:spacing w:line="475" w:lineRule="auto"/>
        <w:ind w:right="2246"/>
        <w:jc w:val="left"/>
      </w:pPr>
      <w:r>
        <w:rPr/>
        <w:t>的利润</w:t>
      </w:r>
      <w:r>
        <w:rPr>
          <w:spacing w:val="-60"/>
        </w:rPr>
        <w:t> </w:t>
      </w:r>
      <w:r>
        <w:rPr/>
        <w:t>1,105,586,508.78</w:t>
      </w:r>
      <w:r>
        <w:rPr>
          <w:spacing w:val="-60"/>
        </w:rPr>
        <w:t> </w:t>
      </w:r>
      <w:r>
        <w:rPr/>
        <w:t>元留待以后年度分配。资本公积不转增。</w:t>
      </w:r>
      <w:r>
        <w:rPr/>
        <w:t> 公司前三年分红情况：</w:t>
      </w:r>
    </w:p>
    <w:p>
      <w:pPr>
        <w:spacing w:line="240" w:lineRule="auto" w:before="8"/>
        <w:rPr>
          <w:rFonts w:ascii="宋体" w:hAnsi="宋体" w:cs="宋体" w:eastAsia="宋体" w:hint="default"/>
          <w:sz w:val="8"/>
          <w:szCs w:val="8"/>
        </w:rPr>
      </w:pPr>
    </w:p>
    <w:tbl>
      <w:tblPr>
        <w:tblW w:w="0" w:type="auto"/>
        <w:jc w:val="left"/>
        <w:tblInd w:w="438" w:type="dxa"/>
        <w:tblLayout w:type="fixed"/>
        <w:tblCellMar>
          <w:top w:w="0" w:type="dxa"/>
          <w:left w:w="0" w:type="dxa"/>
          <w:bottom w:w="0" w:type="dxa"/>
          <w:right w:w="0" w:type="dxa"/>
        </w:tblCellMar>
        <w:tblLook w:val="01E0"/>
      </w:tblPr>
      <w:tblGrid>
        <w:gridCol w:w="1909"/>
        <w:gridCol w:w="2354"/>
        <w:gridCol w:w="2354"/>
        <w:gridCol w:w="1951"/>
      </w:tblGrid>
      <w:tr>
        <w:trPr>
          <w:trHeight w:val="295" w:hRule="exact"/>
        </w:trPr>
        <w:tc>
          <w:tcPr>
            <w:tcW w:w="190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235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14"/>
              <w:jc w:val="right"/>
              <w:rPr>
                <w:rFonts w:ascii="宋体" w:hAnsi="宋体" w:cs="宋体" w:eastAsia="宋体" w:hint="default"/>
                <w:sz w:val="21"/>
                <w:szCs w:val="21"/>
              </w:rPr>
            </w:pPr>
            <w:r>
              <w:rPr>
                <w:rFonts w:ascii="宋体" w:hAnsi="宋体" w:cs="宋体" w:eastAsia="宋体" w:hint="default"/>
                <w:b/>
                <w:bCs/>
                <w:w w:val="95"/>
                <w:sz w:val="21"/>
                <w:szCs w:val="21"/>
              </w:rPr>
              <w:t>现金分红的数额(含税)</w:t>
            </w:r>
            <w:r>
              <w:rPr>
                <w:rFonts w:ascii="宋体" w:hAnsi="宋体" w:cs="宋体" w:eastAsia="宋体" w:hint="default"/>
                <w:sz w:val="21"/>
                <w:szCs w:val="21"/>
              </w:rPr>
            </w:r>
          </w:p>
        </w:tc>
        <w:tc>
          <w:tcPr>
            <w:tcW w:w="235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26" w:right="0"/>
              <w:jc w:val="left"/>
              <w:rPr>
                <w:rFonts w:ascii="宋体" w:hAnsi="宋体" w:cs="宋体" w:eastAsia="宋体" w:hint="default"/>
                <w:sz w:val="21"/>
                <w:szCs w:val="21"/>
              </w:rPr>
            </w:pPr>
            <w:r>
              <w:rPr>
                <w:rFonts w:ascii="宋体" w:hAnsi="宋体" w:cs="宋体" w:eastAsia="宋体" w:hint="default"/>
                <w:b/>
                <w:bCs/>
                <w:sz w:val="21"/>
                <w:szCs w:val="21"/>
              </w:rPr>
              <w:t>分红年度的净利润</w:t>
            </w:r>
            <w:r>
              <w:rPr>
                <w:rFonts w:ascii="宋体" w:hAnsi="宋体" w:cs="宋体" w:eastAsia="宋体" w:hint="default"/>
                <w:sz w:val="21"/>
                <w:szCs w:val="21"/>
              </w:rPr>
            </w:r>
          </w:p>
        </w:tc>
        <w:tc>
          <w:tcPr>
            <w:tcW w:w="195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比率</w:t>
            </w:r>
            <w:r>
              <w:rPr>
                <w:rFonts w:ascii="宋体" w:hAnsi="宋体" w:cs="宋体" w:eastAsia="宋体" w:hint="default"/>
                <w:sz w:val="21"/>
                <w:szCs w:val="21"/>
              </w:rPr>
            </w:r>
          </w:p>
        </w:tc>
      </w:tr>
      <w:tr>
        <w:trPr>
          <w:trHeight w:val="287" w:hRule="exact"/>
        </w:trPr>
        <w:tc>
          <w:tcPr>
            <w:tcW w:w="19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57,461,229.50</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119,196,365.17</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48.21%</w:t>
            </w:r>
          </w:p>
        </w:tc>
      </w:tr>
      <w:tr>
        <w:trPr>
          <w:trHeight w:val="287" w:hRule="exact"/>
        </w:trPr>
        <w:tc>
          <w:tcPr>
            <w:tcW w:w="19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57,461,229.50</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158,532,790.13</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36.25%</w:t>
            </w:r>
          </w:p>
        </w:tc>
      </w:tr>
      <w:tr>
        <w:trPr>
          <w:trHeight w:val="296" w:hRule="exact"/>
        </w:trPr>
        <w:tc>
          <w:tcPr>
            <w:tcW w:w="190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5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60,121,264.88</w:t>
            </w:r>
          </w:p>
        </w:tc>
        <w:tc>
          <w:tcPr>
            <w:tcW w:w="235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440,062,725.55</w:t>
            </w:r>
          </w:p>
        </w:tc>
        <w:tc>
          <w:tcPr>
            <w:tcW w:w="195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13.64%</w:t>
            </w:r>
          </w:p>
        </w:tc>
      </w:tr>
    </w:tbl>
    <w:p>
      <w:pPr>
        <w:spacing w:line="240" w:lineRule="auto" w:before="3"/>
        <w:rPr>
          <w:rFonts w:ascii="宋体" w:hAnsi="宋体" w:cs="宋体" w:eastAsia="宋体" w:hint="default"/>
          <w:sz w:val="19"/>
          <w:szCs w:val="19"/>
        </w:rPr>
      </w:pPr>
    </w:p>
    <w:p>
      <w:pPr>
        <w:pStyle w:val="Heading2"/>
        <w:spacing w:line="240" w:lineRule="auto" w:before="13"/>
        <w:ind w:left="138" w:right="0"/>
        <w:jc w:val="both"/>
        <w:rPr>
          <w:b w:val="0"/>
          <w:bCs w:val="0"/>
        </w:rPr>
      </w:pPr>
      <w:r>
        <w:rPr/>
        <w:t>(九)其他报告事项</w:t>
      </w:r>
      <w:r>
        <w:rPr>
          <w:b w:val="0"/>
          <w:bCs w:val="0"/>
        </w:rPr>
      </w:r>
    </w:p>
    <w:p>
      <w:pPr>
        <w:spacing w:line="240" w:lineRule="auto" w:before="2"/>
        <w:rPr>
          <w:rFonts w:ascii="宋体" w:hAnsi="宋体" w:cs="宋体" w:eastAsia="宋体" w:hint="default"/>
          <w:b/>
          <w:bCs/>
          <w:sz w:val="21"/>
          <w:szCs w:val="21"/>
        </w:rPr>
      </w:pPr>
    </w:p>
    <w:p>
      <w:pPr>
        <w:pStyle w:val="BodyText"/>
        <w:spacing w:line="240" w:lineRule="auto"/>
        <w:ind w:right="0"/>
        <w:jc w:val="both"/>
      </w:pPr>
      <w:r>
        <w:rPr/>
        <w:t>1、本年度聘请会计师事务所：信永中和会计师事务所有限公司。</w:t>
      </w:r>
    </w:p>
    <w:p>
      <w:pPr>
        <w:spacing w:line="240" w:lineRule="auto" w:before="8"/>
        <w:rPr>
          <w:rFonts w:ascii="宋体" w:hAnsi="宋体" w:cs="宋体" w:eastAsia="宋体" w:hint="default"/>
          <w:sz w:val="23"/>
          <w:szCs w:val="23"/>
        </w:rPr>
      </w:pPr>
    </w:p>
    <w:p>
      <w:pPr>
        <w:pStyle w:val="BodyText"/>
        <w:spacing w:line="240" w:lineRule="auto"/>
        <w:ind w:right="0"/>
        <w:jc w:val="both"/>
      </w:pPr>
      <w:r>
        <w:rPr/>
        <w:t>2、本年度指定的信息披露报刊：中国证券报、上海证券报。</w:t>
      </w:r>
    </w:p>
    <w:p>
      <w:pPr>
        <w:spacing w:line="240" w:lineRule="auto" w:before="7"/>
        <w:rPr>
          <w:rFonts w:ascii="宋体" w:hAnsi="宋体" w:cs="宋体" w:eastAsia="宋体" w:hint="default"/>
          <w:sz w:val="23"/>
          <w:szCs w:val="23"/>
        </w:rPr>
      </w:pPr>
    </w:p>
    <w:p>
      <w:pPr>
        <w:pStyle w:val="BodyText"/>
        <w:spacing w:line="240" w:lineRule="auto"/>
        <w:ind w:right="0"/>
        <w:jc w:val="both"/>
      </w:pPr>
      <w:r>
        <w:rPr/>
        <w:t>3、独立董事对公司累计和当期对外担保情况的专项说明及独立意见</w:t>
      </w:r>
    </w:p>
    <w:p>
      <w:pPr>
        <w:spacing w:line="240" w:lineRule="auto" w:before="11"/>
        <w:rPr>
          <w:rFonts w:ascii="宋体" w:hAnsi="宋体" w:cs="宋体" w:eastAsia="宋体" w:hint="default"/>
          <w:sz w:val="23"/>
          <w:szCs w:val="23"/>
        </w:rPr>
      </w:pPr>
    </w:p>
    <w:p>
      <w:pPr>
        <w:pStyle w:val="BodyText"/>
        <w:spacing w:line="237" w:lineRule="auto"/>
        <w:ind w:right="140"/>
        <w:jc w:val="both"/>
      </w:pPr>
      <w:r>
        <w:rPr>
          <w:spacing w:val="-2"/>
        </w:rPr>
        <w:t>我们做为同方股份有限公司的独立董事，根据中国证券监督管理委员会证监发[2005]120</w:t>
      </w:r>
      <w:r>
        <w:rPr>
          <w:spacing w:val="-115"/>
        </w:rPr>
        <w:t> </w:t>
      </w:r>
      <w:r>
        <w:rPr>
          <w:spacing w:val="-115"/>
        </w:rPr>
      </w:r>
      <w:r>
        <w:rPr>
          <w:spacing w:val="-6"/>
        </w:rPr>
        <w:t>号文《关于规范上市公司对外担保行为的通知》、证监发[2003]56</w:t>
      </w:r>
      <w:r>
        <w:rPr>
          <w:spacing w:val="-56"/>
        </w:rPr>
        <w:t> </w:t>
      </w:r>
      <w:r>
        <w:rPr>
          <w:spacing w:val="-5"/>
        </w:rPr>
        <w:t>号文《关于规范上市公</w:t>
      </w:r>
      <w:r>
        <w:rPr>
          <w:spacing w:val="-117"/>
        </w:rPr>
        <w:t> </w:t>
      </w:r>
      <w:r>
        <w:rPr>
          <w:spacing w:val="-117"/>
        </w:rPr>
      </w:r>
      <w:r>
        <w:rPr/>
        <w:t>司与关联资金往来及上市公司对外担保若干问题的通知》的有关规定，在审阅了公司提</w:t>
      </w:r>
      <w:r>
        <w:rPr>
          <w:spacing w:val="-47"/>
        </w:rPr>
        <w:t> </w:t>
      </w:r>
      <w:r>
        <w:rPr>
          <w:spacing w:val="-47"/>
        </w:rPr>
      </w:r>
      <w:r>
        <w:rPr/>
        <w:t>供的相关资料并作了必要的询问后，基于个人独立判断，现就公司及其控股子公司累计</w:t>
      </w:r>
      <w:r>
        <w:rPr>
          <w:spacing w:val="-47"/>
        </w:rPr>
        <w:t> </w:t>
      </w:r>
      <w:r>
        <w:rPr>
          <w:spacing w:val="-47"/>
        </w:rPr>
      </w:r>
      <w:r>
        <w:rPr/>
        <w:t>和当其对外担保情况、执行证监发[2005]120 号文和证监发[2003]56</w:t>
      </w:r>
      <w:r>
        <w:rPr>
          <w:spacing w:val="-40"/>
        </w:rPr>
        <w:t> </w:t>
      </w:r>
      <w:r>
        <w:rPr/>
        <w:t>号文规定情况作如</w:t>
      </w:r>
      <w:r>
        <w:rPr/>
        <w:t> 下专项说明和独立意见：</w:t>
      </w:r>
    </w:p>
    <w:p>
      <w:pPr>
        <w:spacing w:line="240" w:lineRule="auto" w:before="8"/>
        <w:rPr>
          <w:rFonts w:ascii="宋体" w:hAnsi="宋体" w:cs="宋体" w:eastAsia="宋体" w:hint="default"/>
          <w:sz w:val="23"/>
          <w:szCs w:val="23"/>
        </w:rPr>
      </w:pPr>
    </w:p>
    <w:p>
      <w:pPr>
        <w:pStyle w:val="BodyText"/>
        <w:spacing w:line="240" w:lineRule="auto"/>
        <w:ind w:right="0"/>
        <w:jc w:val="both"/>
      </w:pPr>
      <w:r>
        <w:rPr/>
        <w:t>截止</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日，公司没有为控股股东及任何非法人单位或个人提供担保。</w:t>
      </w:r>
    </w:p>
    <w:p>
      <w:pPr>
        <w:spacing w:after="0" w:line="240" w:lineRule="auto"/>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93"/>
        <w:jc w:val="left"/>
      </w:pPr>
      <w:r>
        <w:rPr/>
        <w:t>截止</w:t>
      </w:r>
      <w:r>
        <w:rPr>
          <w:spacing w:val="-60"/>
        </w:rPr>
        <w:t> </w:t>
      </w:r>
      <w:r>
        <w:rPr>
          <w:spacing w:val="12"/>
        </w:rPr>
        <w:t>2008年</w:t>
      </w:r>
      <w:r>
        <w:rPr>
          <w:spacing w:val="-60"/>
        </w:rPr>
        <w:t> </w:t>
      </w:r>
      <w:r>
        <w:rPr>
          <w:spacing w:val="20"/>
        </w:rPr>
        <w:t>12月</w:t>
      </w:r>
      <w:r>
        <w:rPr>
          <w:spacing w:val="-60"/>
        </w:rPr>
        <w:t> </w:t>
      </w:r>
      <w:r>
        <w:rPr/>
        <w:t>31</w:t>
      </w:r>
      <w:r>
        <w:rPr>
          <w:spacing w:val="-60"/>
        </w:rPr>
        <w:t> </w:t>
      </w:r>
      <w:r>
        <w:rPr>
          <w:spacing w:val="-9"/>
        </w:rPr>
        <w:t>日，公司累计对外担保余额为</w:t>
      </w:r>
      <w:r>
        <w:rPr>
          <w:spacing w:val="-60"/>
        </w:rPr>
        <w:t> </w:t>
      </w:r>
      <w:r>
        <w:rPr/>
        <w:t>15.10</w:t>
      </w:r>
      <w:r>
        <w:rPr>
          <w:spacing w:val="-60"/>
        </w:rPr>
        <w:t> </w:t>
      </w:r>
      <w:r>
        <w:rPr>
          <w:spacing w:val="-11"/>
        </w:rPr>
        <w:t>亿元，占公司净资产的</w:t>
      </w:r>
      <w:r>
        <w:rPr>
          <w:spacing w:val="-60"/>
        </w:rPr>
        <w:t> </w:t>
      </w:r>
      <w:r>
        <w:rPr/>
        <w:t>21.29%。</w:t>
      </w:r>
      <w:r>
        <w:rPr/>
        <w:t> 与</w:t>
      </w:r>
      <w:r>
        <w:rPr>
          <w:spacing w:val="-47"/>
        </w:rPr>
        <w:t> </w:t>
      </w:r>
      <w:r>
        <w:rPr/>
        <w:t>2007</w:t>
      </w:r>
      <w:r>
        <w:rPr>
          <w:spacing w:val="-47"/>
        </w:rPr>
        <w:t> </w:t>
      </w:r>
      <w:r>
        <w:rPr/>
        <w:t>年公司对外担保余额</w:t>
      </w:r>
      <w:r>
        <w:rPr>
          <w:spacing w:val="-47"/>
        </w:rPr>
        <w:t> </w:t>
      </w:r>
      <w:r>
        <w:rPr/>
        <w:t>14.44</w:t>
      </w:r>
      <w:r>
        <w:rPr>
          <w:spacing w:val="-47"/>
        </w:rPr>
        <w:t> </w:t>
      </w:r>
      <w:r>
        <w:rPr/>
        <w:t>亿元相比，公司当期增加对外担保余额净值</w:t>
      </w:r>
      <w:r>
        <w:rPr>
          <w:spacing w:val="-47"/>
        </w:rPr>
        <w:t> </w:t>
      </w:r>
      <w:r>
        <w:rPr/>
        <w:t>0.66</w:t>
      </w:r>
      <w:r>
        <w:rPr>
          <w:spacing w:val="-46"/>
        </w:rPr>
        <w:t> </w:t>
      </w:r>
      <w:r>
        <w:rPr/>
        <w:t>亿</w:t>
      </w:r>
      <w:r>
        <w:rPr/>
        <w:t> 元。</w:t>
      </w:r>
    </w:p>
    <w:p>
      <w:pPr>
        <w:spacing w:after="0" w:line="310" w:lineRule="exact"/>
        <w:jc w:val="left"/>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978" w:lineRule="exact"/>
        <w:ind w:left="11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153pt;height:48.9pt;mso-position-horizontal-relative:char;mso-position-vertical-relative:line" coordorigin="0,0" coordsize="3060,978">
            <v:shape style="position:absolute;left:0;top:0;width:3060;height:978" type="#_x0000_t75" stroked="false">
              <v:imagedata r:id="rId23" o:title=""/>
            </v:shape>
            <v:group style="position:absolute;left:226;top:814;width:2633;height:2" coordorigin="226,814" coordsize="2633,2">
              <v:shape style="position:absolute;left:226;top:814;width:2633;height:2" coordorigin="226,814" coordsize="2633,2" path="m226,814l2858,815e" filled="false" stroked="true" strokeweight=".25pt" strokecolor="#000000">
                <v:path arrowok="t"/>
              </v:shape>
            </v:group>
            <v:group style="position:absolute;left:2843;top:289;width:2;height:526" coordorigin="2843,289" coordsize="2,526">
              <v:shape style="position:absolute;left:2843;top:289;width:2;height:526" coordorigin="2843,289" coordsize="2,526" path="m2843,289l2844,815e" filled="false" stroked="true" strokeweight=".25pt" strokecolor="#000000">
                <v:path arrowok="t"/>
              </v:shape>
              <v:shape style="position:absolute;left:0;top:0;width:3060;height:978" type="#_x0000_t202" filled="false" stroked="false">
                <v:textbox inset="0,0,0,0">
                  <w:txbxContent>
                    <w:p>
                      <w:pPr>
                        <w:spacing w:before="162"/>
                        <w:ind w:left="330" w:right="0" w:firstLine="0"/>
                        <w:jc w:val="left"/>
                        <w:rPr>
                          <w:rFonts w:ascii="黑体" w:hAnsi="黑体" w:cs="黑体" w:eastAsia="黑体" w:hint="default"/>
                          <w:sz w:val="30"/>
                          <w:szCs w:val="30"/>
                        </w:rPr>
                      </w:pPr>
                      <w:r>
                        <w:rPr>
                          <w:rFonts w:ascii="黑体" w:hAnsi="黑体" w:cs="黑体" w:eastAsia="黑体" w:hint="default"/>
                          <w:b/>
                          <w:bCs/>
                          <w:sz w:val="30"/>
                          <w:szCs w:val="30"/>
                        </w:rPr>
                        <w:t>八、监事会报告</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9"/>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13"/>
        <w:ind w:left="298" w:right="0"/>
        <w:jc w:val="both"/>
        <w:rPr>
          <w:b w:val="0"/>
          <w:bCs w:val="0"/>
        </w:rPr>
      </w:pPr>
      <w:r>
        <w:rPr/>
        <w:t>1、监事会年度工作简介</w:t>
      </w:r>
      <w:r>
        <w:rPr>
          <w:b w:val="0"/>
          <w:bCs w:val="0"/>
        </w:rPr>
      </w:r>
    </w:p>
    <w:p>
      <w:pPr>
        <w:spacing w:line="240" w:lineRule="auto" w:before="1"/>
        <w:rPr>
          <w:rFonts w:ascii="宋体" w:hAnsi="宋体" w:cs="宋体" w:eastAsia="宋体" w:hint="default"/>
          <w:b/>
          <w:bCs/>
          <w:sz w:val="21"/>
          <w:szCs w:val="21"/>
        </w:rPr>
      </w:pPr>
    </w:p>
    <w:p>
      <w:pPr>
        <w:pStyle w:val="BodyText"/>
        <w:spacing w:line="240" w:lineRule="auto"/>
        <w:ind w:left="298" w:right="0"/>
        <w:jc w:val="both"/>
      </w:pPr>
      <w:r>
        <w:rPr/>
        <w:t>(1)本报告年度共召开监事会六次，分别是：</w:t>
      </w:r>
    </w:p>
    <w:p>
      <w:pPr>
        <w:spacing w:line="240" w:lineRule="auto" w:before="12"/>
        <w:rPr>
          <w:rFonts w:ascii="宋体" w:hAnsi="宋体" w:cs="宋体" w:eastAsia="宋体" w:hint="default"/>
          <w:sz w:val="25"/>
          <w:szCs w:val="25"/>
        </w:rPr>
      </w:pPr>
    </w:p>
    <w:p>
      <w:pPr>
        <w:pStyle w:val="BodyText"/>
        <w:spacing w:line="312" w:lineRule="exact"/>
        <w:ind w:left="298" w:right="143"/>
        <w:jc w:val="both"/>
      </w:pPr>
      <w:r>
        <w:rPr/>
        <w:t>2008</w:t>
      </w:r>
      <w:r>
        <w:rPr>
          <w:spacing w:val="-58"/>
        </w:rPr>
        <w:t> </w:t>
      </w:r>
      <w:r>
        <w:rPr/>
        <w:t>年</w:t>
      </w:r>
      <w:r>
        <w:rPr>
          <w:spacing w:val="-58"/>
        </w:rPr>
        <w:t> </w:t>
      </w:r>
      <w:r>
        <w:rPr/>
        <w:t>3</w:t>
      </w:r>
      <w:r>
        <w:rPr>
          <w:spacing w:val="-57"/>
        </w:rPr>
        <w:t> </w:t>
      </w:r>
      <w:r>
        <w:rPr/>
        <w:t>月</w:t>
      </w:r>
      <w:r>
        <w:rPr>
          <w:spacing w:val="-58"/>
        </w:rPr>
        <w:t> </w:t>
      </w:r>
      <w:r>
        <w:rPr/>
        <w:t>27</w:t>
      </w:r>
      <w:r>
        <w:rPr>
          <w:spacing w:val="-57"/>
        </w:rPr>
        <w:t> </w:t>
      </w:r>
      <w:r>
        <w:rPr/>
        <w:t>日召开第四届监事会第四次会议，会议审议通过了公司</w:t>
      </w:r>
      <w:r>
        <w:rPr>
          <w:spacing w:val="-57"/>
        </w:rPr>
        <w:t> </w:t>
      </w:r>
      <w:r>
        <w:rPr/>
        <w:t>2007</w:t>
      </w:r>
      <w:r>
        <w:rPr>
          <w:spacing w:val="-58"/>
        </w:rPr>
        <w:t> </w:t>
      </w:r>
      <w:r>
        <w:rPr/>
        <w:t>年年度报告</w:t>
      </w:r>
      <w:r>
        <w:rPr/>
        <w:t> 正文及摘要、2007</w:t>
      </w:r>
      <w:r>
        <w:rPr>
          <w:spacing w:val="-60"/>
        </w:rPr>
        <w:t> </w:t>
      </w:r>
      <w:r>
        <w:rPr/>
        <w:t>年度监事会工作报告、对公司</w:t>
      </w:r>
      <w:r>
        <w:rPr>
          <w:spacing w:val="-60"/>
        </w:rPr>
        <w:t> </w:t>
      </w:r>
      <w:r>
        <w:rPr/>
        <w:t>2007</w:t>
      </w:r>
      <w:r>
        <w:rPr>
          <w:spacing w:val="-60"/>
        </w:rPr>
        <w:t> </w:t>
      </w:r>
      <w:r>
        <w:rPr/>
        <w:t>年年度报告的审核意见；</w:t>
      </w:r>
    </w:p>
    <w:p>
      <w:pPr>
        <w:spacing w:line="240" w:lineRule="auto" w:before="4"/>
        <w:rPr>
          <w:rFonts w:ascii="宋体" w:hAnsi="宋体" w:cs="宋体" w:eastAsia="宋体" w:hint="default"/>
          <w:sz w:val="21"/>
          <w:szCs w:val="21"/>
        </w:rPr>
      </w:pPr>
    </w:p>
    <w:p>
      <w:pPr>
        <w:pStyle w:val="BodyText"/>
        <w:spacing w:line="313" w:lineRule="exact"/>
        <w:ind w:left="298" w:right="0"/>
        <w:jc w:val="both"/>
      </w:pPr>
      <w:r>
        <w:rPr/>
        <w:t>2008</w:t>
      </w:r>
      <w:r>
        <w:rPr>
          <w:spacing w:val="-58"/>
        </w:rPr>
        <w:t> </w:t>
      </w:r>
      <w:r>
        <w:rPr/>
        <w:t>年</w:t>
      </w:r>
      <w:r>
        <w:rPr>
          <w:spacing w:val="-58"/>
        </w:rPr>
        <w:t> </w:t>
      </w:r>
      <w:r>
        <w:rPr/>
        <w:t>4</w:t>
      </w:r>
      <w:r>
        <w:rPr>
          <w:spacing w:val="-57"/>
        </w:rPr>
        <w:t> </w:t>
      </w:r>
      <w:r>
        <w:rPr/>
        <w:t>月</w:t>
      </w:r>
      <w:r>
        <w:rPr>
          <w:spacing w:val="-58"/>
        </w:rPr>
        <w:t> </w:t>
      </w:r>
      <w:r>
        <w:rPr/>
        <w:t>25</w:t>
      </w:r>
      <w:r>
        <w:rPr>
          <w:spacing w:val="-57"/>
        </w:rPr>
        <w:t> </w:t>
      </w:r>
      <w:r>
        <w:rPr/>
        <w:t>日召开第四届监事会第五次会议，会议审议通过了公司</w:t>
      </w:r>
      <w:r>
        <w:rPr>
          <w:spacing w:val="-57"/>
        </w:rPr>
        <w:t> </w:t>
      </w:r>
      <w:r>
        <w:rPr/>
        <w:t>2008</w:t>
      </w:r>
      <w:r>
        <w:rPr>
          <w:spacing w:val="-58"/>
        </w:rPr>
        <w:t> </w:t>
      </w:r>
      <w:r>
        <w:rPr/>
        <w:t>年第一季度</w:t>
      </w:r>
    </w:p>
    <w:p>
      <w:pPr>
        <w:pStyle w:val="BodyText"/>
        <w:spacing w:line="313" w:lineRule="exact"/>
        <w:ind w:left="298" w:right="0"/>
        <w:jc w:val="both"/>
      </w:pPr>
      <w:r>
        <w:rPr/>
        <w:t>报告、对公司</w:t>
      </w:r>
      <w:r>
        <w:rPr>
          <w:spacing w:val="-60"/>
        </w:rPr>
        <w:t> </w:t>
      </w:r>
      <w:r>
        <w:rPr/>
        <w:t>2008</w:t>
      </w:r>
      <w:r>
        <w:rPr>
          <w:spacing w:val="-60"/>
        </w:rPr>
        <w:t> </w:t>
      </w:r>
      <w:r>
        <w:rPr/>
        <w:t>年第一季度报告的审核意见；</w:t>
      </w:r>
    </w:p>
    <w:p>
      <w:pPr>
        <w:spacing w:line="240" w:lineRule="auto" w:before="7"/>
        <w:rPr>
          <w:rFonts w:ascii="宋体" w:hAnsi="宋体" w:cs="宋体" w:eastAsia="宋体" w:hint="default"/>
          <w:sz w:val="23"/>
          <w:szCs w:val="23"/>
        </w:rPr>
      </w:pPr>
    </w:p>
    <w:p>
      <w:pPr>
        <w:pStyle w:val="BodyText"/>
        <w:spacing w:line="313" w:lineRule="exact"/>
        <w:ind w:left="298" w:right="0"/>
        <w:jc w:val="both"/>
      </w:pPr>
      <w:r>
        <w:rPr>
          <w:spacing w:val="-1"/>
        </w:rPr>
        <w:t>200</w:t>
      </w:r>
      <w:r>
        <w:rPr/>
        <w:t>8</w:t>
      </w:r>
      <w:r>
        <w:rPr>
          <w:spacing w:val="-67"/>
        </w:rPr>
        <w:t> </w:t>
      </w:r>
      <w:r>
        <w:rPr/>
        <w:t>年</w:t>
      </w:r>
      <w:r>
        <w:rPr>
          <w:spacing w:val="-67"/>
        </w:rPr>
        <w:t> </w:t>
      </w:r>
      <w:r>
        <w:rPr/>
        <w:t>7</w:t>
      </w:r>
      <w:r>
        <w:rPr>
          <w:spacing w:val="-68"/>
        </w:rPr>
        <w:t> </w:t>
      </w:r>
      <w:r>
        <w:rPr/>
        <w:t>月</w:t>
      </w:r>
      <w:r>
        <w:rPr>
          <w:spacing w:val="-67"/>
        </w:rPr>
        <w:t> </w:t>
      </w:r>
      <w:r>
        <w:rPr/>
        <w:t>7</w:t>
      </w:r>
      <w:r>
        <w:rPr>
          <w:spacing w:val="-67"/>
        </w:rPr>
        <w:t> </w:t>
      </w:r>
      <w:r>
        <w:rPr>
          <w:spacing w:val="-1"/>
        </w:rPr>
        <w:t>日召开第四届监事会第六次会议</w:t>
      </w:r>
      <w:r>
        <w:rPr>
          <w:spacing w:val="-120"/>
        </w:rPr>
        <w:t>，</w:t>
      </w:r>
      <w:r>
        <w:rPr/>
        <w:t>会议审议通过</w:t>
      </w:r>
      <w:r>
        <w:rPr>
          <w:spacing w:val="-120"/>
        </w:rPr>
        <w:t>了</w:t>
      </w:r>
      <w:r>
        <w:rPr/>
        <w:t>《同方股份有限公司</w:t>
      </w:r>
      <w:r>
        <w:rPr>
          <w:spacing w:val="-66"/>
        </w:rPr>
        <w:t> </w:t>
      </w:r>
      <w:r>
        <w:rPr/>
        <w:t>2007</w:t>
      </w:r>
    </w:p>
    <w:p>
      <w:pPr>
        <w:pStyle w:val="BodyText"/>
        <w:spacing w:line="237" w:lineRule="auto" w:before="1"/>
        <w:ind w:left="298" w:right="137"/>
        <w:jc w:val="both"/>
      </w:pPr>
      <w:r>
        <w:rPr/>
        <w:t>年首期股票期权激励计划(草案)(修订稿)</w:t>
      </w:r>
      <w:r>
        <w:rPr>
          <w:spacing w:val="-120"/>
        </w:rPr>
        <w:t>》</w:t>
      </w:r>
      <w:r>
        <w:rPr>
          <w:spacing w:val="-159"/>
        </w:rPr>
        <w:t>、</w:t>
      </w:r>
      <w:r>
        <w:rPr>
          <w:spacing w:val="-1"/>
        </w:rPr>
        <w:t>《同方股份有限公</w:t>
      </w:r>
      <w:r>
        <w:rPr/>
        <w:t>司</w:t>
      </w:r>
      <w:r>
        <w:rPr>
          <w:spacing w:val="-61"/>
        </w:rPr>
        <w:t> </w:t>
      </w:r>
      <w:r>
        <w:rPr>
          <w:spacing w:val="-1"/>
        </w:rPr>
        <w:t>200</w:t>
      </w:r>
      <w:r>
        <w:rPr/>
        <w:t>7</w:t>
      </w:r>
      <w:r>
        <w:rPr>
          <w:spacing w:val="-61"/>
        </w:rPr>
        <w:t> </w:t>
      </w:r>
      <w:r>
        <w:rPr>
          <w:spacing w:val="-1"/>
        </w:rPr>
        <w:t>年首期股权激励计</w:t>
      </w:r>
      <w:r>
        <w:rPr>
          <w:spacing w:val="-1"/>
        </w:rPr>
        <w:t> </w:t>
      </w:r>
      <w:r>
        <w:rPr>
          <w:spacing w:val="2"/>
        </w:rPr>
        <w:t>划实施考核办法(草案</w:t>
      </w:r>
      <w:r>
        <w:rPr>
          <w:spacing w:val="-2"/>
        </w:rPr>
        <w:t>)</w:t>
      </w:r>
      <w:r>
        <w:rPr>
          <w:spacing w:val="2"/>
        </w:rPr>
        <w:t>(修订稿)</w:t>
      </w:r>
      <w:r>
        <w:rPr>
          <w:spacing w:val="-118"/>
        </w:rPr>
        <w:t>》</w:t>
      </w:r>
      <w:r>
        <w:rPr>
          <w:spacing w:val="-119"/>
        </w:rPr>
        <w:t>、</w:t>
      </w:r>
      <w:r>
        <w:rPr>
          <w:spacing w:val="2"/>
        </w:rPr>
        <w:t>《关于提请股东大会授权董事会办理股票期权相关事</w:t>
      </w:r>
      <w:r>
        <w:rPr>
          <w:spacing w:val="2"/>
        </w:rPr>
        <w:t> </w:t>
      </w:r>
      <w:r>
        <w:rPr/>
        <w:t>宜的议案</w:t>
      </w:r>
      <w:r>
        <w:rPr>
          <w:spacing w:val="-120"/>
        </w:rPr>
        <w:t>》</w:t>
      </w:r>
      <w:r>
        <w:rPr/>
        <w:t>；</w:t>
      </w:r>
    </w:p>
    <w:p>
      <w:pPr>
        <w:spacing w:line="240" w:lineRule="auto" w:before="7"/>
        <w:rPr>
          <w:rFonts w:ascii="宋体" w:hAnsi="宋体" w:cs="宋体" w:eastAsia="宋体" w:hint="default"/>
          <w:sz w:val="23"/>
          <w:szCs w:val="23"/>
        </w:rPr>
      </w:pPr>
    </w:p>
    <w:p>
      <w:pPr>
        <w:pStyle w:val="BodyText"/>
        <w:spacing w:line="313" w:lineRule="exact"/>
        <w:ind w:left="298" w:right="0"/>
        <w:jc w:val="both"/>
      </w:pPr>
      <w:r>
        <w:rPr/>
        <w:t>200</w:t>
      </w:r>
      <w:r>
        <w:rPr>
          <w:spacing w:val="60"/>
        </w:rPr>
        <w:t>8年8月</w:t>
      </w:r>
      <w:r>
        <w:rPr/>
        <w:t>6</w:t>
      </w:r>
      <w:r>
        <w:rPr>
          <w:spacing w:val="-60"/>
        </w:rPr>
        <w:t> </w:t>
      </w:r>
      <w:r>
        <w:rPr/>
        <w:t>日召开第四届监事会第七次会议</w:t>
      </w:r>
      <w:r>
        <w:rPr>
          <w:spacing w:val="-99"/>
        </w:rPr>
        <w:t>，</w:t>
      </w:r>
      <w:r>
        <w:rPr>
          <w:spacing w:val="-1"/>
        </w:rPr>
        <w:t>会议审议通过了公</w:t>
      </w:r>
      <w:r>
        <w:rPr/>
        <w:t>司</w:t>
      </w:r>
      <w:r>
        <w:rPr>
          <w:spacing w:val="-61"/>
        </w:rPr>
        <w:t> </w:t>
      </w:r>
      <w:r>
        <w:rPr>
          <w:spacing w:val="-1"/>
        </w:rPr>
        <w:t>200</w:t>
      </w:r>
      <w:r>
        <w:rPr/>
        <w:t>8</w:t>
      </w:r>
      <w:r>
        <w:rPr>
          <w:spacing w:val="-61"/>
        </w:rPr>
        <w:t> </w:t>
      </w:r>
      <w:r>
        <w:rPr>
          <w:spacing w:val="-1"/>
        </w:rPr>
        <w:t>年半年度报告</w:t>
      </w:r>
      <w:r>
        <w:rPr/>
      </w:r>
    </w:p>
    <w:p>
      <w:pPr>
        <w:pStyle w:val="BodyText"/>
        <w:spacing w:line="313" w:lineRule="exact"/>
        <w:ind w:left="298" w:right="0"/>
        <w:jc w:val="both"/>
      </w:pPr>
      <w:r>
        <w:rPr/>
        <w:t>全文及摘要、对公司</w:t>
      </w:r>
      <w:r>
        <w:rPr>
          <w:spacing w:val="-60"/>
        </w:rPr>
        <w:t> </w:t>
      </w:r>
      <w:r>
        <w:rPr/>
        <w:t>2008</w:t>
      </w:r>
      <w:r>
        <w:rPr>
          <w:spacing w:val="-60"/>
        </w:rPr>
        <w:t> </w:t>
      </w:r>
      <w:r>
        <w:rPr/>
        <w:t>年半年度报告的审核意见；</w:t>
      </w:r>
    </w:p>
    <w:p>
      <w:pPr>
        <w:spacing w:line="240" w:lineRule="auto" w:before="7"/>
        <w:rPr>
          <w:rFonts w:ascii="宋体" w:hAnsi="宋体" w:cs="宋体" w:eastAsia="宋体" w:hint="default"/>
          <w:sz w:val="23"/>
          <w:szCs w:val="23"/>
        </w:rPr>
      </w:pPr>
    </w:p>
    <w:p>
      <w:pPr>
        <w:pStyle w:val="BodyText"/>
        <w:spacing w:line="313" w:lineRule="exact"/>
        <w:ind w:left="298" w:right="0"/>
        <w:jc w:val="both"/>
      </w:pPr>
      <w:r>
        <w:rPr/>
        <w:t>2008</w:t>
      </w:r>
      <w:r>
        <w:rPr>
          <w:spacing w:val="-63"/>
        </w:rPr>
        <w:t> </w:t>
      </w:r>
      <w:r>
        <w:rPr/>
        <w:t>年</w:t>
      </w:r>
      <w:r>
        <w:rPr>
          <w:spacing w:val="-63"/>
        </w:rPr>
        <w:t> </w:t>
      </w:r>
      <w:r>
        <w:rPr/>
        <w:t>9</w:t>
      </w:r>
      <w:r>
        <w:rPr>
          <w:spacing w:val="-62"/>
        </w:rPr>
        <w:t> </w:t>
      </w:r>
      <w:r>
        <w:rPr/>
        <w:t>月</w:t>
      </w:r>
      <w:r>
        <w:rPr>
          <w:spacing w:val="-63"/>
        </w:rPr>
        <w:t> </w:t>
      </w:r>
      <w:r>
        <w:rPr/>
        <w:t>22</w:t>
      </w:r>
      <w:r>
        <w:rPr>
          <w:spacing w:val="-62"/>
        </w:rPr>
        <w:t> </w:t>
      </w:r>
      <w:r>
        <w:rPr/>
        <w:t>日召开第四届监事会第八次会议，会议审议通过了《关于运用</w:t>
      </w:r>
      <w:r>
        <w:rPr>
          <w:spacing w:val="-62"/>
        </w:rPr>
        <w:t> </w:t>
      </w:r>
      <w:r>
        <w:rPr/>
        <w:t>2007</w:t>
      </w:r>
      <w:r>
        <w:rPr>
          <w:spacing w:val="-62"/>
        </w:rPr>
        <w:t> </w:t>
      </w:r>
      <w:r>
        <w:rPr/>
        <w:t>年度</w:t>
      </w:r>
    </w:p>
    <w:p>
      <w:pPr>
        <w:pStyle w:val="BodyText"/>
        <w:spacing w:line="310" w:lineRule="exact" w:before="31"/>
        <w:ind w:left="298" w:right="143"/>
        <w:jc w:val="both"/>
      </w:pPr>
      <w:r>
        <w:rPr/>
        <w:t>非公开发行部分闲置募集资金暂时补充流动资金的议案</w:t>
      </w:r>
      <w:r>
        <w:rPr>
          <w:spacing w:val="-120"/>
        </w:rPr>
        <w:t>》</w:t>
      </w:r>
      <w:r>
        <w:rPr>
          <w:spacing w:val="-159"/>
        </w:rPr>
        <w:t>、</w:t>
      </w:r>
      <w:r>
        <w:rPr/>
        <w:t>《关于运用</w:t>
      </w:r>
      <w:r>
        <w:rPr>
          <w:spacing w:val="-62"/>
        </w:rPr>
        <w:t> </w:t>
      </w:r>
      <w:r>
        <w:rPr/>
        <w:t>2008</w:t>
      </w:r>
      <w:r>
        <w:rPr>
          <w:spacing w:val="-60"/>
        </w:rPr>
        <w:t> </w:t>
      </w:r>
      <w:r>
        <w:rPr/>
        <w:t>年度配股部分</w:t>
      </w:r>
      <w:r>
        <w:rPr/>
        <w:t> 闲置募集资金暂时补充流动资金的议案</w:t>
      </w:r>
      <w:r>
        <w:rPr>
          <w:spacing w:val="-120"/>
        </w:rPr>
        <w:t>》</w:t>
      </w:r>
      <w:r>
        <w:rPr/>
        <w:t>；</w:t>
      </w:r>
    </w:p>
    <w:p>
      <w:pPr>
        <w:spacing w:line="240" w:lineRule="auto" w:before="6"/>
        <w:rPr>
          <w:rFonts w:ascii="宋体" w:hAnsi="宋体" w:cs="宋体" w:eastAsia="宋体" w:hint="default"/>
          <w:sz w:val="21"/>
          <w:szCs w:val="21"/>
        </w:rPr>
      </w:pPr>
    </w:p>
    <w:p>
      <w:pPr>
        <w:pStyle w:val="BodyText"/>
        <w:spacing w:line="312" w:lineRule="exact"/>
        <w:ind w:left="298" w:right="0"/>
        <w:jc w:val="both"/>
      </w:pPr>
      <w:r>
        <w:rPr/>
        <w:t>2008</w:t>
      </w:r>
      <w:r>
        <w:rPr>
          <w:spacing w:val="-60"/>
        </w:rPr>
        <w:t> </w:t>
      </w:r>
      <w:r>
        <w:rPr/>
        <w:t>年</w:t>
      </w:r>
      <w:r>
        <w:rPr>
          <w:spacing w:val="-60"/>
        </w:rPr>
        <w:t> </w:t>
      </w:r>
      <w:r>
        <w:rPr/>
        <w:t>10</w:t>
      </w:r>
      <w:r>
        <w:rPr>
          <w:spacing w:val="-60"/>
        </w:rPr>
        <w:t> </w:t>
      </w:r>
      <w:r>
        <w:rPr/>
        <w:t>月</w:t>
      </w:r>
      <w:r>
        <w:rPr>
          <w:spacing w:val="-60"/>
        </w:rPr>
        <w:t> </w:t>
      </w:r>
      <w:r>
        <w:rPr/>
        <w:t>29</w:t>
      </w:r>
      <w:r>
        <w:rPr>
          <w:spacing w:val="-60"/>
        </w:rPr>
        <w:t> </w:t>
      </w:r>
      <w:r>
        <w:rPr/>
        <w:t>日召开第四届监事会第九次会议</w:t>
      </w:r>
      <w:r>
        <w:rPr>
          <w:spacing w:val="-99"/>
        </w:rPr>
        <w:t>，</w:t>
      </w:r>
      <w:r>
        <w:rPr>
          <w:spacing w:val="-1"/>
        </w:rPr>
        <w:t>会议审议通过了公</w:t>
      </w:r>
      <w:r>
        <w:rPr/>
        <w:t>司</w:t>
      </w:r>
      <w:r>
        <w:rPr>
          <w:spacing w:val="-61"/>
        </w:rPr>
        <w:t> </w:t>
      </w:r>
      <w:r>
        <w:rPr>
          <w:spacing w:val="-1"/>
        </w:rPr>
        <w:t>200</w:t>
      </w:r>
      <w:r>
        <w:rPr/>
        <w:t>8</w:t>
      </w:r>
      <w:r>
        <w:rPr>
          <w:spacing w:val="-61"/>
        </w:rPr>
        <w:t> </w:t>
      </w:r>
      <w:r>
        <w:rPr>
          <w:spacing w:val="-1"/>
        </w:rPr>
        <w:t>年第三季度</w:t>
      </w:r>
      <w:r>
        <w:rPr/>
      </w:r>
    </w:p>
    <w:p>
      <w:pPr>
        <w:pStyle w:val="BodyText"/>
        <w:spacing w:line="312" w:lineRule="exact"/>
        <w:ind w:left="298" w:right="0"/>
        <w:jc w:val="both"/>
      </w:pPr>
      <w:r>
        <w:rPr/>
        <w:t>报告、对公司</w:t>
      </w:r>
      <w:r>
        <w:rPr>
          <w:spacing w:val="-60"/>
        </w:rPr>
        <w:t> </w:t>
      </w:r>
      <w:r>
        <w:rPr/>
        <w:t>2008</w:t>
      </w:r>
      <w:r>
        <w:rPr>
          <w:spacing w:val="-60"/>
        </w:rPr>
        <w:t> </w:t>
      </w:r>
      <w:r>
        <w:rPr/>
        <w:t>年第三季度报告的审核意见。</w:t>
      </w:r>
    </w:p>
    <w:p>
      <w:pPr>
        <w:spacing w:line="240" w:lineRule="auto" w:before="8"/>
        <w:rPr>
          <w:rFonts w:ascii="宋体" w:hAnsi="宋体" w:cs="宋体" w:eastAsia="宋体" w:hint="default"/>
          <w:sz w:val="23"/>
          <w:szCs w:val="23"/>
        </w:rPr>
      </w:pPr>
    </w:p>
    <w:p>
      <w:pPr>
        <w:pStyle w:val="BodyText"/>
        <w:spacing w:line="240" w:lineRule="auto"/>
        <w:ind w:left="298" w:right="0"/>
        <w:jc w:val="both"/>
      </w:pPr>
      <w:r>
        <w:rPr/>
        <w:t>(2)列席年度内历次董事会和股东大会。</w:t>
      </w:r>
    </w:p>
    <w:p>
      <w:pPr>
        <w:spacing w:line="240" w:lineRule="auto" w:before="11"/>
        <w:rPr>
          <w:rFonts w:ascii="宋体" w:hAnsi="宋体" w:cs="宋体" w:eastAsia="宋体" w:hint="default"/>
          <w:sz w:val="23"/>
          <w:szCs w:val="23"/>
        </w:rPr>
      </w:pPr>
    </w:p>
    <w:p>
      <w:pPr>
        <w:pStyle w:val="BodyText"/>
        <w:spacing w:line="237" w:lineRule="auto"/>
        <w:ind w:left="298" w:right="105"/>
        <w:jc w:val="both"/>
      </w:pPr>
      <w:r>
        <w:rPr>
          <w:spacing w:val="-1"/>
        </w:rPr>
        <w:t>(3)为确保股东的长期投资利益，根据董事会提出的“诚信务实、自律规范”的规范运作</w:t>
      </w:r>
      <w:r>
        <w:rPr/>
        <w:t> 原则，根据公司制定的以“计划预算管理、综合指标考核、公司监督运行”为核心的管</w:t>
      </w:r>
      <w:r>
        <w:rPr>
          <w:spacing w:val="-47"/>
        </w:rPr>
        <w:t> </w:t>
      </w:r>
      <w:r>
        <w:rPr>
          <w:spacing w:val="-47"/>
        </w:rPr>
      </w:r>
      <w:r>
        <w:rPr/>
        <w:t>理模式和“发展＋合作”的发展战略，公司监事会在此基础上对公司依法运作情况进行</w:t>
      </w:r>
      <w:r>
        <w:rPr>
          <w:spacing w:val="-47"/>
        </w:rPr>
        <w:t> </w:t>
      </w:r>
      <w:r>
        <w:rPr>
          <w:spacing w:val="-47"/>
        </w:rPr>
      </w:r>
      <w:r>
        <w:rPr/>
        <w:t>了监督和检查。</w:t>
      </w:r>
    </w:p>
    <w:p>
      <w:pPr>
        <w:spacing w:line="240" w:lineRule="auto" w:before="1"/>
        <w:rPr>
          <w:rFonts w:ascii="宋体" w:hAnsi="宋体" w:cs="宋体" w:eastAsia="宋体" w:hint="default"/>
          <w:sz w:val="26"/>
          <w:szCs w:val="26"/>
        </w:rPr>
      </w:pPr>
    </w:p>
    <w:p>
      <w:pPr>
        <w:pStyle w:val="BodyText"/>
        <w:spacing w:line="310" w:lineRule="exact"/>
        <w:ind w:left="298" w:right="105"/>
        <w:jc w:val="both"/>
      </w:pPr>
      <w:r>
        <w:rPr/>
        <w:t>(4)了解会计师事务所年度审计进程，对公司财务报告和内部控制制度进行监督和评价， 以保证公司会计信息的可靠性、真实性、完整性和合规性。</w:t>
      </w:r>
    </w:p>
    <w:p>
      <w:pPr>
        <w:spacing w:line="240" w:lineRule="auto" w:before="12"/>
        <w:rPr>
          <w:rFonts w:ascii="宋体" w:hAnsi="宋体" w:cs="宋体" w:eastAsia="宋体" w:hint="default"/>
          <w:sz w:val="20"/>
          <w:szCs w:val="20"/>
        </w:rPr>
      </w:pPr>
    </w:p>
    <w:p>
      <w:pPr>
        <w:pStyle w:val="Heading2"/>
        <w:spacing w:line="240" w:lineRule="auto"/>
        <w:ind w:left="298" w:right="0"/>
        <w:jc w:val="both"/>
        <w:rPr>
          <w:b w:val="0"/>
          <w:bCs w:val="0"/>
        </w:rPr>
      </w:pPr>
      <w:r>
        <w:rPr/>
        <w:t>2、监事会独立意见</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98" w:right="0"/>
        <w:jc w:val="both"/>
      </w:pPr>
      <w:r>
        <w:rPr/>
        <w:t>(1)关于公司依法运作情况</w:t>
      </w:r>
    </w:p>
    <w:p>
      <w:pPr>
        <w:spacing w:after="0" w:line="240" w:lineRule="auto"/>
        <w:jc w:val="both"/>
        <w:sectPr>
          <w:pgSz w:w="11910" w:h="16840"/>
          <w:pgMar w:header="610" w:footer="764" w:top="1080" w:bottom="960" w:left="112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20"/>
        <w:jc w:val="both"/>
      </w:pPr>
      <w:r>
        <w:rPr/>
        <w:t>监事会根据国家有关的法律和法规，重点对股东大会和董事会的会议程序、表决方式、</w:t>
      </w:r>
      <w:r>
        <w:rPr>
          <w:spacing w:val="-47"/>
        </w:rPr>
        <w:t> </w:t>
      </w:r>
      <w:r>
        <w:rPr>
          <w:spacing w:val="-47"/>
        </w:rPr>
      </w:r>
      <w:r>
        <w:rPr/>
        <w:t>会议议题、董事会对股东大会决议的执行、公司高级管理人员履行职责、公司内部管理</w:t>
      </w:r>
      <w:r>
        <w:rPr>
          <w:spacing w:val="-47"/>
        </w:rPr>
        <w:t> </w:t>
      </w:r>
      <w:r>
        <w:rPr>
          <w:spacing w:val="-47"/>
        </w:rPr>
      </w:r>
      <w:r>
        <w:rPr/>
        <w:t>制度等情况进行了监督和检查。</w:t>
      </w:r>
    </w:p>
    <w:p>
      <w:pPr>
        <w:spacing w:line="240" w:lineRule="auto" w:before="8"/>
        <w:rPr>
          <w:rFonts w:ascii="宋体" w:hAnsi="宋体" w:cs="宋体" w:eastAsia="宋体" w:hint="default"/>
          <w:sz w:val="21"/>
          <w:szCs w:val="21"/>
        </w:rPr>
      </w:pPr>
    </w:p>
    <w:p>
      <w:pPr>
        <w:pStyle w:val="BodyText"/>
        <w:spacing w:line="237" w:lineRule="auto"/>
        <w:ind w:right="220"/>
        <w:jc w:val="both"/>
      </w:pPr>
      <w:r>
        <w:rPr/>
        <w:t>监事会认为，本年度召开的股东大会和董事会是按照公司法和本公司章程的要求，履行</w:t>
      </w:r>
      <w:r>
        <w:rPr>
          <w:spacing w:val="-47"/>
        </w:rPr>
        <w:t> </w:t>
      </w:r>
      <w:r>
        <w:rPr>
          <w:spacing w:val="-47"/>
        </w:rPr>
      </w:r>
      <w:r>
        <w:rPr/>
        <w:t>了必要的会议程序和表决方式。董事会会议议题在涉及公司重大投资决策、担保、关联</w:t>
      </w:r>
      <w:r>
        <w:rPr>
          <w:spacing w:val="-47"/>
        </w:rPr>
        <w:t> </w:t>
      </w:r>
      <w:r>
        <w:rPr>
          <w:spacing w:val="-47"/>
        </w:rPr>
      </w:r>
      <w:r>
        <w:rPr/>
        <w:t>交易、公司经营管理和资本运作方案等事项方面进行了充分调研与协商，维护了公司股</w:t>
      </w:r>
      <w:r>
        <w:rPr>
          <w:spacing w:val="-47"/>
        </w:rPr>
        <w:t> </w:t>
      </w:r>
      <w:r>
        <w:rPr>
          <w:spacing w:val="-47"/>
        </w:rPr>
      </w:r>
      <w:r>
        <w:rPr/>
        <w:t>东的权益。董事及高级管理人员履行职责勤勉、尽责，无任何违纪违规和损害股东权益</w:t>
      </w:r>
      <w:r>
        <w:rPr>
          <w:spacing w:val="-47"/>
        </w:rPr>
        <w:t> </w:t>
      </w:r>
      <w:r>
        <w:rPr>
          <w:spacing w:val="-47"/>
        </w:rPr>
      </w:r>
      <w:r>
        <w:rPr/>
        <w:t>的行为。公司的各项管理制度行之有效。</w:t>
      </w:r>
    </w:p>
    <w:p>
      <w:pPr>
        <w:spacing w:line="240" w:lineRule="auto" w:before="7"/>
        <w:rPr>
          <w:rFonts w:ascii="宋体" w:hAnsi="宋体" w:cs="宋体" w:eastAsia="宋体" w:hint="default"/>
          <w:sz w:val="23"/>
          <w:szCs w:val="23"/>
        </w:rPr>
      </w:pPr>
    </w:p>
    <w:p>
      <w:pPr>
        <w:pStyle w:val="BodyText"/>
        <w:spacing w:line="240" w:lineRule="auto"/>
        <w:ind w:right="0"/>
        <w:jc w:val="both"/>
      </w:pPr>
      <w:r>
        <w:rPr/>
        <w:t>(2)检查公司财务的情况</w:t>
      </w:r>
    </w:p>
    <w:p>
      <w:pPr>
        <w:spacing w:line="240" w:lineRule="auto" w:before="9"/>
        <w:rPr>
          <w:rFonts w:ascii="宋体" w:hAnsi="宋体" w:cs="宋体" w:eastAsia="宋体" w:hint="default"/>
          <w:sz w:val="23"/>
          <w:szCs w:val="23"/>
        </w:rPr>
      </w:pPr>
    </w:p>
    <w:p>
      <w:pPr>
        <w:pStyle w:val="BodyText"/>
        <w:spacing w:line="312" w:lineRule="exact"/>
        <w:ind w:right="0"/>
        <w:jc w:val="both"/>
      </w:pPr>
      <w:r>
        <w:rPr/>
        <w:t>监事会对公司财务进行了必要的监督和检查</w:t>
      </w:r>
      <w:r>
        <w:rPr>
          <w:spacing w:val="-120"/>
        </w:rPr>
        <w:t>，</w:t>
      </w:r>
      <w:r>
        <w:rPr>
          <w:spacing w:val="-1"/>
        </w:rPr>
        <w:t>审核了公</w:t>
      </w:r>
      <w:r>
        <w:rPr/>
        <w:t>司</w:t>
      </w:r>
      <w:r>
        <w:rPr>
          <w:spacing w:val="-80"/>
        </w:rPr>
        <w:t> </w:t>
      </w:r>
      <w:r>
        <w:rPr>
          <w:spacing w:val="-1"/>
        </w:rPr>
        <w:t>200</w:t>
      </w:r>
      <w:r>
        <w:rPr/>
        <w:t>8</w:t>
      </w:r>
      <w:r>
        <w:rPr>
          <w:spacing w:val="-80"/>
        </w:rPr>
        <w:t> </w:t>
      </w:r>
      <w:r>
        <w:rPr>
          <w:spacing w:val="-1"/>
        </w:rPr>
        <w:t>年度董事会工作报告</w:t>
      </w:r>
      <w:r>
        <w:rPr>
          <w:spacing w:val="-120"/>
        </w:rPr>
        <w:t>、</w:t>
      </w:r>
      <w:r>
        <w:rPr/>
        <w:t>2008</w:t>
      </w:r>
    </w:p>
    <w:p>
      <w:pPr>
        <w:pStyle w:val="BodyText"/>
        <w:spacing w:line="310" w:lineRule="exact" w:before="30"/>
        <w:ind w:right="220"/>
        <w:jc w:val="both"/>
      </w:pPr>
      <w:r>
        <w:rPr/>
        <w:t>年度财务报告和 2008 年度利润分配方案、经信永中和会计师事务所审计，对公司</w:t>
      </w:r>
      <w:r>
        <w:rPr>
          <w:spacing w:val="-42"/>
        </w:rPr>
        <w:t> </w:t>
      </w:r>
      <w:r>
        <w:rPr/>
        <w:t>2008</w:t>
      </w:r>
      <w:r>
        <w:rPr/>
        <w:t> 年年度会计报表确认并出具了无保留意见的审计报告。</w:t>
      </w:r>
    </w:p>
    <w:p>
      <w:pPr>
        <w:spacing w:line="240" w:lineRule="auto" w:before="8"/>
        <w:rPr>
          <w:rFonts w:ascii="宋体" w:hAnsi="宋体" w:cs="宋体" w:eastAsia="宋体" w:hint="default"/>
          <w:sz w:val="21"/>
          <w:szCs w:val="21"/>
        </w:rPr>
      </w:pPr>
    </w:p>
    <w:p>
      <w:pPr>
        <w:pStyle w:val="BodyText"/>
        <w:spacing w:line="237" w:lineRule="auto"/>
        <w:ind w:right="220"/>
        <w:jc w:val="both"/>
      </w:pPr>
      <w:r>
        <w:rPr/>
        <w:t>监事会认为，公司财务部门认真贯彻国家有关企业会计制度及相关准则，建立健全公司</w:t>
      </w:r>
      <w:r>
        <w:rPr>
          <w:spacing w:val="-47"/>
        </w:rPr>
        <w:t> </w:t>
      </w:r>
      <w:r>
        <w:rPr>
          <w:spacing w:val="-47"/>
        </w:rPr>
      </w:r>
      <w:r>
        <w:rPr/>
        <w:t>内部控制管理制度，逐步建立起一套有效的企业财务管理体系，使得公司经营管理与财</w:t>
      </w:r>
      <w:r>
        <w:rPr>
          <w:spacing w:val="-47"/>
        </w:rPr>
        <w:t> </w:t>
      </w:r>
      <w:r>
        <w:rPr>
          <w:spacing w:val="-47"/>
        </w:rPr>
      </w:r>
      <w:r>
        <w:rPr/>
        <w:t>务管理有机地结合起来，保障了广大投资者的利益。公司</w:t>
      </w:r>
      <w:r>
        <w:rPr>
          <w:spacing w:val="-79"/>
        </w:rPr>
        <w:t> </w:t>
      </w:r>
      <w:r>
        <w:rPr/>
        <w:t>2008</w:t>
      </w:r>
      <w:r>
        <w:rPr>
          <w:spacing w:val="-79"/>
        </w:rPr>
        <w:t> </w:t>
      </w:r>
      <w:r>
        <w:rPr/>
        <w:t>年年度会计报表公允地反</w:t>
      </w:r>
      <w:r>
        <w:rPr/>
        <w:t> </w:t>
      </w:r>
      <w:r>
        <w:rPr>
          <w:spacing w:val="-4"/>
        </w:rPr>
        <w:t>映了公司的财务状况、2008</w:t>
      </w:r>
      <w:r>
        <w:rPr>
          <w:spacing w:val="-57"/>
        </w:rPr>
        <w:t> </w:t>
      </w:r>
      <w:r>
        <w:rPr>
          <w:spacing w:val="-3"/>
        </w:rPr>
        <w:t>年度经营成果和现金流量情况。同意公司</w:t>
      </w:r>
      <w:r>
        <w:rPr>
          <w:spacing w:val="-57"/>
        </w:rPr>
        <w:t> </w:t>
      </w:r>
      <w:r>
        <w:rPr/>
        <w:t>2008</w:t>
      </w:r>
      <w:r>
        <w:rPr>
          <w:spacing w:val="-57"/>
        </w:rPr>
        <w:t> </w:t>
      </w:r>
      <w:r>
        <w:rPr/>
        <w:t>年度利润分配</w:t>
      </w:r>
      <w:r>
        <w:rPr/>
        <w:t> 方案。</w:t>
      </w:r>
    </w:p>
    <w:p>
      <w:pPr>
        <w:spacing w:line="240" w:lineRule="auto" w:before="7"/>
        <w:rPr>
          <w:rFonts w:ascii="宋体" w:hAnsi="宋体" w:cs="宋体" w:eastAsia="宋体" w:hint="default"/>
          <w:sz w:val="23"/>
          <w:szCs w:val="23"/>
        </w:rPr>
      </w:pPr>
    </w:p>
    <w:p>
      <w:pPr>
        <w:pStyle w:val="BodyText"/>
        <w:spacing w:line="475" w:lineRule="auto"/>
        <w:ind w:right="213"/>
        <w:jc w:val="left"/>
      </w:pPr>
      <w:r>
        <w:rPr/>
        <w:t>(3)募集资金使用情况 公司最近一次募集资金实际投入项目与发行情况报告书披露情况一致。 (4)收购或出售资产公允情况</w:t>
      </w:r>
    </w:p>
    <w:p>
      <w:pPr>
        <w:pStyle w:val="BodyText"/>
        <w:spacing w:line="237" w:lineRule="auto" w:before="76"/>
        <w:ind w:right="90"/>
        <w:jc w:val="left"/>
      </w:pPr>
      <w:r>
        <w:rPr/>
        <w:t>本年度公司未有较大金额的出售资产的交易。本年度内，根据股东大会投资授权权限，</w:t>
      </w:r>
      <w:r>
        <w:rPr>
          <w:spacing w:val="-47"/>
        </w:rPr>
        <w:t> </w:t>
      </w:r>
      <w:r>
        <w:rPr>
          <w:spacing w:val="-47"/>
        </w:rPr>
      </w:r>
      <w:r>
        <w:rPr>
          <w:spacing w:val="4"/>
        </w:rPr>
        <w:t>公司实施了增资北京同方凌讯科技有限公司、北京同方吉兆科技有限公司、Resuccess</w:t>
      </w:r>
      <w:r>
        <w:rPr>
          <w:spacing w:val="-91"/>
        </w:rPr>
        <w:t> </w:t>
      </w:r>
      <w:r>
        <w:rPr>
          <w:spacing w:val="-91"/>
        </w:rPr>
      </w:r>
      <w:r>
        <w:rPr/>
        <w:t>Investments Limited、Technovator Int Private Ltd.、北京同方电子商务有限公司； 增持了沈阳同方多媒体科技有限公司；新设了</w:t>
      </w:r>
      <w:r>
        <w:rPr>
          <w:spacing w:val="-60"/>
        </w:rPr>
        <w:t> </w:t>
      </w:r>
      <w:r>
        <w:rPr/>
        <w:t>TongFang</w:t>
      </w:r>
      <w:r>
        <w:rPr>
          <w:spacing w:val="-26"/>
        </w:rPr>
        <w:t> </w:t>
      </w:r>
      <w:r>
        <w:rPr/>
        <w:t>Asia</w:t>
      </w:r>
      <w:r>
        <w:rPr>
          <w:spacing w:val="-26"/>
        </w:rPr>
        <w:t> </w:t>
      </w:r>
      <w:r>
        <w:rPr/>
        <w:t>Pacific(R&amp;D)</w:t>
      </w:r>
      <w:r>
        <w:rPr>
          <w:spacing w:val="-26"/>
        </w:rPr>
        <w:t> </w:t>
      </w:r>
      <w:r>
        <w:rPr/>
        <w:t>Pte.</w:t>
      </w:r>
      <w:r>
        <w:rPr>
          <w:spacing w:val="-26"/>
        </w:rPr>
        <w:t> </w:t>
      </w:r>
      <w:r>
        <w:rPr/>
        <w:t>Ltd.、</w:t>
      </w:r>
      <w:r>
        <w:rPr/>
        <w:t> 同方光电科技有限公司；参股了上海百视通电视传媒有限公司、百视通网络电视技术发</w:t>
      </w:r>
      <w:r>
        <w:rPr>
          <w:spacing w:val="-47"/>
        </w:rPr>
        <w:t> </w:t>
      </w:r>
      <w:r>
        <w:rPr>
          <w:spacing w:val="-47"/>
        </w:rPr>
      </w:r>
      <w:r>
        <w:rPr/>
        <w:t>展有限责任公司等投资行为。</w:t>
      </w:r>
    </w:p>
    <w:p>
      <w:pPr>
        <w:spacing w:line="240" w:lineRule="auto" w:before="1"/>
        <w:rPr>
          <w:rFonts w:ascii="宋体" w:hAnsi="宋体" w:cs="宋体" w:eastAsia="宋体" w:hint="default"/>
          <w:sz w:val="26"/>
          <w:szCs w:val="26"/>
        </w:rPr>
      </w:pPr>
    </w:p>
    <w:p>
      <w:pPr>
        <w:pStyle w:val="BodyText"/>
        <w:spacing w:line="310" w:lineRule="exact"/>
        <w:ind w:right="220"/>
        <w:jc w:val="both"/>
      </w:pPr>
      <w:r>
        <w:rPr/>
        <w:t>经检查，公司监事会确信上述投资和股权处置行为有利于公司长期利益，符合公司发展</w:t>
      </w:r>
      <w:r>
        <w:rPr>
          <w:spacing w:val="-47"/>
        </w:rPr>
        <w:t> </w:t>
      </w:r>
      <w:r>
        <w:rPr>
          <w:spacing w:val="-47"/>
        </w:rPr>
      </w:r>
      <w:r>
        <w:rPr/>
        <w:t>战略，涉及关联交易的事项符合遵循“三公”原则。</w:t>
      </w:r>
    </w:p>
    <w:p>
      <w:pPr>
        <w:spacing w:line="240" w:lineRule="auto" w:before="6"/>
        <w:rPr>
          <w:rFonts w:ascii="宋体" w:hAnsi="宋体" w:cs="宋体" w:eastAsia="宋体" w:hint="default"/>
          <w:sz w:val="21"/>
          <w:szCs w:val="21"/>
        </w:rPr>
      </w:pPr>
    </w:p>
    <w:p>
      <w:pPr>
        <w:pStyle w:val="BodyText"/>
        <w:spacing w:line="475" w:lineRule="auto"/>
        <w:ind w:right="3646"/>
        <w:jc w:val="left"/>
      </w:pPr>
      <w:r>
        <w:rPr/>
        <w:t>(5)关联交易情况 公司本年度除日常关联交易外，未发生其他关联交易。</w:t>
      </w:r>
    </w:p>
    <w:p>
      <w:pPr>
        <w:pStyle w:val="BodyText"/>
        <w:spacing w:line="312" w:lineRule="exact" w:before="103"/>
        <w:ind w:right="220"/>
        <w:jc w:val="both"/>
      </w:pPr>
      <w:r>
        <w:rPr/>
        <w:t>经检查，公司监事会认为上述关联交易符合公司发展战略，关联交易协议的内容及定价</w:t>
      </w:r>
      <w:r>
        <w:rPr>
          <w:spacing w:val="-47"/>
        </w:rPr>
        <w:t> </w:t>
      </w:r>
      <w:r>
        <w:rPr>
          <w:spacing w:val="-47"/>
        </w:rPr>
      </w:r>
      <w:r>
        <w:rPr/>
        <w:t>原则符合商业惯例，遵循了公平、公正、公开的原则，交易定价公允合理，充分保证了</w:t>
      </w:r>
    </w:p>
    <w:p>
      <w:pPr>
        <w:spacing w:after="0" w:line="312" w:lineRule="exact"/>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0"/>
        <w:jc w:val="left"/>
      </w:pPr>
      <w:r>
        <w:rPr>
          <w:spacing w:val="-5"/>
        </w:rPr>
        <w:t>公司的利益，没有发现损害股东、特别是中小股东和公司利益的情形，决策程序符合《公</w:t>
      </w:r>
      <w:r>
        <w:rPr>
          <w:spacing w:val="-85"/>
        </w:rPr>
        <w:t> </w:t>
      </w:r>
      <w:r>
        <w:rPr>
          <w:spacing w:val="-85"/>
        </w:rPr>
      </w:r>
      <w:r>
        <w:rPr>
          <w:spacing w:val="-10"/>
        </w:rPr>
        <w:t>司法》、《证券法》等相关法律法规和本公司章程的规定。</w:t>
      </w:r>
    </w:p>
    <w:p>
      <w:pPr>
        <w:spacing w:after="0" w:line="310" w:lineRule="exact"/>
        <w:jc w:val="left"/>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970" w:lineRule="exact"/>
        <w:ind w:left="13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29pt;height:48.55pt;mso-position-horizontal-relative:char;mso-position-vertical-relative:line" coordorigin="0,0" coordsize="2580,971">
            <v:shape style="position:absolute;left:0;top:0;width:2580;height:971" type="#_x0000_t75" stroked="false">
              <v:imagedata r:id="rId24" o:title=""/>
            </v:shape>
            <v:group style="position:absolute;left:83;top:780;width:2332;height:2" coordorigin="83,780" coordsize="2332,2">
              <v:shape style="position:absolute;left:83;top:780;width:2332;height:2" coordorigin="83,780" coordsize="2332,0" path="m83,780l2414,780e" filled="false" stroked="true" strokeweight=".25pt" strokecolor="#000000">
                <v:path arrowok="t"/>
              </v:shape>
            </v:group>
            <v:group style="position:absolute;left:2453;top:156;width:2;height:557" coordorigin="2453,156" coordsize="2,557">
              <v:shape style="position:absolute;left:2453;top:156;width:2;height:557" coordorigin="2453,156" coordsize="2,557" path="m2453,156l2454,713e" filled="false" stroked="true" strokeweight=".25pt" strokecolor="#000000">
                <v:path arrowok="t"/>
              </v:shape>
              <v:shape style="position:absolute;left:0;top:0;width:2580;height:971" type="#_x0000_t202" filled="false" stroked="false">
                <v:textbox inset="0,0,0,0">
                  <w:txbxContent>
                    <w:p>
                      <w:pPr>
                        <w:spacing w:before="147"/>
                        <w:ind w:left="105" w:right="0" w:firstLine="0"/>
                        <w:jc w:val="left"/>
                        <w:rPr>
                          <w:rFonts w:ascii="黑体" w:hAnsi="黑体" w:cs="黑体" w:eastAsia="黑体" w:hint="default"/>
                          <w:sz w:val="30"/>
                          <w:szCs w:val="30"/>
                        </w:rPr>
                      </w:pPr>
                      <w:r>
                        <w:rPr>
                          <w:rFonts w:ascii="黑体" w:hAnsi="黑体" w:cs="黑体" w:eastAsia="黑体" w:hint="default"/>
                          <w:b/>
                          <w:bCs/>
                          <w:sz w:val="30"/>
                          <w:szCs w:val="30"/>
                        </w:rPr>
                        <w:t>九、重大事项</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
        <w:rPr>
          <w:rFonts w:ascii="宋体" w:hAnsi="宋体" w:cs="宋体" w:eastAsia="宋体" w:hint="default"/>
          <w:sz w:val="22"/>
          <w:szCs w:val="22"/>
        </w:rPr>
      </w:pPr>
    </w:p>
    <w:p>
      <w:pPr>
        <w:pStyle w:val="Heading3"/>
        <w:spacing w:line="240" w:lineRule="auto" w:before="26"/>
        <w:ind w:left="138" w:right="3546"/>
        <w:jc w:val="left"/>
        <w:rPr>
          <w:b w:val="0"/>
          <w:bCs w:val="0"/>
        </w:rPr>
      </w:pPr>
      <w:r>
        <w:rPr/>
        <w:t>1.本年度公司无重大诉讼、仲裁事项。</w:t>
      </w:r>
      <w:r>
        <w:rPr>
          <w:b w:val="0"/>
          <w:bCs w:val="0"/>
        </w:rPr>
      </w:r>
    </w:p>
    <w:p>
      <w:pPr>
        <w:spacing w:line="240" w:lineRule="auto" w:before="9"/>
        <w:rPr>
          <w:rFonts w:ascii="宋体" w:hAnsi="宋体" w:cs="宋体" w:eastAsia="宋体" w:hint="default"/>
          <w:b/>
          <w:bCs/>
          <w:sz w:val="23"/>
          <w:szCs w:val="23"/>
        </w:rPr>
      </w:pPr>
    </w:p>
    <w:p>
      <w:pPr>
        <w:spacing w:line="475" w:lineRule="auto" w:before="0"/>
        <w:ind w:left="138" w:right="3546" w:firstLine="0"/>
        <w:jc w:val="left"/>
        <w:rPr>
          <w:rFonts w:ascii="宋体" w:hAnsi="宋体" w:cs="宋体" w:eastAsia="宋体" w:hint="default"/>
          <w:sz w:val="24"/>
          <w:szCs w:val="24"/>
        </w:rPr>
      </w:pPr>
      <w:r>
        <w:rPr>
          <w:rFonts w:ascii="宋体" w:hAnsi="宋体" w:cs="宋体" w:eastAsia="宋体" w:hint="default"/>
          <w:b/>
          <w:bCs/>
          <w:sz w:val="24"/>
          <w:szCs w:val="24"/>
        </w:rPr>
        <w:t>2、报告期内重大收购及出售资产、吸收合并事项。</w:t>
      </w:r>
      <w:r>
        <w:rPr>
          <w:rFonts w:ascii="宋体" w:hAnsi="宋体" w:cs="宋体" w:eastAsia="宋体" w:hint="default"/>
          <w:b/>
          <w:bCs/>
          <w:spacing w:val="1"/>
          <w:w w:val="99"/>
          <w:sz w:val="24"/>
          <w:szCs w:val="24"/>
        </w:rPr>
        <w:t> </w:t>
      </w:r>
      <w:r>
        <w:rPr>
          <w:rFonts w:ascii="宋体" w:hAnsi="宋体" w:cs="宋体" w:eastAsia="宋体" w:hint="default"/>
          <w:sz w:val="24"/>
          <w:szCs w:val="24"/>
        </w:rPr>
        <w:t>本报告期内，公司未有重大收购及出售资产、吸收合并事项。 </w:t>
      </w:r>
      <w:r>
        <w:rPr>
          <w:rFonts w:ascii="宋体" w:hAnsi="宋体" w:cs="宋体" w:eastAsia="宋体" w:hint="default"/>
          <w:b/>
          <w:bCs/>
          <w:sz w:val="24"/>
          <w:szCs w:val="24"/>
        </w:rPr>
        <w:t>3、公司持有其他上市公司股权情况</w:t>
      </w:r>
      <w:r>
        <w:rPr>
          <w:rFonts w:ascii="宋体" w:hAnsi="宋体" w:cs="宋体" w:eastAsia="宋体" w:hint="default"/>
          <w:sz w:val="24"/>
          <w:szCs w:val="24"/>
        </w:rPr>
      </w:r>
    </w:p>
    <w:p>
      <w:pPr>
        <w:pStyle w:val="BodyText"/>
        <w:spacing w:line="475" w:lineRule="auto" w:before="73"/>
        <w:ind w:right="5706"/>
        <w:jc w:val="left"/>
      </w:pPr>
      <w:r>
        <w:rPr/>
        <w:t>(1)证券投资情况 截至报告期末，公司的证券投资情况为：</w:t>
      </w:r>
    </w:p>
    <w:p>
      <w:pPr>
        <w:spacing w:before="76"/>
        <w:ind w:left="0" w:right="842" w:firstLine="0"/>
        <w:jc w:val="right"/>
        <w:rPr>
          <w:rFonts w:ascii="宋体" w:hAnsi="宋体" w:cs="宋体" w:eastAsia="宋体" w:hint="default"/>
          <w:sz w:val="21"/>
          <w:szCs w:val="21"/>
        </w:rPr>
      </w:pPr>
      <w:r>
        <w:rPr>
          <w:rFonts w:ascii="宋体" w:hAnsi="宋体" w:cs="宋体" w:eastAsia="宋体" w:hint="default"/>
          <w:sz w:val="21"/>
          <w:szCs w:val="21"/>
        </w:rPr>
        <w:t>单位：元、股</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56"/>
        <w:gridCol w:w="900"/>
        <w:gridCol w:w="1440"/>
        <w:gridCol w:w="1440"/>
        <w:gridCol w:w="1080"/>
        <w:gridCol w:w="1440"/>
        <w:gridCol w:w="1440"/>
        <w:gridCol w:w="1619"/>
      </w:tblGrid>
      <w:tr>
        <w:trPr>
          <w:trHeight w:val="646" w:hRule="exact"/>
        </w:trPr>
        <w:tc>
          <w:tcPr>
            <w:tcW w:w="556"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158" w:right="0"/>
              <w:jc w:val="left"/>
              <w:rPr>
                <w:rFonts w:ascii="宋体" w:hAnsi="宋体" w:cs="宋体" w:eastAsia="宋体" w:hint="default"/>
                <w:sz w:val="21"/>
                <w:szCs w:val="21"/>
              </w:rPr>
            </w:pPr>
            <w:r>
              <w:rPr>
                <w:rFonts w:ascii="宋体" w:hAnsi="宋体" w:cs="宋体" w:eastAsia="宋体" w:hint="default"/>
                <w:b/>
                <w:bCs/>
                <w:w w:val="99"/>
                <w:sz w:val="21"/>
                <w:szCs w:val="21"/>
              </w:rPr>
              <w:t>序</w:t>
            </w:r>
            <w:r>
              <w:rPr>
                <w:rFonts w:ascii="宋体" w:hAnsi="宋体" w:cs="宋体" w:eastAsia="宋体" w:hint="default"/>
                <w:sz w:val="21"/>
                <w:szCs w:val="21"/>
              </w:rPr>
            </w:r>
          </w:p>
          <w:p>
            <w:pPr>
              <w:pStyle w:val="TableParagraph"/>
              <w:spacing w:line="240" w:lineRule="auto" w:before="37"/>
              <w:ind w:left="158" w:right="0"/>
              <w:jc w:val="left"/>
              <w:rPr>
                <w:rFonts w:ascii="宋体" w:hAnsi="宋体" w:cs="宋体" w:eastAsia="宋体" w:hint="default"/>
                <w:sz w:val="21"/>
                <w:szCs w:val="21"/>
              </w:rPr>
            </w:pPr>
            <w:r>
              <w:rPr>
                <w:rFonts w:ascii="宋体" w:hAnsi="宋体" w:cs="宋体" w:eastAsia="宋体" w:hint="default"/>
                <w:b/>
                <w:bCs/>
                <w:w w:val="99"/>
                <w:sz w:val="21"/>
                <w:szCs w:val="21"/>
              </w:rPr>
              <w:t>号</w:t>
            </w:r>
            <w:r>
              <w:rPr>
                <w:rFonts w:ascii="宋体" w:hAnsi="宋体" w:cs="宋体" w:eastAsia="宋体" w:hint="default"/>
                <w:sz w:val="21"/>
                <w:szCs w:val="21"/>
              </w:rPr>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证券代</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w w:val="99"/>
                <w:sz w:val="21"/>
                <w:szCs w:val="21"/>
              </w:rPr>
              <w:t>码</w:t>
            </w:r>
            <w:r>
              <w:rPr>
                <w:rFonts w:ascii="宋体" w:hAnsi="宋体" w:cs="宋体" w:eastAsia="宋体" w:hint="default"/>
                <w:sz w:val="21"/>
                <w:szCs w:val="21"/>
              </w:rPr>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right="499"/>
              <w:jc w:val="right"/>
              <w:rPr>
                <w:rFonts w:ascii="宋体" w:hAnsi="宋体" w:cs="宋体" w:eastAsia="宋体" w:hint="default"/>
                <w:sz w:val="21"/>
                <w:szCs w:val="21"/>
              </w:rPr>
            </w:pPr>
            <w:r>
              <w:rPr>
                <w:rFonts w:ascii="宋体" w:hAnsi="宋体" w:cs="宋体" w:eastAsia="宋体" w:hint="default"/>
                <w:b/>
                <w:bCs/>
                <w:sz w:val="21"/>
                <w:szCs w:val="21"/>
              </w:rPr>
              <w:t>简称</w:t>
            </w:r>
            <w:r>
              <w:rPr>
                <w:rFonts w:ascii="宋体" w:hAnsi="宋体" w:cs="宋体" w:eastAsia="宋体" w:hint="default"/>
                <w:sz w:val="21"/>
                <w:szCs w:val="21"/>
              </w:rPr>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left="290" w:right="0"/>
              <w:jc w:val="left"/>
              <w:rPr>
                <w:rFonts w:ascii="宋体" w:hAnsi="宋体" w:cs="宋体" w:eastAsia="宋体" w:hint="default"/>
                <w:sz w:val="21"/>
                <w:szCs w:val="21"/>
              </w:rPr>
            </w:pPr>
            <w:r>
              <w:rPr>
                <w:rFonts w:ascii="宋体" w:hAnsi="宋体" w:cs="宋体" w:eastAsia="宋体" w:hint="default"/>
                <w:b/>
                <w:bCs/>
                <w:sz w:val="21"/>
                <w:szCs w:val="21"/>
              </w:rPr>
              <w:t>初始投资</w:t>
            </w:r>
            <w:r>
              <w:rPr>
                <w:rFonts w:ascii="宋体" w:hAnsi="宋体" w:cs="宋体" w:eastAsia="宋体" w:hint="default"/>
                <w:sz w:val="21"/>
                <w:szCs w:val="21"/>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期末持有</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left="185" w:right="0"/>
              <w:jc w:val="left"/>
              <w:rPr>
                <w:rFonts w:ascii="宋体" w:hAnsi="宋体" w:cs="宋体" w:eastAsia="宋体" w:hint="default"/>
                <w:sz w:val="21"/>
                <w:szCs w:val="21"/>
              </w:rPr>
            </w:pPr>
            <w:r>
              <w:rPr>
                <w:rFonts w:ascii="宋体" w:hAnsi="宋体" w:cs="宋体" w:eastAsia="宋体" w:hint="default"/>
                <w:b/>
                <w:bCs/>
                <w:sz w:val="21"/>
                <w:szCs w:val="21"/>
              </w:rPr>
              <w:t>期末账面值</w:t>
            </w:r>
            <w:r>
              <w:rPr>
                <w:rFonts w:ascii="宋体" w:hAnsi="宋体" w:cs="宋体" w:eastAsia="宋体" w:hint="default"/>
                <w:sz w:val="21"/>
                <w:szCs w:val="21"/>
              </w:rPr>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b/>
                <w:bCs/>
                <w:sz w:val="21"/>
                <w:szCs w:val="21"/>
              </w:rPr>
              <w:t>占期末证券</w:t>
            </w:r>
            <w:r>
              <w:rPr>
                <w:rFonts w:ascii="宋体" w:hAnsi="宋体" w:cs="宋体" w:eastAsia="宋体" w:hint="default"/>
                <w:sz w:val="21"/>
                <w:szCs w:val="21"/>
              </w:rPr>
            </w:r>
          </w:p>
          <w:p>
            <w:pPr>
              <w:pStyle w:val="TableParagraph"/>
              <w:spacing w:line="240" w:lineRule="auto" w:before="37"/>
              <w:ind w:left="185" w:right="0"/>
              <w:jc w:val="left"/>
              <w:rPr>
                <w:rFonts w:ascii="宋体" w:hAnsi="宋体" w:cs="宋体" w:eastAsia="宋体" w:hint="default"/>
                <w:sz w:val="21"/>
                <w:szCs w:val="21"/>
              </w:rPr>
            </w:pPr>
            <w:r>
              <w:rPr>
                <w:rFonts w:ascii="宋体" w:hAnsi="宋体" w:cs="宋体" w:eastAsia="宋体" w:hint="default"/>
                <w:b/>
                <w:bCs/>
                <w:sz w:val="21"/>
                <w:szCs w:val="21"/>
              </w:rPr>
              <w:t>总投资比例</w:t>
            </w:r>
            <w:r>
              <w:rPr>
                <w:rFonts w:ascii="宋体" w:hAnsi="宋体" w:cs="宋体" w:eastAsia="宋体" w:hint="default"/>
                <w:sz w:val="21"/>
                <w:szCs w:val="21"/>
              </w:rPr>
            </w:r>
          </w:p>
        </w:tc>
        <w:tc>
          <w:tcPr>
            <w:tcW w:w="161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1"/>
              <w:ind w:left="275" w:right="0"/>
              <w:jc w:val="left"/>
              <w:rPr>
                <w:rFonts w:ascii="宋体" w:hAnsi="宋体" w:cs="宋体" w:eastAsia="宋体" w:hint="default"/>
                <w:sz w:val="21"/>
                <w:szCs w:val="21"/>
              </w:rPr>
            </w:pPr>
            <w:r>
              <w:rPr>
                <w:rFonts w:ascii="宋体" w:hAnsi="宋体" w:cs="宋体" w:eastAsia="宋体" w:hint="default"/>
                <w:b/>
                <w:bCs/>
                <w:sz w:val="21"/>
                <w:szCs w:val="21"/>
              </w:rPr>
              <w:t>报告期损益</w:t>
            </w:r>
            <w:r>
              <w:rPr>
                <w:rFonts w:ascii="宋体" w:hAnsi="宋体" w:cs="宋体" w:eastAsia="宋体" w:hint="default"/>
                <w:sz w:val="21"/>
                <w:szCs w:val="21"/>
              </w:rPr>
            </w:r>
          </w:p>
        </w:tc>
      </w:tr>
      <w:tr>
        <w:trPr>
          <w:trHeight w:val="328" w:hRule="exact"/>
        </w:trPr>
        <w:tc>
          <w:tcPr>
            <w:tcW w:w="55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sz w:val="21"/>
              </w:rPr>
              <w:t>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sz w:val="21"/>
              </w:rPr>
              <w:t>160305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82"/>
              <w:jc w:val="right"/>
              <w:rPr>
                <w:rFonts w:ascii="宋体" w:hAnsi="宋体" w:cs="宋体" w:eastAsia="宋体" w:hint="default"/>
                <w:sz w:val="21"/>
                <w:szCs w:val="21"/>
              </w:rPr>
            </w:pPr>
            <w:r>
              <w:rPr>
                <w:rFonts w:ascii="宋体" w:hAnsi="宋体" w:cs="宋体" w:eastAsia="宋体" w:hint="default"/>
                <w:sz w:val="21"/>
                <w:szCs w:val="21"/>
              </w:rPr>
              <w:t>华夏大盘</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5,980,230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28,029,337.68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6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-15,001,857.17</w:t>
            </w:r>
          </w:p>
        </w:tc>
      </w:tr>
      <w:tr>
        <w:trPr>
          <w:trHeight w:val="326" w:hRule="exact"/>
        </w:trPr>
        <w:tc>
          <w:tcPr>
            <w:tcW w:w="289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6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2896" w:type="dxa"/>
            <w:gridSpan w:val="3"/>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-12,793,295.84</w:t>
            </w:r>
            <w:r>
              <w:rPr>
                <w:rFonts w:ascii="Times New Roman"/>
                <w:sz w:val="21"/>
              </w:rPr>
            </w:r>
          </w:p>
        </w:tc>
      </w:tr>
      <w:tr>
        <w:trPr>
          <w:trHeight w:val="334" w:hRule="exact"/>
        </w:trPr>
        <w:tc>
          <w:tcPr>
            <w:tcW w:w="2896"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10,555,330.00</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28,029,337.68</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6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-27,795,153.01</w:t>
            </w:r>
          </w:p>
        </w:tc>
      </w:tr>
    </w:tbl>
    <w:p>
      <w:pPr>
        <w:spacing w:line="238" w:lineRule="exact" w:before="0"/>
        <w:ind w:left="138" w:right="3546" w:firstLine="0"/>
        <w:jc w:val="left"/>
        <w:rPr>
          <w:rFonts w:ascii="宋体" w:hAnsi="宋体" w:cs="宋体" w:eastAsia="宋体" w:hint="default"/>
          <w:sz w:val="21"/>
          <w:szCs w:val="21"/>
        </w:rPr>
      </w:pPr>
      <w:r>
        <w:rPr>
          <w:rFonts w:ascii="宋体" w:hAnsi="宋体" w:cs="宋体" w:eastAsia="宋体" w:hint="default"/>
          <w:sz w:val="21"/>
          <w:szCs w:val="21"/>
        </w:rPr>
        <w:t>注：</w:t>
      </w:r>
    </w:p>
    <w:p>
      <w:pPr>
        <w:spacing w:line="272"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1、本表要求按期末账面值占公司期末证券投资总额的比例排序，填列公司期末所持前十只证券情况；</w:t>
      </w:r>
    </w:p>
    <w:p>
      <w:pPr>
        <w:spacing w:line="272" w:lineRule="exact" w:before="26"/>
        <w:ind w:left="138" w:right="0" w:firstLine="0"/>
        <w:jc w:val="left"/>
        <w:rPr>
          <w:rFonts w:ascii="宋体" w:hAnsi="宋体" w:cs="宋体" w:eastAsia="宋体" w:hint="default"/>
          <w:sz w:val="21"/>
          <w:szCs w:val="21"/>
        </w:rPr>
      </w:pPr>
      <w:r>
        <w:rPr>
          <w:rFonts w:ascii="宋体" w:hAnsi="宋体" w:cs="宋体" w:eastAsia="宋体" w:hint="default"/>
          <w:sz w:val="21"/>
          <w:szCs w:val="21"/>
        </w:rPr>
        <w:t>2、本表所述证券投资是指股票、权证、可转换债券等投资。其中，股票投资只需填列公司在交易性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金融资产中核算的部分；</w:t>
      </w:r>
    </w:p>
    <w:p>
      <w:pPr>
        <w:spacing w:line="246" w:lineRule="exact" w:before="0"/>
        <w:ind w:left="138" w:right="3546" w:firstLine="0"/>
        <w:jc w:val="left"/>
        <w:rPr>
          <w:rFonts w:ascii="宋体" w:hAnsi="宋体" w:cs="宋体" w:eastAsia="宋体" w:hint="default"/>
          <w:sz w:val="21"/>
          <w:szCs w:val="21"/>
        </w:rPr>
      </w:pPr>
      <w:r>
        <w:rPr>
          <w:rFonts w:ascii="宋体" w:hAnsi="宋体" w:cs="宋体" w:eastAsia="宋体" w:hint="default"/>
          <w:sz w:val="21"/>
          <w:szCs w:val="21"/>
        </w:rPr>
        <w:t>3、其他证券投资指：除前十只证券以外的其他证券投资。</w:t>
      </w:r>
    </w:p>
    <w:p>
      <w:pPr>
        <w:spacing w:line="274"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4、报告期损益，包括报告期公司因持有该证券取得的投资收益及公允价值变动损益。</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610" w:footer="764" w:top="1080" w:bottom="960" w:left="1280" w:right="440"/>
        </w:sectPr>
      </w:pPr>
    </w:p>
    <w:p>
      <w:pPr>
        <w:pStyle w:val="BodyText"/>
        <w:spacing w:line="240" w:lineRule="auto" w:before="26"/>
        <w:ind w:right="-20"/>
        <w:jc w:val="left"/>
      </w:pPr>
      <w:r>
        <w:rPr/>
        <w:t>截至报告期末，公司持有其他上市公司股权情况</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600" w:bottom="280" w:left="1280" w:right="440"/>
          <w:cols w:num="2" w:equalWidth="0">
            <w:col w:w="5179" w:space="2973"/>
            <w:col w:w="203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76"/>
        <w:gridCol w:w="1066"/>
        <w:gridCol w:w="950"/>
        <w:gridCol w:w="1064"/>
        <w:gridCol w:w="1260"/>
        <w:gridCol w:w="720"/>
        <w:gridCol w:w="1080"/>
        <w:gridCol w:w="1066"/>
        <w:gridCol w:w="1094"/>
      </w:tblGrid>
      <w:tr>
        <w:trPr>
          <w:trHeight w:val="958" w:hRule="exact"/>
        </w:trPr>
        <w:tc>
          <w:tcPr>
            <w:tcW w:w="1076"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股票代码</w:t>
            </w:r>
            <w:r>
              <w:rPr>
                <w:rFonts w:ascii="宋体" w:hAnsi="宋体" w:cs="宋体" w:eastAsia="宋体" w:hint="default"/>
                <w:sz w:val="21"/>
                <w:szCs w:val="21"/>
              </w:rPr>
            </w:r>
          </w:p>
        </w:tc>
        <w:tc>
          <w:tcPr>
            <w:tcW w:w="106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简称</w:t>
            </w:r>
            <w:r>
              <w:rPr>
                <w:rFonts w:ascii="宋体" w:hAnsi="宋体" w:cs="宋体" w:eastAsia="宋体" w:hint="default"/>
                <w:sz w:val="21"/>
                <w:szCs w:val="21"/>
              </w:rPr>
            </w:r>
          </w:p>
        </w:tc>
        <w:tc>
          <w:tcPr>
            <w:tcW w:w="95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51" w:right="0" w:firstLine="1"/>
              <w:jc w:val="left"/>
              <w:rPr>
                <w:rFonts w:ascii="宋体" w:hAnsi="宋体" w:cs="宋体" w:eastAsia="宋体" w:hint="default"/>
                <w:sz w:val="21"/>
                <w:szCs w:val="21"/>
              </w:rPr>
            </w:pPr>
            <w:r>
              <w:rPr>
                <w:rFonts w:ascii="宋体" w:hAnsi="宋体" w:cs="宋体" w:eastAsia="宋体" w:hint="default"/>
                <w:b/>
                <w:bCs/>
                <w:sz w:val="21"/>
                <w:szCs w:val="21"/>
              </w:rPr>
              <w:t>初始投</w:t>
            </w:r>
            <w:r>
              <w:rPr>
                <w:rFonts w:ascii="宋体" w:hAnsi="宋体" w:cs="宋体" w:eastAsia="宋体" w:hint="default"/>
                <w:sz w:val="21"/>
                <w:szCs w:val="21"/>
              </w:rPr>
            </w:r>
          </w:p>
          <w:p>
            <w:pPr>
              <w:pStyle w:val="TableParagraph"/>
              <w:spacing w:line="240" w:lineRule="auto" w:before="37"/>
              <w:ind w:left="151" w:right="0"/>
              <w:jc w:val="left"/>
              <w:rPr>
                <w:rFonts w:ascii="宋体" w:hAnsi="宋体" w:cs="宋体" w:eastAsia="宋体" w:hint="default"/>
                <w:sz w:val="21"/>
                <w:szCs w:val="21"/>
              </w:rPr>
            </w:pPr>
            <w:r>
              <w:rPr>
                <w:rFonts w:ascii="宋体" w:hAnsi="宋体" w:cs="宋体" w:eastAsia="宋体" w:hint="default"/>
                <w:b/>
                <w:bCs/>
                <w:sz w:val="21"/>
                <w:szCs w:val="21"/>
              </w:rPr>
              <w:t>资金额</w:t>
            </w:r>
            <w:r>
              <w:rPr>
                <w:rFonts w:ascii="宋体" w:hAnsi="宋体" w:cs="宋体" w:eastAsia="宋体" w:hint="default"/>
                <w:sz w:val="21"/>
                <w:szCs w:val="21"/>
              </w:rPr>
            </w:r>
          </w:p>
        </w:tc>
        <w:tc>
          <w:tcPr>
            <w:tcW w:w="106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01" w:right="0" w:firstLine="1"/>
              <w:jc w:val="left"/>
              <w:rPr>
                <w:rFonts w:ascii="宋体" w:hAnsi="宋体" w:cs="宋体" w:eastAsia="宋体" w:hint="default"/>
                <w:sz w:val="21"/>
                <w:szCs w:val="21"/>
              </w:rPr>
            </w:pPr>
            <w:r>
              <w:rPr>
                <w:rFonts w:ascii="宋体" w:hAnsi="宋体" w:cs="宋体" w:eastAsia="宋体" w:hint="default"/>
                <w:b/>
                <w:bCs/>
                <w:sz w:val="21"/>
                <w:szCs w:val="21"/>
              </w:rPr>
              <w:t>占该公司</w:t>
            </w:r>
            <w:r>
              <w:rPr>
                <w:rFonts w:ascii="宋体" w:hAnsi="宋体" w:cs="宋体" w:eastAsia="宋体" w:hint="default"/>
                <w:sz w:val="21"/>
                <w:szCs w:val="21"/>
              </w:rPr>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b/>
                <w:bCs/>
                <w:sz w:val="21"/>
                <w:szCs w:val="21"/>
              </w:rPr>
              <w:t>股权比例</w:t>
            </w:r>
            <w:r>
              <w:rPr>
                <w:rFonts w:ascii="宋体" w:hAnsi="宋体" w:cs="宋体" w:eastAsia="宋体" w:hint="default"/>
                <w:sz w:val="21"/>
                <w:szCs w:val="21"/>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期末账面</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w w:val="99"/>
                <w:sz w:val="21"/>
                <w:szCs w:val="21"/>
              </w:rPr>
              <w:t>值</w:t>
            </w:r>
            <w:r>
              <w:rPr>
                <w:rFonts w:ascii="宋体" w:hAnsi="宋体" w:cs="宋体" w:eastAsia="宋体" w:hint="default"/>
                <w:sz w:val="21"/>
                <w:szCs w:val="21"/>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41" w:right="0"/>
              <w:jc w:val="left"/>
              <w:rPr>
                <w:rFonts w:ascii="宋体" w:hAnsi="宋体" w:cs="宋体" w:eastAsia="宋体" w:hint="default"/>
                <w:sz w:val="21"/>
                <w:szCs w:val="21"/>
              </w:rPr>
            </w:pPr>
            <w:r>
              <w:rPr>
                <w:rFonts w:ascii="宋体" w:hAnsi="宋体" w:cs="宋体" w:eastAsia="宋体" w:hint="default"/>
                <w:b/>
                <w:bCs/>
                <w:sz w:val="21"/>
                <w:szCs w:val="21"/>
              </w:rPr>
              <w:t>报告</w:t>
            </w:r>
            <w:r>
              <w:rPr>
                <w:rFonts w:ascii="宋体" w:hAnsi="宋体" w:cs="宋体" w:eastAsia="宋体" w:hint="default"/>
                <w:sz w:val="21"/>
                <w:szCs w:val="21"/>
              </w:rPr>
            </w:r>
          </w:p>
          <w:p>
            <w:pPr>
              <w:pStyle w:val="TableParagraph"/>
              <w:spacing w:line="273" w:lineRule="auto" w:before="37"/>
              <w:ind w:left="247" w:right="139" w:hanging="106"/>
              <w:jc w:val="left"/>
              <w:rPr>
                <w:rFonts w:ascii="宋体" w:hAnsi="宋体" w:cs="宋体" w:eastAsia="宋体" w:hint="default"/>
                <w:sz w:val="21"/>
                <w:szCs w:val="21"/>
              </w:rPr>
            </w:pPr>
            <w:r>
              <w:rPr>
                <w:rFonts w:ascii="宋体" w:hAnsi="宋体" w:cs="宋体" w:eastAsia="宋体" w:hint="default"/>
                <w:b/>
                <w:bCs/>
                <w:sz w:val="21"/>
                <w:szCs w:val="21"/>
              </w:rPr>
              <w:t>期损</w:t>
            </w:r>
            <w:r>
              <w:rPr>
                <w:rFonts w:ascii="宋体" w:hAnsi="宋体" w:cs="宋体" w:eastAsia="宋体" w:hint="default"/>
                <w:b/>
                <w:bCs/>
                <w:spacing w:val="1"/>
                <w:w w:val="99"/>
                <w:sz w:val="21"/>
                <w:szCs w:val="21"/>
              </w:rPr>
              <w:t> </w:t>
            </w:r>
            <w:r>
              <w:rPr>
                <w:rFonts w:ascii="宋体" w:hAnsi="宋体" w:cs="宋体" w:eastAsia="宋体" w:hint="default"/>
                <w:b/>
                <w:bCs/>
                <w:sz w:val="21"/>
                <w:szCs w:val="21"/>
              </w:rPr>
              <w:t>益</w:t>
            </w:r>
            <w:r>
              <w:rPr>
                <w:rFonts w:ascii="宋体" w:hAnsi="宋体" w:cs="宋体" w:eastAsia="宋体" w:hint="default"/>
                <w:sz w:val="21"/>
                <w:szCs w:val="21"/>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b/>
                <w:bCs/>
                <w:sz w:val="21"/>
                <w:szCs w:val="21"/>
              </w:rPr>
              <w:t>报告期所</w:t>
            </w:r>
            <w:r>
              <w:rPr>
                <w:rFonts w:ascii="宋体" w:hAnsi="宋体" w:cs="宋体" w:eastAsia="宋体" w:hint="default"/>
                <w:sz w:val="21"/>
                <w:szCs w:val="21"/>
              </w:rPr>
            </w:r>
          </w:p>
          <w:p>
            <w:pPr>
              <w:pStyle w:val="TableParagraph"/>
              <w:spacing w:line="273" w:lineRule="auto" w:before="37"/>
              <w:ind w:left="321" w:right="108" w:hanging="212"/>
              <w:jc w:val="left"/>
              <w:rPr>
                <w:rFonts w:ascii="宋体" w:hAnsi="宋体" w:cs="宋体" w:eastAsia="宋体" w:hint="default"/>
                <w:sz w:val="21"/>
                <w:szCs w:val="21"/>
              </w:rPr>
            </w:pPr>
            <w:r>
              <w:rPr>
                <w:rFonts w:ascii="宋体" w:hAnsi="宋体" w:cs="宋体" w:eastAsia="宋体" w:hint="default"/>
                <w:b/>
                <w:bCs/>
                <w:sz w:val="21"/>
                <w:szCs w:val="21"/>
              </w:rPr>
              <w:t>有者权益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变动</w:t>
            </w:r>
            <w:r>
              <w:rPr>
                <w:rFonts w:ascii="宋体" w:hAnsi="宋体" w:cs="宋体" w:eastAsia="宋体" w:hint="default"/>
                <w:sz w:val="21"/>
                <w:szCs w:val="21"/>
              </w:rPr>
            </w:r>
          </w:p>
        </w:tc>
        <w:tc>
          <w:tcPr>
            <w:tcW w:w="106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会计核算</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1094"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b/>
                <w:bCs/>
                <w:sz w:val="21"/>
                <w:szCs w:val="21"/>
              </w:rPr>
              <w:t>股份来源</w:t>
            </w:r>
            <w:r>
              <w:rPr>
                <w:rFonts w:ascii="宋体" w:hAnsi="宋体" w:cs="宋体" w:eastAsia="宋体" w:hint="default"/>
                <w:sz w:val="21"/>
                <w:szCs w:val="21"/>
              </w:rPr>
            </w:r>
          </w:p>
        </w:tc>
      </w:tr>
      <w:tr>
        <w:trPr>
          <w:trHeight w:val="950" w:hRule="exact"/>
        </w:trPr>
        <w:tc>
          <w:tcPr>
            <w:tcW w:w="10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sz w:val="21"/>
              </w:rPr>
              <w:t>600590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泰豪科技</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2804.08</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23.38%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z w:val="21"/>
              </w:rPr>
              <w:t>10,434.24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长期股权</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094"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发起人股</w:t>
            </w:r>
            <w:r>
              <w:rPr>
                <w:rFonts w:ascii="宋体" w:hAnsi="宋体" w:cs="宋体" w:eastAsia="宋体" w:hint="default"/>
                <w:sz w:val="21"/>
                <w:szCs w:val="21"/>
              </w:rPr>
            </w:r>
          </w:p>
          <w:p>
            <w:pPr>
              <w:pStyle w:val="TableParagraph"/>
              <w:spacing w:line="273" w:lineRule="auto" w:before="37"/>
              <w:ind w:left="100" w:right="75"/>
              <w:jc w:val="left"/>
              <w:rPr>
                <w:rFonts w:ascii="宋体" w:hAnsi="宋体" w:cs="宋体" w:eastAsia="宋体" w:hint="default"/>
                <w:sz w:val="21"/>
                <w:szCs w:val="21"/>
              </w:rPr>
            </w:pPr>
            <w:r>
              <w:rPr>
                <w:rFonts w:ascii="宋体" w:hAnsi="宋体" w:cs="宋体" w:eastAsia="宋体" w:hint="default"/>
                <w:spacing w:val="13"/>
                <w:sz w:val="21"/>
                <w:szCs w:val="21"/>
              </w:rPr>
              <w:t>及二级市 </w:t>
            </w:r>
            <w:r>
              <w:rPr>
                <w:rFonts w:ascii="宋体" w:hAnsi="宋体" w:cs="宋体" w:eastAsia="宋体" w:hint="default"/>
                <w:sz w:val="21"/>
                <w:szCs w:val="21"/>
              </w:rPr>
              <w:t>场购入</w:t>
            </w:r>
          </w:p>
        </w:tc>
      </w:tr>
      <w:tr>
        <w:trPr>
          <w:trHeight w:val="647" w:hRule="exact"/>
        </w:trPr>
        <w:tc>
          <w:tcPr>
            <w:tcW w:w="1076"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sz w:val="21"/>
              </w:rPr>
              <w:t>601169</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北京银行</w:t>
            </w:r>
          </w:p>
        </w:tc>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55.53</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0.01%</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545.52</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-701.03</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可供出售</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094" w:type="dxa"/>
            <w:tcBorders>
              <w:top w:val="single" w:sz="6" w:space="0" w:color="000000"/>
              <w:left w:val="single" w:sz="6" w:space="0" w:color="000000"/>
              <w:bottom w:val="single" w:sz="12"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发起人股</w:t>
            </w:r>
          </w:p>
        </w:tc>
      </w:tr>
    </w:tbl>
    <w:p>
      <w:pPr>
        <w:spacing w:line="240" w:lineRule="exact" w:before="0"/>
        <w:ind w:left="138" w:right="3546" w:firstLine="0"/>
        <w:jc w:val="left"/>
        <w:rPr>
          <w:rFonts w:ascii="宋体" w:hAnsi="宋体" w:cs="宋体" w:eastAsia="宋体" w:hint="default"/>
          <w:sz w:val="21"/>
          <w:szCs w:val="21"/>
        </w:rPr>
      </w:pPr>
      <w:r>
        <w:rPr>
          <w:rFonts w:ascii="宋体" w:hAnsi="宋体" w:cs="宋体" w:eastAsia="宋体" w:hint="default"/>
          <w:sz w:val="21"/>
          <w:szCs w:val="21"/>
        </w:rPr>
        <w:t>报告期损益指：该项投资对公司本报告期合并净利润的影响。</w:t>
      </w:r>
    </w:p>
    <w:p>
      <w:pPr>
        <w:spacing w:line="240" w:lineRule="auto" w:before="4"/>
        <w:rPr>
          <w:rFonts w:ascii="宋体" w:hAnsi="宋体" w:cs="宋体" w:eastAsia="宋体" w:hint="default"/>
          <w:sz w:val="23"/>
          <w:szCs w:val="23"/>
        </w:rPr>
      </w:pPr>
    </w:p>
    <w:p>
      <w:pPr>
        <w:pStyle w:val="Heading3"/>
        <w:spacing w:line="240" w:lineRule="auto"/>
        <w:ind w:left="138" w:right="3546"/>
        <w:jc w:val="left"/>
        <w:rPr>
          <w:b w:val="0"/>
          <w:bCs w:val="0"/>
        </w:rPr>
      </w:pPr>
      <w:r>
        <w:rPr/>
        <w:t>4、关于关联方及关联交易的说明</w:t>
      </w:r>
      <w:r>
        <w:rPr>
          <w:b w:val="0"/>
          <w:bCs w:val="0"/>
        </w:rPr>
      </w:r>
    </w:p>
    <w:p>
      <w:pPr>
        <w:spacing w:after="0" w:line="240" w:lineRule="auto"/>
        <w:jc w:val="left"/>
        <w:sectPr>
          <w:type w:val="continuous"/>
          <w:pgSz w:w="11910" w:h="16840"/>
          <w:pgMar w:top="1600" w:bottom="280" w:left="1280" w:right="4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312" w:lineRule="exact" w:before="26"/>
        <w:ind w:left="238" w:right="107"/>
        <w:jc w:val="left"/>
      </w:pPr>
      <w:r>
        <w:rPr/>
        <w:t>公司本年度未发生重大关联交易，因实际经营需要与清华大学从</w:t>
      </w:r>
      <w:r>
        <w:rPr>
          <w:spacing w:val="-47"/>
        </w:rPr>
        <w:t> </w:t>
      </w:r>
      <w:r>
        <w:rPr>
          <w:spacing w:val="24"/>
        </w:rPr>
        <w:t>2008年1</w:t>
      </w:r>
      <w:r>
        <w:rPr>
          <w:spacing w:val="-47"/>
        </w:rPr>
        <w:t> </w:t>
      </w:r>
      <w:r>
        <w:rPr/>
        <w:t>月至</w:t>
      </w:r>
      <w:r>
        <w:rPr>
          <w:spacing w:val="-47"/>
        </w:rPr>
        <w:t> </w:t>
      </w:r>
      <w:r>
        <w:rPr/>
        <w:t>2008</w:t>
      </w:r>
      <w:r>
        <w:rPr>
          <w:spacing w:val="-47"/>
        </w:rPr>
        <w:t> </w:t>
      </w:r>
      <w:r>
        <w:rPr/>
        <w:t>年</w:t>
      </w:r>
    </w:p>
    <w:p>
      <w:pPr>
        <w:pStyle w:val="BodyText"/>
        <w:spacing w:line="312" w:lineRule="exact"/>
        <w:ind w:left="238" w:right="107"/>
        <w:jc w:val="left"/>
      </w:pPr>
      <w:r>
        <w:rPr/>
        <w:t>12</w:t>
      </w:r>
      <w:r>
        <w:rPr>
          <w:spacing w:val="-60"/>
        </w:rPr>
        <w:t> </w:t>
      </w:r>
      <w:r>
        <w:rPr/>
        <w:t>月发生了以下日常交易：</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360"/>
        <w:gridCol w:w="5400"/>
        <w:gridCol w:w="2657"/>
      </w:tblGrid>
      <w:tr>
        <w:trPr>
          <w:trHeight w:val="305" w:hRule="exact"/>
        </w:trPr>
        <w:tc>
          <w:tcPr>
            <w:tcW w:w="1360" w:type="dxa"/>
            <w:vMerge w:val="restart"/>
            <w:tcBorders>
              <w:top w:val="single" w:sz="12" w:space="0" w:color="000000"/>
              <w:left w:val="single" w:sz="12" w:space="0" w:color="000000"/>
              <w:right w:val="single" w:sz="6" w:space="0" w:color="000000"/>
            </w:tcBorders>
          </w:tcPr>
          <w:p>
            <w:pPr/>
          </w:p>
        </w:tc>
        <w:tc>
          <w:tcPr>
            <w:tcW w:w="5400"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交易事项</w:t>
            </w:r>
            <w:r>
              <w:rPr>
                <w:rFonts w:ascii="宋体" w:hAnsi="宋体" w:cs="宋体" w:eastAsia="宋体" w:hint="default"/>
                <w:sz w:val="21"/>
                <w:szCs w:val="21"/>
              </w:rPr>
            </w:r>
          </w:p>
        </w:tc>
        <w:tc>
          <w:tcPr>
            <w:tcW w:w="2657"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99" w:hRule="exact"/>
        </w:trPr>
        <w:tc>
          <w:tcPr>
            <w:tcW w:w="1360" w:type="dxa"/>
            <w:vMerge/>
            <w:tcBorders>
              <w:left w:val="single" w:sz="12" w:space="0" w:color="000000"/>
              <w:bottom w:val="single" w:sz="6" w:space="0" w:color="000000"/>
              <w:right w:val="single" w:sz="6" w:space="0" w:color="000000"/>
            </w:tcBorders>
          </w:tcPr>
          <w:p>
            <w:pPr/>
          </w:p>
        </w:tc>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left="794" w:right="0"/>
              <w:jc w:val="left"/>
              <w:rPr>
                <w:rFonts w:ascii="宋体" w:hAnsi="宋体" w:cs="宋体" w:eastAsia="宋体" w:hint="default"/>
                <w:sz w:val="21"/>
                <w:szCs w:val="21"/>
              </w:rPr>
            </w:pPr>
            <w:r>
              <w:rPr>
                <w:rFonts w:ascii="宋体" w:hAnsi="宋体" w:cs="宋体" w:eastAsia="宋体" w:hint="default"/>
                <w:b/>
                <w:bCs/>
                <w:sz w:val="21"/>
                <w:szCs w:val="21"/>
              </w:rPr>
              <w:t>实际发生额</w:t>
            </w:r>
            <w:r>
              <w:rPr>
                <w:rFonts w:ascii="宋体" w:hAnsi="宋体" w:cs="宋体" w:eastAsia="宋体" w:hint="default"/>
                <w:sz w:val="21"/>
                <w:szCs w:val="21"/>
              </w:rPr>
            </w:r>
          </w:p>
        </w:tc>
      </w:tr>
      <w:tr>
        <w:trPr>
          <w:trHeight w:val="300" w:hRule="exact"/>
        </w:trPr>
        <w:tc>
          <w:tcPr>
            <w:tcW w:w="1360"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sz w:val="21"/>
                <w:szCs w:val="21"/>
              </w:rPr>
            </w:r>
          </w:p>
        </w:tc>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销售商品</w:t>
            </w:r>
            <w:r>
              <w:rPr>
                <w:rFonts w:ascii="宋体" w:hAnsi="宋体" w:cs="宋体" w:eastAsia="宋体" w:hint="default"/>
                <w:sz w:val="21"/>
                <w:szCs w:val="21"/>
              </w:rPr>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212.43</w:t>
            </w:r>
          </w:p>
        </w:tc>
      </w:tr>
      <w:tr>
        <w:trPr>
          <w:trHeight w:val="299" w:hRule="exact"/>
        </w:trPr>
        <w:tc>
          <w:tcPr>
            <w:tcW w:w="1360"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sz w:val="21"/>
                <w:szCs w:val="21"/>
              </w:rPr>
            </w:r>
          </w:p>
        </w:tc>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提供劳务—工程及技术服务收入</w:t>
            </w:r>
            <w:r>
              <w:rPr>
                <w:rFonts w:ascii="宋体" w:hAnsi="宋体" w:cs="宋体" w:eastAsia="宋体" w:hint="default"/>
                <w:sz w:val="21"/>
                <w:szCs w:val="21"/>
              </w:rPr>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674.63</w:t>
            </w:r>
          </w:p>
        </w:tc>
      </w:tr>
      <w:tr>
        <w:trPr>
          <w:trHeight w:val="299" w:hRule="exact"/>
        </w:trPr>
        <w:tc>
          <w:tcPr>
            <w:tcW w:w="1360"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sz w:val="21"/>
                <w:szCs w:val="21"/>
              </w:rPr>
            </w:r>
          </w:p>
        </w:tc>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提供代理</w:t>
            </w:r>
            <w:r>
              <w:rPr>
                <w:rFonts w:ascii="宋体" w:hAnsi="宋体" w:cs="宋体" w:eastAsia="宋体" w:hint="default"/>
                <w:sz w:val="21"/>
                <w:szCs w:val="21"/>
              </w:rPr>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right="92"/>
              <w:jc w:val="right"/>
              <w:rPr>
                <w:rFonts w:ascii="宋体" w:hAnsi="宋体" w:cs="宋体" w:eastAsia="宋体" w:hint="default"/>
                <w:sz w:val="21"/>
                <w:szCs w:val="21"/>
              </w:rPr>
            </w:pPr>
            <w:r>
              <w:rPr>
                <w:rFonts w:ascii="宋体"/>
                <w:spacing w:val="-1"/>
                <w:sz w:val="21"/>
              </w:rPr>
              <w:t>39.24</w:t>
            </w:r>
          </w:p>
        </w:tc>
      </w:tr>
      <w:tr>
        <w:trPr>
          <w:trHeight w:val="299" w:hRule="exact"/>
        </w:trPr>
        <w:tc>
          <w:tcPr>
            <w:tcW w:w="1360"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sz w:val="21"/>
                <w:szCs w:val="21"/>
              </w:rPr>
            </w:r>
          </w:p>
        </w:tc>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购买商品</w:t>
            </w:r>
            <w:r>
              <w:rPr>
                <w:rFonts w:ascii="宋体" w:hAnsi="宋体" w:cs="宋体" w:eastAsia="宋体" w:hint="default"/>
                <w:sz w:val="21"/>
                <w:szCs w:val="21"/>
              </w:rPr>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475.86</w:t>
            </w:r>
          </w:p>
        </w:tc>
      </w:tr>
      <w:tr>
        <w:trPr>
          <w:trHeight w:val="299" w:hRule="exact"/>
        </w:trPr>
        <w:tc>
          <w:tcPr>
            <w:tcW w:w="1360"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sz w:val="21"/>
                <w:szCs w:val="21"/>
              </w:rPr>
            </w:r>
          </w:p>
        </w:tc>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接受劳务</w:t>
            </w:r>
            <w:r>
              <w:rPr>
                <w:rFonts w:ascii="宋体" w:hAnsi="宋体" w:cs="宋体" w:eastAsia="宋体" w:hint="default"/>
                <w:sz w:val="21"/>
                <w:szCs w:val="21"/>
              </w:rPr>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right="92"/>
              <w:jc w:val="right"/>
              <w:rPr>
                <w:rFonts w:ascii="宋体" w:hAnsi="宋体" w:cs="宋体" w:eastAsia="宋体" w:hint="default"/>
                <w:sz w:val="21"/>
                <w:szCs w:val="21"/>
              </w:rPr>
            </w:pPr>
            <w:r>
              <w:rPr>
                <w:rFonts w:ascii="宋体"/>
                <w:spacing w:val="-1"/>
                <w:sz w:val="21"/>
              </w:rPr>
              <w:t>10,060.92</w:t>
            </w:r>
          </w:p>
        </w:tc>
      </w:tr>
      <w:tr>
        <w:trPr>
          <w:trHeight w:val="299" w:hRule="exact"/>
        </w:trPr>
        <w:tc>
          <w:tcPr>
            <w:tcW w:w="1360" w:type="dxa"/>
            <w:tcBorders>
              <w:top w:val="single" w:sz="6" w:space="0" w:color="000000"/>
              <w:left w:val="single" w:sz="12" w:space="0" w:color="000000"/>
              <w:bottom w:val="single" w:sz="6" w:space="0" w:color="000000"/>
              <w:right w:val="single" w:sz="6" w:space="0" w:color="000000"/>
            </w:tcBorders>
          </w:tcPr>
          <w:p>
            <w:pPr/>
          </w:p>
        </w:tc>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接受劳务—技术服务费</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right="91"/>
              <w:jc w:val="right"/>
              <w:rPr>
                <w:rFonts w:ascii="宋体" w:hAnsi="宋体" w:cs="宋体" w:eastAsia="宋体" w:hint="default"/>
                <w:sz w:val="21"/>
                <w:szCs w:val="21"/>
              </w:rPr>
            </w:pPr>
            <w:r>
              <w:rPr>
                <w:rFonts w:ascii="宋体"/>
                <w:sz w:val="21"/>
              </w:rPr>
              <w:t>9,911.00</w:t>
            </w:r>
          </w:p>
        </w:tc>
      </w:tr>
      <w:tr>
        <w:trPr>
          <w:trHeight w:val="300" w:hRule="exact"/>
        </w:trPr>
        <w:tc>
          <w:tcPr>
            <w:tcW w:w="1360" w:type="dxa"/>
            <w:tcBorders>
              <w:top w:val="single" w:sz="6" w:space="0" w:color="000000"/>
              <w:left w:val="single" w:sz="12" w:space="0" w:color="000000"/>
              <w:bottom w:val="single" w:sz="6" w:space="0" w:color="000000"/>
              <w:right w:val="single" w:sz="6" w:space="0" w:color="000000"/>
            </w:tcBorders>
          </w:tcPr>
          <w:p>
            <w:pPr/>
          </w:p>
        </w:tc>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接受劳务—其他</w:t>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right="92"/>
              <w:jc w:val="right"/>
              <w:rPr>
                <w:rFonts w:ascii="宋体" w:hAnsi="宋体" w:cs="宋体" w:eastAsia="宋体" w:hint="default"/>
                <w:sz w:val="21"/>
                <w:szCs w:val="21"/>
              </w:rPr>
            </w:pPr>
            <w:r>
              <w:rPr>
                <w:rFonts w:ascii="宋体"/>
                <w:sz w:val="21"/>
              </w:rPr>
              <w:t>149.92</w:t>
            </w:r>
          </w:p>
        </w:tc>
      </w:tr>
      <w:tr>
        <w:trPr>
          <w:trHeight w:val="299" w:hRule="exact"/>
        </w:trPr>
        <w:tc>
          <w:tcPr>
            <w:tcW w:w="1360"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sz w:val="21"/>
                <w:szCs w:val="21"/>
              </w:rPr>
            </w:r>
          </w:p>
        </w:tc>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支付许可授权费</w:t>
            </w:r>
            <w:r>
              <w:rPr>
                <w:rFonts w:ascii="宋体" w:hAnsi="宋体" w:cs="宋体" w:eastAsia="宋体" w:hint="default"/>
                <w:sz w:val="21"/>
                <w:szCs w:val="21"/>
              </w:rPr>
            </w:r>
          </w:p>
        </w:tc>
        <w:tc>
          <w:tcPr>
            <w:tcW w:w="2657"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4,055.94</w:t>
            </w:r>
          </w:p>
        </w:tc>
      </w:tr>
      <w:tr>
        <w:trPr>
          <w:trHeight w:val="307" w:hRule="exact"/>
        </w:trPr>
        <w:tc>
          <w:tcPr>
            <w:tcW w:w="6760"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发生额合计</w:t>
            </w:r>
            <w:r>
              <w:rPr>
                <w:rFonts w:ascii="宋体" w:hAnsi="宋体" w:cs="宋体" w:eastAsia="宋体" w:hint="default"/>
                <w:sz w:val="21"/>
                <w:szCs w:val="21"/>
              </w:rPr>
            </w:r>
          </w:p>
        </w:tc>
        <w:tc>
          <w:tcPr>
            <w:tcW w:w="2657" w:type="dxa"/>
            <w:tcBorders>
              <w:top w:val="single" w:sz="6" w:space="0" w:color="000000"/>
              <w:left w:val="single" w:sz="6" w:space="0" w:color="000000"/>
              <w:bottom w:val="single" w:sz="12" w:space="0" w:color="000000"/>
              <w:right w:val="single" w:sz="12" w:space="0" w:color="000000"/>
            </w:tcBorders>
          </w:tcPr>
          <w:p>
            <w:pPr>
              <w:pStyle w:val="TableParagraph"/>
              <w:spacing w:line="244" w:lineRule="exact"/>
              <w:ind w:right="92"/>
              <w:jc w:val="right"/>
              <w:rPr>
                <w:rFonts w:ascii="宋体" w:hAnsi="宋体" w:cs="宋体" w:eastAsia="宋体" w:hint="default"/>
                <w:sz w:val="21"/>
                <w:szCs w:val="21"/>
              </w:rPr>
            </w:pPr>
            <w:r>
              <w:rPr>
                <w:rFonts w:ascii="宋体"/>
                <w:spacing w:val="-1"/>
                <w:sz w:val="21"/>
              </w:rPr>
              <w:t>15,519.02</w:t>
            </w:r>
          </w:p>
        </w:tc>
      </w:tr>
    </w:tbl>
    <w:p>
      <w:pPr>
        <w:spacing w:line="260" w:lineRule="exact"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注：</w:t>
      </w:r>
    </w:p>
    <w:p>
      <w:pPr>
        <w:spacing w:line="273" w:lineRule="auto" w:before="37"/>
        <w:ind w:left="238" w:right="107" w:firstLine="420"/>
        <w:jc w:val="left"/>
        <w:rPr>
          <w:rFonts w:ascii="宋体" w:hAnsi="宋体" w:cs="宋体" w:eastAsia="宋体" w:hint="default"/>
          <w:sz w:val="21"/>
          <w:szCs w:val="21"/>
        </w:rPr>
      </w:pPr>
      <w:r>
        <w:rPr>
          <w:rFonts w:ascii="宋体" w:hAnsi="宋体" w:cs="宋体" w:eastAsia="宋体" w:hint="default"/>
          <w:sz w:val="21"/>
          <w:szCs w:val="21"/>
        </w:rPr>
        <w:t>(1)提供劳务－工程及技术服务收入，系公司及下属子公司向清华大学提供的工程服务及技术开 发形成的收入。</w:t>
      </w:r>
    </w:p>
    <w:p>
      <w:pPr>
        <w:spacing w:line="273" w:lineRule="auto" w:before="8"/>
        <w:ind w:left="658" w:right="291" w:firstLine="0"/>
        <w:jc w:val="left"/>
        <w:rPr>
          <w:rFonts w:ascii="宋体" w:hAnsi="宋体" w:cs="宋体" w:eastAsia="宋体" w:hint="default"/>
          <w:sz w:val="21"/>
          <w:szCs w:val="21"/>
        </w:rPr>
      </w:pPr>
      <w:r>
        <w:rPr>
          <w:rFonts w:ascii="宋体" w:hAnsi="宋体" w:cs="宋体" w:eastAsia="宋体" w:hint="default"/>
          <w:sz w:val="21"/>
          <w:szCs w:val="21"/>
        </w:rPr>
        <w:t>(2)接受劳务－技术服务费，系公司及下属子公司委托清华大学实施科研开发费用。 (3)接受劳务－其他，系公司及下属子公司向清华大学实施的捐赠及房租。 (4)支付许可授权费，系公司及下属子公司向清华大学支付的专利等技术成果实施许可使用费。</w:t>
      </w:r>
    </w:p>
    <w:p>
      <w:pPr>
        <w:spacing w:line="240" w:lineRule="auto" w:before="11"/>
        <w:rPr>
          <w:rFonts w:ascii="宋体" w:hAnsi="宋体" w:cs="宋体" w:eastAsia="宋体" w:hint="default"/>
          <w:sz w:val="24"/>
          <w:szCs w:val="24"/>
        </w:rPr>
      </w:pPr>
    </w:p>
    <w:p>
      <w:pPr>
        <w:pStyle w:val="BodyText"/>
        <w:spacing w:line="312" w:lineRule="exact"/>
        <w:ind w:left="238" w:right="107"/>
        <w:jc w:val="left"/>
      </w:pPr>
      <w:r>
        <w:rPr/>
        <w:t>公司(母公司)及下属控股子公司与清华大学存在的交易性质多属于以科研开发为主的技</w:t>
      </w:r>
      <w:r>
        <w:rPr>
          <w:spacing w:val="-45"/>
        </w:rPr>
        <w:t> </w:t>
      </w:r>
      <w:r>
        <w:rPr>
          <w:spacing w:val="-45"/>
        </w:rPr>
      </w:r>
      <w:r>
        <w:rPr/>
        <w:t>术服务及技术成果实施许可。</w:t>
      </w:r>
    </w:p>
    <w:p>
      <w:pPr>
        <w:spacing w:line="240" w:lineRule="auto" w:before="7"/>
        <w:rPr>
          <w:rFonts w:ascii="宋体" w:hAnsi="宋体" w:cs="宋体" w:eastAsia="宋体" w:hint="default"/>
          <w:sz w:val="21"/>
          <w:szCs w:val="21"/>
        </w:rPr>
      </w:pPr>
    </w:p>
    <w:p>
      <w:pPr>
        <w:pStyle w:val="BodyText"/>
        <w:spacing w:line="237" w:lineRule="auto"/>
        <w:ind w:left="238" w:right="240"/>
        <w:jc w:val="both"/>
      </w:pPr>
      <w:r>
        <w:rPr/>
        <w:t>公司自成立以来一直与清华大学保持了密切的合作关系，并成功的依托清华大学雄厚的</w:t>
      </w:r>
      <w:r>
        <w:rPr>
          <w:spacing w:val="-47"/>
        </w:rPr>
        <w:t> </w:t>
      </w:r>
      <w:r>
        <w:rPr>
          <w:spacing w:val="-47"/>
        </w:rPr>
      </w:r>
      <w:r>
        <w:rPr/>
        <w:t>技术实力实现了技术成果孵化，公司的众多下属子公司也通过与清华大学各个院系的技</w:t>
      </w:r>
      <w:r>
        <w:rPr>
          <w:spacing w:val="-47"/>
        </w:rPr>
        <w:t> </w:t>
      </w:r>
      <w:r>
        <w:rPr>
          <w:spacing w:val="-47"/>
        </w:rPr>
      </w:r>
      <w:r>
        <w:rPr/>
        <w:t>术合作，实现了自有技术实力和核心竞争力的提升。其中，威视股份、微电子等核心下</w:t>
      </w:r>
      <w:r>
        <w:rPr>
          <w:spacing w:val="-47"/>
        </w:rPr>
        <w:t> </w:t>
      </w:r>
      <w:r>
        <w:rPr>
          <w:spacing w:val="-47"/>
        </w:rPr>
      </w:r>
      <w:r>
        <w:rPr/>
        <w:t>属子公司更是清华大学技术成果成功实现产业化的典范。</w:t>
      </w:r>
    </w:p>
    <w:p>
      <w:pPr>
        <w:spacing w:line="240" w:lineRule="auto" w:before="10"/>
        <w:rPr>
          <w:rFonts w:ascii="宋体" w:hAnsi="宋体" w:cs="宋体" w:eastAsia="宋体" w:hint="default"/>
          <w:sz w:val="23"/>
          <w:szCs w:val="23"/>
        </w:rPr>
      </w:pPr>
    </w:p>
    <w:p>
      <w:pPr>
        <w:pStyle w:val="BodyText"/>
        <w:spacing w:line="237" w:lineRule="auto"/>
        <w:ind w:left="238" w:right="107"/>
        <w:jc w:val="left"/>
      </w:pPr>
      <w:r>
        <w:rPr/>
        <w:t>我们认为，公司及下属控股子公司与清华大学发生的日常交易多系技术服务与技术成果</w:t>
      </w:r>
      <w:r>
        <w:rPr>
          <w:spacing w:val="-47"/>
        </w:rPr>
        <w:t> </w:t>
      </w:r>
      <w:r>
        <w:rPr>
          <w:spacing w:val="-47"/>
        </w:rPr>
      </w:r>
      <w:r>
        <w:rPr>
          <w:spacing w:val="-2"/>
        </w:rPr>
        <w:t>使用，公司众多下属子公司通过与清华大学在技术成果使用和合作开发方面的密切合作，</w:t>
      </w:r>
      <w:r>
        <w:rPr>
          <w:spacing w:val="-1"/>
        </w:rPr>
        <w:t> </w:t>
      </w:r>
      <w:r>
        <w:rPr/>
        <w:t>提升了技术实力，推进了技术和产品创新力度，为产业的发展提供了有力的支撑。因此</w:t>
      </w:r>
      <w:r>
        <w:rPr>
          <w:spacing w:val="-47"/>
        </w:rPr>
        <w:t> </w:t>
      </w:r>
      <w:r>
        <w:rPr>
          <w:spacing w:val="-47"/>
        </w:rPr>
      </w:r>
      <w:r>
        <w:rPr/>
        <w:t>不存在向大股东或其关联方输送利益事宜，不损害公司股东，特别是中小股东和公司的</w:t>
      </w:r>
      <w:r>
        <w:rPr>
          <w:spacing w:val="-47"/>
        </w:rPr>
        <w:t> </w:t>
      </w:r>
      <w:r>
        <w:rPr>
          <w:spacing w:val="-47"/>
        </w:rPr>
      </w:r>
      <w:r>
        <w:rPr/>
        <w:t>利益。</w:t>
      </w:r>
    </w:p>
    <w:p>
      <w:pPr>
        <w:spacing w:line="240" w:lineRule="auto" w:before="8"/>
        <w:rPr>
          <w:rFonts w:ascii="宋体" w:hAnsi="宋体" w:cs="宋体" w:eastAsia="宋体" w:hint="default"/>
          <w:sz w:val="23"/>
          <w:szCs w:val="23"/>
        </w:rPr>
      </w:pPr>
    </w:p>
    <w:p>
      <w:pPr>
        <w:pStyle w:val="Heading3"/>
        <w:spacing w:line="240" w:lineRule="auto"/>
        <w:ind w:left="238" w:right="107"/>
        <w:jc w:val="left"/>
        <w:rPr>
          <w:b w:val="0"/>
          <w:bCs w:val="0"/>
        </w:rPr>
      </w:pPr>
      <w:r>
        <w:rPr/>
        <w:t>5、重大合同及其履行情况。</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left="238" w:right="107"/>
        <w:jc w:val="left"/>
      </w:pPr>
      <w:r>
        <w:rPr>
          <w:spacing w:val="-2"/>
        </w:rPr>
        <w:t>(1)本报告期，公司未发生托管、承包、租赁其他公司资产或其他公司托管、承包、租赁</w:t>
      </w:r>
      <w:r>
        <w:rPr>
          <w:spacing w:val="-113"/>
        </w:rPr>
        <w:t> </w:t>
      </w:r>
      <w:r>
        <w:rPr>
          <w:spacing w:val="-113"/>
        </w:rPr>
      </w:r>
      <w:r>
        <w:rPr/>
        <w:t>本公司资产的事项。</w:t>
      </w:r>
    </w:p>
    <w:p>
      <w:pPr>
        <w:spacing w:line="240" w:lineRule="auto" w:before="4"/>
        <w:rPr>
          <w:rFonts w:ascii="宋体" w:hAnsi="宋体" w:cs="宋体" w:eastAsia="宋体" w:hint="default"/>
          <w:sz w:val="21"/>
          <w:szCs w:val="21"/>
        </w:rPr>
      </w:pPr>
    </w:p>
    <w:p>
      <w:pPr>
        <w:pStyle w:val="BodyText"/>
        <w:spacing w:line="240" w:lineRule="auto"/>
        <w:ind w:left="238" w:right="107"/>
        <w:jc w:val="left"/>
      </w:pPr>
      <w:r>
        <w:rPr/>
        <w:t>(2)公司担保事项</w:t>
      </w:r>
    </w:p>
    <w:p>
      <w:pPr>
        <w:spacing w:line="240" w:lineRule="auto" w:before="8"/>
        <w:rPr>
          <w:rFonts w:ascii="宋体" w:hAnsi="宋体" w:cs="宋体" w:eastAsia="宋体" w:hint="default"/>
          <w:sz w:val="23"/>
          <w:szCs w:val="23"/>
        </w:rPr>
      </w:pPr>
    </w:p>
    <w:p>
      <w:pPr>
        <w:pStyle w:val="BodyText"/>
        <w:spacing w:line="313" w:lineRule="exact"/>
        <w:ind w:left="238" w:right="107"/>
        <w:jc w:val="left"/>
      </w:pPr>
      <w:r>
        <w:rPr>
          <w:spacing w:val="5"/>
        </w:rPr>
        <w:t>本报告期内，经董事会批准，公司累计对外担保余额为 </w:t>
      </w:r>
      <w:r>
        <w:rPr/>
        <w:t>15.10</w:t>
      </w:r>
      <w:r>
        <w:rPr>
          <w:spacing w:val="24"/>
        </w:rPr>
        <w:t> </w:t>
      </w:r>
      <w:r>
        <w:rPr>
          <w:spacing w:val="5"/>
        </w:rPr>
        <w:t>亿元，占公司净资产的</w:t>
      </w:r>
      <w:r>
        <w:rPr/>
      </w:r>
    </w:p>
    <w:p>
      <w:pPr>
        <w:pStyle w:val="BodyText"/>
        <w:spacing w:line="313" w:lineRule="exact"/>
        <w:ind w:left="238" w:right="107"/>
        <w:jc w:val="left"/>
      </w:pPr>
      <w:r>
        <w:rPr>
          <w:spacing w:val="-3"/>
        </w:rPr>
        <w:t>21.29%。与</w:t>
      </w:r>
      <w:r>
        <w:rPr>
          <w:spacing w:val="-64"/>
        </w:rPr>
        <w:t> </w:t>
      </w:r>
      <w:r>
        <w:rPr/>
        <w:t>2007</w:t>
      </w:r>
      <w:r>
        <w:rPr>
          <w:spacing w:val="-64"/>
        </w:rPr>
        <w:t> </w:t>
      </w:r>
      <w:r>
        <w:rPr/>
        <w:t>年公司对外担保余额</w:t>
      </w:r>
      <w:r>
        <w:rPr>
          <w:spacing w:val="-64"/>
        </w:rPr>
        <w:t> </w:t>
      </w:r>
      <w:r>
        <w:rPr/>
        <w:t>14.44</w:t>
      </w:r>
      <w:r>
        <w:rPr>
          <w:spacing w:val="-64"/>
        </w:rPr>
        <w:t> </w:t>
      </w:r>
      <w:r>
        <w:rPr/>
        <w:t>亿元相比，公司当期增加对外担保余额净值</w:t>
      </w:r>
    </w:p>
    <w:p>
      <w:pPr>
        <w:spacing w:after="0" w:line="313" w:lineRule="exact"/>
        <w:jc w:val="left"/>
        <w:sectPr>
          <w:pgSz w:w="11910" w:h="16840"/>
          <w:pgMar w:header="610" w:footer="764" w:top="1080" w:bottom="96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2246"/>
        <w:jc w:val="left"/>
      </w:pPr>
      <w:r>
        <w:rPr/>
        <w:t>0.66</w:t>
      </w:r>
      <w:r>
        <w:rPr>
          <w:spacing w:val="-60"/>
        </w:rPr>
        <w:t> </w:t>
      </w:r>
      <w:r>
        <w:rPr/>
        <w:t>亿元。本报告期内，公司对外担保具体情况如下：</w:t>
      </w:r>
    </w:p>
    <w:p>
      <w:pPr>
        <w:spacing w:line="240" w:lineRule="auto" w:before="1"/>
        <w:rPr>
          <w:rFonts w:ascii="宋体" w:hAnsi="宋体" w:cs="宋体" w:eastAsia="宋体" w:hint="default"/>
          <w:sz w:val="21"/>
          <w:szCs w:val="21"/>
        </w:rPr>
      </w:pPr>
    </w:p>
    <w:p>
      <w:pPr>
        <w:spacing w:before="35"/>
        <w:ind w:left="0" w:right="142"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356"/>
        <w:gridCol w:w="1260"/>
        <w:gridCol w:w="1050"/>
        <w:gridCol w:w="1008"/>
        <w:gridCol w:w="426"/>
        <w:gridCol w:w="1386"/>
        <w:gridCol w:w="774"/>
        <w:gridCol w:w="719"/>
      </w:tblGrid>
      <w:tr>
        <w:trPr>
          <w:trHeight w:val="340" w:hRule="exact"/>
        </w:trPr>
        <w:tc>
          <w:tcPr>
            <w:tcW w:w="8980" w:type="dxa"/>
            <w:gridSpan w:val="8"/>
            <w:tcBorders>
              <w:top w:val="single" w:sz="12" w:space="0" w:color="000000"/>
              <w:left w:val="single" w:sz="12" w:space="0" w:color="000000"/>
              <w:bottom w:val="single" w:sz="8" w:space="0" w:color="000000"/>
              <w:right w:val="single" w:sz="12"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1267"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担保对象</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发生日期</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89"/>
              <w:jc w:val="both"/>
              <w:rPr>
                <w:rFonts w:ascii="宋体" w:hAnsi="宋体" w:cs="宋体" w:eastAsia="宋体" w:hint="default"/>
                <w:sz w:val="18"/>
                <w:szCs w:val="18"/>
              </w:rPr>
            </w:pPr>
            <w:r>
              <w:rPr>
                <w:rFonts w:ascii="宋体" w:hAnsi="宋体" w:cs="宋体" w:eastAsia="宋体" w:hint="default"/>
                <w:spacing w:val="8"/>
                <w:sz w:val="18"/>
                <w:szCs w:val="18"/>
              </w:rPr>
              <w:t>担保是 否已经 履行完 </w:t>
            </w:r>
            <w:r>
              <w:rPr>
                <w:rFonts w:ascii="宋体" w:hAnsi="宋体" w:cs="宋体" w:eastAsia="宋体" w:hint="default"/>
                <w:sz w:val="18"/>
                <w:szCs w:val="18"/>
              </w:rPr>
              <w:t>毕</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54"/>
                <w:sz w:val="18"/>
                <w:szCs w:val="18"/>
              </w:rPr>
              <w:t> </w:t>
            </w:r>
            <w:r>
              <w:rPr>
                <w:rFonts w:ascii="宋体" w:hAnsi="宋体" w:cs="宋体" w:eastAsia="宋体" w:hint="default"/>
                <w:sz w:val="18"/>
                <w:szCs w:val="18"/>
              </w:rPr>
              <w:t>否</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4"/>
                <w:sz w:val="18"/>
                <w:szCs w:val="18"/>
              </w:rPr>
              <w:t> </w:t>
            </w:r>
            <w:r>
              <w:rPr>
                <w:rFonts w:ascii="宋体" w:hAnsi="宋体" w:cs="宋体" w:eastAsia="宋体" w:hint="default"/>
                <w:sz w:val="18"/>
                <w:szCs w:val="18"/>
              </w:rPr>
              <w:t>关</w:t>
            </w:r>
          </w:p>
          <w:p>
            <w:pPr>
              <w:pStyle w:val="TableParagraph"/>
              <w:spacing w:line="316" w:lineRule="auto" w:before="76"/>
              <w:ind w:left="98" w:right="90"/>
              <w:jc w:val="left"/>
              <w:rPr>
                <w:rFonts w:ascii="宋体" w:hAnsi="宋体" w:cs="宋体" w:eastAsia="宋体" w:hint="default"/>
                <w:sz w:val="18"/>
                <w:szCs w:val="18"/>
              </w:rPr>
            </w:pPr>
            <w:r>
              <w:rPr>
                <w:rFonts w:ascii="宋体" w:hAnsi="宋体" w:cs="宋体" w:eastAsia="宋体" w:hint="default"/>
                <w:sz w:val="18"/>
                <w:szCs w:val="18"/>
              </w:rPr>
              <w:t>联</w:t>
            </w:r>
            <w:r>
              <w:rPr>
                <w:rFonts w:ascii="宋体" w:hAnsi="宋体" w:cs="宋体" w:eastAsia="宋体" w:hint="default"/>
                <w:spacing w:val="54"/>
                <w:sz w:val="18"/>
                <w:szCs w:val="18"/>
              </w:rPr>
              <w:t> </w:t>
            </w:r>
            <w:r>
              <w:rPr>
                <w:rFonts w:ascii="宋体" w:hAnsi="宋体" w:cs="宋体" w:eastAsia="宋体" w:hint="default"/>
                <w:sz w:val="18"/>
                <w:szCs w:val="18"/>
              </w:rPr>
              <w:t>方</w:t>
            </w:r>
            <w:r>
              <w:rPr>
                <w:rFonts w:ascii="宋体" w:hAnsi="宋体" w:cs="宋体" w:eastAsia="宋体" w:hint="default"/>
                <w:sz w:val="18"/>
                <w:szCs w:val="18"/>
              </w:rPr>
              <w:t> 担保</w:t>
            </w:r>
          </w:p>
        </w:tc>
      </w:tr>
      <w:tr>
        <w:trPr>
          <w:trHeight w:val="332"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2008-8-7</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10,000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080807-110806</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2008-12-25</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081225-101225</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2008-4-23</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8,000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080423-100202</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2008-5-4</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6,000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080504-100123</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2008-5-27</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6,000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080527-100202</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2008-6-10</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080610-100202</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佳木斯同方水务有限公司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2008-5-19</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080519-100202</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2007-4-17</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6,506</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070417-090417</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2008-9-28</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080928-100927</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567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报告期末担保发生额合计</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49,000</w:t>
            </w:r>
          </w:p>
        </w:tc>
      </w:tr>
      <w:tr>
        <w:trPr>
          <w:trHeight w:val="332" w:hRule="exact"/>
        </w:trPr>
        <w:tc>
          <w:tcPr>
            <w:tcW w:w="567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55,506</w:t>
            </w:r>
          </w:p>
        </w:tc>
      </w:tr>
      <w:tr>
        <w:trPr>
          <w:trHeight w:val="331" w:hRule="exact"/>
        </w:trPr>
        <w:tc>
          <w:tcPr>
            <w:tcW w:w="8980" w:type="dxa"/>
            <w:gridSpan w:val="8"/>
            <w:tcBorders>
              <w:top w:val="single" w:sz="8" w:space="0" w:color="000000"/>
              <w:left w:val="single" w:sz="12" w:space="0" w:color="000000"/>
              <w:bottom w:val="single" w:sz="8" w:space="0" w:color="000000"/>
              <w:right w:val="single" w:sz="12"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32" w:hRule="exact"/>
        </w:trPr>
        <w:tc>
          <w:tcPr>
            <w:tcW w:w="567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报告期末对控股子公司担保发生额合计</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59,000</w:t>
            </w:r>
          </w:p>
        </w:tc>
      </w:tr>
      <w:tr>
        <w:trPr>
          <w:trHeight w:val="332" w:hRule="exact"/>
        </w:trPr>
        <w:tc>
          <w:tcPr>
            <w:tcW w:w="567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报告期末对控股子公司担保余额合计</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95,500</w:t>
            </w:r>
          </w:p>
        </w:tc>
      </w:tr>
      <w:tr>
        <w:trPr>
          <w:trHeight w:val="331" w:hRule="exact"/>
        </w:trPr>
        <w:tc>
          <w:tcPr>
            <w:tcW w:w="8980" w:type="dxa"/>
            <w:gridSpan w:val="8"/>
            <w:tcBorders>
              <w:top w:val="single" w:sz="8" w:space="0" w:color="000000"/>
              <w:left w:val="single" w:sz="12" w:space="0" w:color="000000"/>
              <w:bottom w:val="single" w:sz="8" w:space="0" w:color="000000"/>
              <w:right w:val="single" w:sz="12"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332" w:hRule="exact"/>
        </w:trPr>
        <w:tc>
          <w:tcPr>
            <w:tcW w:w="567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151,006</w:t>
            </w:r>
          </w:p>
        </w:tc>
      </w:tr>
      <w:tr>
        <w:trPr>
          <w:trHeight w:val="332" w:hRule="exact"/>
        </w:trPr>
        <w:tc>
          <w:tcPr>
            <w:tcW w:w="567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21.29%</w:t>
            </w:r>
          </w:p>
        </w:tc>
      </w:tr>
      <w:tr>
        <w:trPr>
          <w:trHeight w:val="331" w:hRule="exact"/>
        </w:trPr>
        <w:tc>
          <w:tcPr>
            <w:tcW w:w="8980" w:type="dxa"/>
            <w:gridSpan w:val="8"/>
            <w:tcBorders>
              <w:top w:val="single" w:sz="8" w:space="0" w:color="000000"/>
              <w:left w:val="single" w:sz="12" w:space="0" w:color="000000"/>
              <w:bottom w:val="single" w:sz="8" w:space="0" w:color="000000"/>
              <w:right w:val="single" w:sz="12"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32" w:hRule="exact"/>
        </w:trPr>
        <w:tc>
          <w:tcPr>
            <w:tcW w:w="567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0</w:t>
            </w:r>
          </w:p>
        </w:tc>
      </w:tr>
      <w:tr>
        <w:trPr>
          <w:trHeight w:val="332" w:hRule="exact"/>
        </w:trPr>
        <w:tc>
          <w:tcPr>
            <w:tcW w:w="567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70%的被担保对象提供的债务担保金额</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55,506</w:t>
            </w:r>
          </w:p>
        </w:tc>
      </w:tr>
      <w:tr>
        <w:trPr>
          <w:trHeight w:val="331" w:hRule="exact"/>
        </w:trPr>
        <w:tc>
          <w:tcPr>
            <w:tcW w:w="567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0</w:t>
            </w:r>
          </w:p>
        </w:tc>
      </w:tr>
      <w:tr>
        <w:trPr>
          <w:trHeight w:val="338" w:hRule="exact"/>
        </w:trPr>
        <w:tc>
          <w:tcPr>
            <w:tcW w:w="5674" w:type="dxa"/>
            <w:gridSpan w:val="4"/>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3305" w:type="dxa"/>
            <w:gridSpan w:val="4"/>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55,506</w:t>
            </w:r>
          </w:p>
        </w:tc>
      </w:tr>
    </w:tbl>
    <w:p>
      <w:pPr>
        <w:spacing w:line="240" w:lineRule="auto" w:before="10"/>
        <w:rPr>
          <w:rFonts w:ascii="宋体" w:hAnsi="宋体" w:cs="宋体" w:eastAsia="宋体" w:hint="default"/>
          <w:sz w:val="18"/>
          <w:szCs w:val="18"/>
        </w:rPr>
      </w:pPr>
    </w:p>
    <w:p>
      <w:pPr>
        <w:pStyle w:val="BodyText"/>
        <w:spacing w:line="237" w:lineRule="auto" w:before="28"/>
        <w:ind w:right="105"/>
        <w:jc w:val="both"/>
      </w:pPr>
      <w:r>
        <w:rPr/>
        <w:t>根据经</w:t>
      </w:r>
      <w:r>
        <w:rPr>
          <w:spacing w:val="-45"/>
        </w:rPr>
        <w:t> </w:t>
      </w:r>
      <w:r>
        <w:rPr>
          <w:spacing w:val="32"/>
        </w:rPr>
        <w:t>2008年6月</w:t>
      </w:r>
      <w:r>
        <w:rPr>
          <w:spacing w:val="-45"/>
        </w:rPr>
        <w:t> </w:t>
      </w:r>
      <w:r>
        <w:rPr/>
        <w:t>23</w:t>
      </w:r>
      <w:r>
        <w:rPr>
          <w:spacing w:val="-45"/>
        </w:rPr>
        <w:t> </w:t>
      </w:r>
      <w:r>
        <w:rPr/>
        <w:t>日公司</w:t>
      </w:r>
      <w:r>
        <w:rPr>
          <w:spacing w:val="-45"/>
        </w:rPr>
        <w:t> </w:t>
      </w:r>
      <w:r>
        <w:rPr/>
        <w:t>2007</w:t>
      </w:r>
      <w:r>
        <w:rPr>
          <w:spacing w:val="-45"/>
        </w:rPr>
        <w:t> </w:t>
      </w:r>
      <w:r>
        <w:rPr/>
        <w:t>年年度股东大会审议通过的《关于向银行申请</w:t>
      </w:r>
      <w:r>
        <w:rPr>
          <w:spacing w:val="-45"/>
        </w:rPr>
        <w:t> </w:t>
      </w:r>
      <w:r>
        <w:rPr/>
        <w:t>2008</w:t>
      </w:r>
      <w:r>
        <w:rPr/>
        <w:t> </w:t>
      </w:r>
      <w:r>
        <w:rPr>
          <w:spacing w:val="-4"/>
        </w:rPr>
        <w:t>年综合授信额度及授权下属子公司使用并为其提供担保》，公司在银行综合授信额度内，</w:t>
      </w:r>
      <w:r>
        <w:rPr>
          <w:spacing w:val="-84"/>
        </w:rPr>
        <w:t> </w:t>
      </w:r>
      <w:r>
        <w:rPr>
          <w:spacing w:val="-84"/>
        </w:rPr>
      </w:r>
      <w:r>
        <w:rPr/>
        <w:t>对下属子公司在实际经营中所需资金产生的银行借款进行担保。同时公司对下属子公司</w:t>
      </w:r>
      <w:r>
        <w:rPr>
          <w:spacing w:val="-47"/>
        </w:rPr>
        <w:t> </w:t>
      </w:r>
      <w:r>
        <w:rPr>
          <w:spacing w:val="-47"/>
        </w:rPr>
      </w:r>
      <w:r>
        <w:rPr/>
        <w:t>的资金进行了较为严格的监管措施，目前资金使用正常，有利地保障了子公司经营活动</w:t>
      </w:r>
      <w:r>
        <w:rPr>
          <w:spacing w:val="-47"/>
        </w:rPr>
        <w:t> </w:t>
      </w:r>
      <w:r>
        <w:rPr>
          <w:spacing w:val="-47"/>
        </w:rPr>
      </w:r>
      <w:r>
        <w:rPr/>
        <w:t>的正常开展。</w:t>
      </w:r>
    </w:p>
    <w:p>
      <w:pPr>
        <w:spacing w:line="240" w:lineRule="auto" w:before="11"/>
        <w:rPr>
          <w:rFonts w:ascii="宋体" w:hAnsi="宋体" w:cs="宋体" w:eastAsia="宋体" w:hint="default"/>
          <w:sz w:val="23"/>
          <w:szCs w:val="23"/>
        </w:rPr>
      </w:pPr>
    </w:p>
    <w:p>
      <w:pPr>
        <w:pStyle w:val="BodyText"/>
        <w:spacing w:line="237" w:lineRule="auto"/>
        <w:ind w:right="140"/>
        <w:jc w:val="both"/>
      </w:pPr>
      <w:r>
        <w:rPr/>
        <w:t>本期发生为资产负债率超过</w:t>
      </w:r>
      <w:r>
        <w:rPr>
          <w:spacing w:val="64"/>
        </w:rPr>
        <w:t> </w:t>
      </w:r>
      <w:r>
        <w:rPr/>
        <w:t>70%被担保对象担保事宜为公司为同方(哈尔滨)水务有限公</w:t>
      </w:r>
      <w:r>
        <w:rPr>
          <w:spacing w:val="-111"/>
        </w:rPr>
        <w:t> </w:t>
      </w:r>
      <w:r>
        <w:rPr>
          <w:spacing w:val="-111"/>
        </w:rPr>
      </w:r>
      <w:r>
        <w:rPr/>
        <w:t>司、佳木斯同方水务有限责任公司、淮安同方水务有限公司因哈尔滨太平污水处理厂、</w:t>
      </w:r>
      <w:r>
        <w:rPr>
          <w:spacing w:val="-47"/>
        </w:rPr>
        <w:t> </w:t>
      </w:r>
      <w:r>
        <w:rPr>
          <w:spacing w:val="-47"/>
        </w:rPr>
      </w:r>
      <w:r>
        <w:rPr/>
        <w:t>佳木斯东区污水处理厂、淮安第二污水处理厂等项目建设需要提供的担保，上述担保事</w:t>
      </w:r>
      <w:r>
        <w:rPr>
          <w:spacing w:val="-46"/>
        </w:rPr>
        <w:t> </w:t>
      </w:r>
      <w:r>
        <w:rPr>
          <w:spacing w:val="-46"/>
        </w:rPr>
      </w:r>
      <w:r>
        <w:rPr/>
        <w:t>宜已经公司</w:t>
      </w:r>
      <w:r>
        <w:rPr>
          <w:spacing w:val="-60"/>
        </w:rPr>
        <w:t> </w:t>
      </w:r>
      <w:r>
        <w:rPr/>
        <w:t>2007</w:t>
      </w:r>
      <w:r>
        <w:rPr>
          <w:spacing w:val="-60"/>
        </w:rPr>
        <w:t> </w:t>
      </w:r>
      <w:r>
        <w:rPr/>
        <w:t>年年度股东大会审议批准。</w:t>
      </w:r>
    </w:p>
    <w:p>
      <w:pPr>
        <w:spacing w:after="0" w:line="237" w:lineRule="auto"/>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475" w:lineRule="auto" w:before="26"/>
        <w:ind w:left="178" w:right="5526"/>
        <w:jc w:val="left"/>
      </w:pPr>
      <w:r>
        <w:rPr/>
        <w:t>本年度无重大租赁经营和抵押事项。 (3)无现金委托管理事项</w:t>
      </w:r>
    </w:p>
    <w:p>
      <w:pPr>
        <w:pStyle w:val="Heading3"/>
        <w:spacing w:line="240" w:lineRule="auto" w:before="73"/>
        <w:ind w:left="178" w:right="0"/>
        <w:jc w:val="both"/>
        <w:rPr>
          <w:b w:val="0"/>
          <w:bCs w:val="0"/>
        </w:rPr>
      </w:pPr>
      <w:r>
        <w:rPr/>
        <w:t>6、公司或持股</w:t>
      </w:r>
      <w:r>
        <w:rPr>
          <w:spacing w:val="-62"/>
        </w:rPr>
        <w:t> </w:t>
      </w:r>
      <w:r>
        <w:rPr/>
        <w:t>5%以上股东在报告期内或持续到报告期内的重大承诺事项。</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178" w:right="180"/>
        <w:jc w:val="both"/>
      </w:pPr>
      <w:r>
        <w:rPr/>
        <w:t>公司全体非流通股股东根据《上市公司股权分置改革管理办法》等文件的要求作出了法</w:t>
      </w:r>
      <w:r>
        <w:rPr>
          <w:spacing w:val="-47"/>
        </w:rPr>
        <w:t> </w:t>
      </w:r>
      <w:r>
        <w:rPr>
          <w:spacing w:val="-47"/>
        </w:rPr>
      </w:r>
      <w:r>
        <w:rPr/>
        <w:t>定承诺。控股股东清华控股有限公司特别承诺：所持有的清华同方非流通股股份自获得</w:t>
      </w:r>
      <w:r>
        <w:rPr>
          <w:spacing w:val="-47"/>
        </w:rPr>
        <w:t> </w:t>
      </w:r>
      <w:r>
        <w:rPr>
          <w:spacing w:val="-47"/>
        </w:rPr>
      </w:r>
      <w:r>
        <w:rPr/>
        <w:t>上市流通权之日起，在三十六个月内不通过上海证券交易所以竞价交易方式出售。</w:t>
      </w:r>
    </w:p>
    <w:p>
      <w:pPr>
        <w:spacing w:line="240" w:lineRule="auto" w:before="7"/>
        <w:rPr>
          <w:rFonts w:ascii="宋体" w:hAnsi="宋体" w:cs="宋体" w:eastAsia="宋体" w:hint="default"/>
          <w:sz w:val="23"/>
          <w:szCs w:val="23"/>
        </w:rPr>
      </w:pPr>
    </w:p>
    <w:p>
      <w:pPr>
        <w:pStyle w:val="BodyText"/>
        <w:spacing w:line="240" w:lineRule="auto"/>
        <w:ind w:left="178" w:right="0"/>
        <w:jc w:val="both"/>
      </w:pPr>
      <w:r>
        <w:rPr/>
        <w:t>参与公司非公开发行的机构投资者认购股份自发行结束之日起</w:t>
      </w:r>
      <w:r>
        <w:rPr>
          <w:spacing w:val="-60"/>
        </w:rPr>
        <w:t> </w:t>
      </w:r>
      <w:r>
        <w:rPr/>
        <w:t>12</w:t>
      </w:r>
      <w:r>
        <w:rPr>
          <w:spacing w:val="-60"/>
        </w:rPr>
        <w:t> </w:t>
      </w:r>
      <w:r>
        <w:rPr/>
        <w:t>个月内不得转让。</w:t>
      </w:r>
    </w:p>
    <w:p>
      <w:pPr>
        <w:spacing w:line="240" w:lineRule="auto" w:before="1"/>
        <w:rPr>
          <w:rFonts w:ascii="宋体" w:hAnsi="宋体" w:cs="宋体" w:eastAsia="宋体" w:hint="default"/>
          <w:sz w:val="26"/>
          <w:szCs w:val="26"/>
        </w:rPr>
      </w:pPr>
    </w:p>
    <w:p>
      <w:pPr>
        <w:pStyle w:val="BodyText"/>
        <w:spacing w:line="310" w:lineRule="exact"/>
        <w:ind w:left="178" w:right="180"/>
        <w:jc w:val="both"/>
      </w:pPr>
      <w:r>
        <w:rPr/>
        <w:t>本报告期内，清华控股有限公司及公司其他有限售条件流通股股东未发生违反上述承诺</w:t>
      </w:r>
      <w:r>
        <w:rPr>
          <w:spacing w:val="-47"/>
        </w:rPr>
        <w:t> </w:t>
      </w:r>
      <w:r>
        <w:rPr>
          <w:spacing w:val="-47"/>
        </w:rPr>
      </w:r>
      <w:r>
        <w:rPr/>
        <w:t>的情形。</w:t>
      </w:r>
    </w:p>
    <w:p>
      <w:pPr>
        <w:spacing w:line="240" w:lineRule="auto" w:before="6"/>
        <w:rPr>
          <w:rFonts w:ascii="宋体" w:hAnsi="宋体" w:cs="宋体" w:eastAsia="宋体" w:hint="default"/>
          <w:sz w:val="21"/>
          <w:szCs w:val="21"/>
        </w:rPr>
      </w:pPr>
    </w:p>
    <w:p>
      <w:pPr>
        <w:pStyle w:val="BodyText"/>
        <w:spacing w:line="313" w:lineRule="exact"/>
        <w:ind w:left="178" w:right="0"/>
        <w:jc w:val="both"/>
      </w:pPr>
      <w:r>
        <w:rPr/>
        <w:t>根据上述股东的承诺，参与公司非公开发行的机构投资者认购股份已于</w:t>
      </w:r>
      <w:r>
        <w:rPr>
          <w:spacing w:val="-97"/>
        </w:rPr>
        <w:t> </w:t>
      </w:r>
      <w:r>
        <w:rPr>
          <w:spacing w:val="33"/>
        </w:rPr>
        <w:t>2008年8月1日</w:t>
      </w:r>
      <w:r>
        <w:rPr>
          <w:spacing w:val="-60"/>
        </w:rPr>
        <w:t> </w:t>
      </w:r>
      <w:r>
        <w:rPr/>
      </w:r>
    </w:p>
    <w:p>
      <w:pPr>
        <w:pStyle w:val="BodyText"/>
        <w:spacing w:line="310" w:lineRule="exact" w:before="31"/>
        <w:ind w:left="178" w:right="184"/>
        <w:jc w:val="both"/>
      </w:pPr>
      <w:r>
        <w:rPr/>
        <w:t>开始上市流通，清华控股有限公司持有的公司有限售条件的流通股已于</w:t>
      </w:r>
      <w:r>
        <w:rPr>
          <w:spacing w:val="-33"/>
        </w:rPr>
        <w:t> </w:t>
      </w:r>
      <w:r>
        <w:rPr/>
        <w:t>2009</w:t>
      </w:r>
      <w:r>
        <w:rPr>
          <w:spacing w:val="-33"/>
        </w:rPr>
        <w:t> </w:t>
      </w:r>
      <w:r>
        <w:rPr/>
        <w:t>年</w:t>
      </w:r>
      <w:r>
        <w:rPr>
          <w:spacing w:val="-32"/>
        </w:rPr>
        <w:t> </w:t>
      </w:r>
      <w:r>
        <w:rPr/>
        <w:t>2</w:t>
      </w:r>
      <w:r>
        <w:rPr>
          <w:spacing w:val="-33"/>
        </w:rPr>
        <w:t> </w:t>
      </w:r>
      <w:r>
        <w:rPr/>
        <w:t>月</w:t>
      </w:r>
      <w:r>
        <w:rPr>
          <w:spacing w:val="-33"/>
        </w:rPr>
        <w:t> </w:t>
      </w:r>
      <w:r>
        <w:rPr/>
        <w:t>10</w:t>
      </w:r>
      <w:r>
        <w:rPr/>
        <w:t> 日开始上市流通。</w:t>
      </w:r>
    </w:p>
    <w:p>
      <w:pPr>
        <w:spacing w:line="240" w:lineRule="auto" w:before="6"/>
        <w:rPr>
          <w:rFonts w:ascii="宋体" w:hAnsi="宋体" w:cs="宋体" w:eastAsia="宋体" w:hint="default"/>
          <w:sz w:val="21"/>
          <w:szCs w:val="21"/>
        </w:rPr>
      </w:pPr>
    </w:p>
    <w:p>
      <w:pPr>
        <w:pStyle w:val="Heading3"/>
        <w:spacing w:line="240" w:lineRule="auto"/>
        <w:ind w:left="178" w:right="0"/>
        <w:jc w:val="both"/>
        <w:rPr>
          <w:b w:val="0"/>
          <w:bCs w:val="0"/>
        </w:rPr>
      </w:pPr>
      <w:r>
        <w:rPr/>
        <w:t>7、本报告期聘任会计师事务所：信永中和会计师事务所有限责任公司</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left="178" w:right="0"/>
        <w:jc w:val="both"/>
      </w:pPr>
      <w:r>
        <w:rPr/>
        <w:t>本年度，经 2007 年股东大会审议通过，公司聘请信永中和会计师事务所作为公司</w:t>
      </w:r>
      <w:r>
        <w:rPr>
          <w:spacing w:val="-42"/>
        </w:rPr>
        <w:t> </w:t>
      </w:r>
      <w:r>
        <w:rPr/>
        <w:t>2008</w:t>
      </w:r>
    </w:p>
    <w:p>
      <w:pPr>
        <w:pStyle w:val="BodyText"/>
        <w:spacing w:line="311" w:lineRule="exact"/>
        <w:ind w:left="178" w:right="0"/>
        <w:jc w:val="both"/>
      </w:pPr>
      <w:r>
        <w:rPr/>
        <w:t>年审计服务机构。目前该会计师事务所自</w:t>
      </w:r>
      <w:r>
        <w:rPr>
          <w:spacing w:val="-80"/>
        </w:rPr>
        <w:t> </w:t>
      </w:r>
      <w:r>
        <w:rPr/>
        <w:t>2001</w:t>
      </w:r>
      <w:r>
        <w:rPr>
          <w:spacing w:val="-80"/>
        </w:rPr>
        <w:t> </w:t>
      </w:r>
      <w:r>
        <w:rPr/>
        <w:t>年公司聘用以来已经连续服务八年，其中</w:t>
      </w:r>
    </w:p>
    <w:p>
      <w:pPr>
        <w:pStyle w:val="BodyText"/>
        <w:spacing w:line="312" w:lineRule="exact"/>
        <w:ind w:left="178" w:right="0"/>
        <w:jc w:val="both"/>
      </w:pPr>
      <w:r>
        <w:rPr/>
        <w:t>本期签字的注册会计师邵立新先生、潘玉忠先生均自</w:t>
      </w:r>
      <w:r>
        <w:rPr>
          <w:spacing w:val="-60"/>
        </w:rPr>
        <w:t> </w:t>
      </w:r>
      <w:r>
        <w:rPr/>
        <w:t>2008</w:t>
      </w:r>
      <w:r>
        <w:rPr>
          <w:spacing w:val="-60"/>
        </w:rPr>
        <w:t> </w:t>
      </w:r>
      <w:r>
        <w:rPr/>
        <w:t>年起服务</w:t>
      </w:r>
      <w:r>
        <w:rPr>
          <w:spacing w:val="-60"/>
        </w:rPr>
        <w:t> </w:t>
      </w:r>
      <w:r>
        <w:rPr/>
        <w:t>1</w:t>
      </w:r>
      <w:r>
        <w:rPr>
          <w:spacing w:val="-60"/>
        </w:rPr>
        <w:t> </w:t>
      </w:r>
      <w:r>
        <w:rPr/>
        <w:t>年。</w:t>
      </w:r>
    </w:p>
    <w:p>
      <w:pPr>
        <w:spacing w:line="240" w:lineRule="auto" w:before="11"/>
        <w:rPr>
          <w:rFonts w:ascii="宋体" w:hAnsi="宋体" w:cs="宋体" w:eastAsia="宋体" w:hint="default"/>
          <w:sz w:val="23"/>
          <w:szCs w:val="23"/>
        </w:rPr>
      </w:pPr>
    </w:p>
    <w:p>
      <w:pPr>
        <w:pStyle w:val="BodyText"/>
        <w:spacing w:line="237" w:lineRule="auto"/>
        <w:ind w:left="178" w:right="180"/>
        <w:jc w:val="both"/>
      </w:pPr>
      <w:r>
        <w:rPr/>
        <w:t>公司按照行业标准和惯例，并根据会计师事务所在审计过程中的实际工作量，与信永中</w:t>
      </w:r>
      <w:r>
        <w:rPr>
          <w:spacing w:val="-47"/>
        </w:rPr>
        <w:t> </w:t>
      </w:r>
      <w:r>
        <w:rPr>
          <w:spacing w:val="-47"/>
        </w:rPr>
      </w:r>
      <w:r>
        <w:rPr/>
        <w:t>和会计师事务所协商，确定公司所支付的本年度审计报酬。此外，公司控股子公司泰豪</w:t>
      </w:r>
      <w:r>
        <w:rPr>
          <w:spacing w:val="-47"/>
        </w:rPr>
        <w:t> </w:t>
      </w:r>
      <w:r>
        <w:rPr>
          <w:spacing w:val="-47"/>
        </w:rPr>
      </w:r>
      <w:r>
        <w:rPr/>
        <w:t>科技股份有限公司另外聘请中磊会计师事务所作为其审计服务机构。</w:t>
      </w:r>
    </w:p>
    <w:p>
      <w:pPr>
        <w:spacing w:line="240" w:lineRule="auto" w:before="7"/>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776"/>
        <w:gridCol w:w="1505"/>
        <w:gridCol w:w="1075"/>
        <w:gridCol w:w="646"/>
        <w:gridCol w:w="1540"/>
        <w:gridCol w:w="1080"/>
        <w:gridCol w:w="669"/>
      </w:tblGrid>
      <w:tr>
        <w:trPr>
          <w:trHeight w:val="295" w:hRule="exact"/>
        </w:trPr>
        <w:tc>
          <w:tcPr>
            <w:tcW w:w="2776" w:type="dxa"/>
            <w:vMerge w:val="restart"/>
            <w:tcBorders>
              <w:top w:val="single" w:sz="12" w:space="0" w:color="000000"/>
              <w:left w:val="single" w:sz="12" w:space="0" w:color="000000"/>
              <w:right w:val="single" w:sz="6" w:space="0" w:color="000000"/>
            </w:tcBorders>
          </w:tcPr>
          <w:p>
            <w:pPr>
              <w:pStyle w:val="TableParagraph"/>
              <w:spacing w:line="240" w:lineRule="auto" w:before="93"/>
              <w:ind w:left="94" w:right="0"/>
              <w:jc w:val="left"/>
              <w:rPr>
                <w:rFonts w:ascii="宋体" w:hAnsi="宋体" w:cs="宋体" w:eastAsia="宋体" w:hint="default"/>
                <w:sz w:val="21"/>
                <w:szCs w:val="21"/>
              </w:rPr>
            </w:pPr>
            <w:r>
              <w:rPr>
                <w:rFonts w:ascii="宋体" w:hAnsi="宋体" w:cs="宋体" w:eastAsia="宋体" w:hint="default"/>
                <w:sz w:val="21"/>
                <w:szCs w:val="21"/>
              </w:rPr>
              <w:t>单位：万元</w:t>
            </w:r>
          </w:p>
        </w:tc>
        <w:tc>
          <w:tcPr>
            <w:tcW w:w="322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89"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8" w:hRule="exact"/>
        </w:trPr>
        <w:tc>
          <w:tcPr>
            <w:tcW w:w="2776" w:type="dxa"/>
            <w:vMerge/>
            <w:tcBorders>
              <w:left w:val="single" w:sz="12"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财务审计费用</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总计</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财务审计费用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66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总计</w:t>
            </w:r>
          </w:p>
        </w:tc>
      </w:tr>
      <w:tr>
        <w:trPr>
          <w:trHeight w:val="287" w:hRule="exact"/>
        </w:trPr>
        <w:tc>
          <w:tcPr>
            <w:tcW w:w="277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本公司(含控股子公司)</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185</w:t>
            </w:r>
          </w:p>
        </w:tc>
        <w:tc>
          <w:tcPr>
            <w:tcW w:w="1075"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185</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170</w:t>
            </w:r>
          </w:p>
        </w:tc>
        <w:tc>
          <w:tcPr>
            <w:tcW w:w="1080" w:type="dxa"/>
            <w:tcBorders>
              <w:top w:val="single" w:sz="6" w:space="0" w:color="000000"/>
              <w:left w:val="single" w:sz="6" w:space="0" w:color="000000"/>
              <w:bottom w:val="single" w:sz="6" w:space="0" w:color="000000"/>
              <w:right w:val="single" w:sz="6" w:space="0" w:color="000000"/>
            </w:tcBorders>
          </w:tcPr>
          <w:p>
            <w:pPr/>
          </w:p>
        </w:tc>
        <w:tc>
          <w:tcPr>
            <w:tcW w:w="6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21"/>
                <w:szCs w:val="21"/>
              </w:rPr>
            </w:pPr>
            <w:r>
              <w:rPr>
                <w:rFonts w:ascii="Times New Roman"/>
                <w:spacing w:val="-1"/>
                <w:sz w:val="21"/>
              </w:rPr>
              <w:t>170</w:t>
            </w:r>
          </w:p>
        </w:tc>
      </w:tr>
      <w:tr>
        <w:trPr>
          <w:trHeight w:val="296" w:hRule="exact"/>
        </w:trPr>
        <w:tc>
          <w:tcPr>
            <w:tcW w:w="277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1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w:t>
            </w:r>
          </w:p>
        </w:tc>
        <w:tc>
          <w:tcPr>
            <w:tcW w:w="1075" w:type="dxa"/>
            <w:tcBorders>
              <w:top w:val="single" w:sz="6" w:space="0" w:color="000000"/>
              <w:left w:val="single" w:sz="6" w:space="0" w:color="000000"/>
              <w:bottom w:val="single" w:sz="12" w:space="0" w:color="000000"/>
              <w:right w:val="single" w:sz="6" w:space="0" w:color="000000"/>
            </w:tcBorders>
          </w:tcPr>
          <w:p>
            <w:pPr/>
          </w:p>
        </w:tc>
        <w:tc>
          <w:tcPr>
            <w:tcW w:w="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55</w:t>
            </w:r>
          </w:p>
        </w:tc>
        <w:tc>
          <w:tcPr>
            <w:tcW w:w="1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w:t>
            </w:r>
          </w:p>
        </w:tc>
        <w:tc>
          <w:tcPr>
            <w:tcW w:w="1080" w:type="dxa"/>
            <w:tcBorders>
              <w:top w:val="single" w:sz="6" w:space="0" w:color="000000"/>
              <w:left w:val="single" w:sz="6" w:space="0" w:color="000000"/>
              <w:bottom w:val="single" w:sz="12" w:space="0" w:color="000000"/>
              <w:right w:val="single" w:sz="6" w:space="0" w:color="000000"/>
            </w:tcBorders>
          </w:tcPr>
          <w:p>
            <w:pPr/>
          </w:p>
        </w:tc>
        <w:tc>
          <w:tcPr>
            <w:tcW w:w="6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z w:val="21"/>
              </w:rPr>
              <w:t>40</w:t>
            </w:r>
          </w:p>
        </w:tc>
      </w:tr>
    </w:tbl>
    <w:p>
      <w:pPr>
        <w:spacing w:line="238" w:lineRule="exact" w:before="0"/>
        <w:ind w:left="178" w:right="0" w:firstLine="0"/>
        <w:jc w:val="both"/>
        <w:rPr>
          <w:rFonts w:ascii="宋体" w:hAnsi="宋体" w:cs="宋体" w:eastAsia="宋体" w:hint="default"/>
          <w:sz w:val="21"/>
          <w:szCs w:val="21"/>
        </w:rPr>
      </w:pPr>
      <w:r>
        <w:rPr>
          <w:rFonts w:ascii="宋体" w:hAnsi="宋体" w:cs="宋体" w:eastAsia="宋体" w:hint="default"/>
          <w:sz w:val="21"/>
          <w:szCs w:val="21"/>
        </w:rPr>
        <w:t>注：本公司(含控股子公司)不包括公司控股子公司泰豪科技股份有限公司和参股公司诚志股份有限公</w:t>
      </w:r>
    </w:p>
    <w:p>
      <w:pPr>
        <w:spacing w:line="274" w:lineRule="exact" w:before="0"/>
        <w:ind w:left="178" w:right="0" w:firstLine="0"/>
        <w:jc w:val="both"/>
        <w:rPr>
          <w:rFonts w:ascii="宋体" w:hAnsi="宋体" w:cs="宋体" w:eastAsia="宋体" w:hint="default"/>
          <w:sz w:val="21"/>
          <w:szCs w:val="21"/>
        </w:rPr>
      </w:pPr>
      <w:r>
        <w:rPr>
          <w:rFonts w:ascii="宋体" w:hAnsi="宋体" w:cs="宋体" w:eastAsia="宋体" w:hint="default"/>
          <w:sz w:val="21"/>
          <w:szCs w:val="21"/>
        </w:rPr>
        <w:t>司所支付会计师事务所的报酬。财务审计费用不含差旅、食宿等。</w:t>
      </w:r>
    </w:p>
    <w:p>
      <w:pPr>
        <w:spacing w:line="240" w:lineRule="auto" w:before="4"/>
        <w:rPr>
          <w:rFonts w:ascii="宋体" w:hAnsi="宋体" w:cs="宋体" w:eastAsia="宋体" w:hint="default"/>
          <w:sz w:val="23"/>
          <w:szCs w:val="23"/>
        </w:rPr>
      </w:pPr>
    </w:p>
    <w:p>
      <w:pPr>
        <w:pStyle w:val="Heading3"/>
        <w:spacing w:line="240" w:lineRule="auto"/>
        <w:ind w:left="178" w:right="0"/>
        <w:jc w:val="both"/>
        <w:rPr>
          <w:b w:val="0"/>
          <w:bCs w:val="0"/>
        </w:rPr>
      </w:pPr>
      <w:r>
        <w:rPr/>
        <w:t>8、配股事项</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178" w:right="178"/>
        <w:jc w:val="both"/>
      </w:pPr>
      <w:r>
        <w:rPr/>
        <w:t>公司于</w:t>
      </w:r>
      <w:r>
        <w:rPr>
          <w:spacing w:val="-67"/>
        </w:rPr>
        <w:t> </w:t>
      </w:r>
      <w:r>
        <w:rPr/>
        <w:t>2007</w:t>
      </w:r>
      <w:r>
        <w:rPr>
          <w:spacing w:val="-67"/>
        </w:rPr>
        <w:t> </w:t>
      </w:r>
      <w:r>
        <w:rPr/>
        <w:t>年</w:t>
      </w:r>
      <w:r>
        <w:rPr>
          <w:spacing w:val="-67"/>
        </w:rPr>
        <w:t> </w:t>
      </w:r>
      <w:r>
        <w:rPr/>
        <w:t>10</w:t>
      </w:r>
      <w:r>
        <w:rPr>
          <w:spacing w:val="-67"/>
        </w:rPr>
        <w:t> </w:t>
      </w:r>
      <w:r>
        <w:rPr/>
        <w:t>月</w:t>
      </w:r>
      <w:r>
        <w:rPr>
          <w:spacing w:val="-67"/>
        </w:rPr>
        <w:t> </w:t>
      </w:r>
      <w:r>
        <w:rPr/>
        <w:t>27</w:t>
      </w:r>
      <w:r>
        <w:rPr>
          <w:spacing w:val="-67"/>
        </w:rPr>
        <w:t> </w:t>
      </w:r>
      <w:r>
        <w:rPr/>
        <w:t>日召开了第四届董事会第六次会议，审议通过了《关于公司符合</w:t>
      </w:r>
      <w:r>
        <w:rPr/>
        <w:t> </w:t>
      </w:r>
      <w:r>
        <w:rPr>
          <w:spacing w:val="-10"/>
        </w:rPr>
        <w:t>配股资格的议案》、《关于本次配股方案的议案》、《关于本次配股募集资金使用可行性报</w:t>
      </w:r>
      <w:r>
        <w:rPr>
          <w:spacing w:val="2"/>
        </w:rPr>
        <w:t> </w:t>
      </w:r>
      <w:r>
        <w:rPr>
          <w:spacing w:val="-11"/>
        </w:rPr>
        <w:t>告的议案》、《关于前次募集资金使用报告的议案》、《关于提请股东大会授权董事会办理</w:t>
      </w:r>
      <w:r>
        <w:rPr>
          <w:spacing w:val="-83"/>
        </w:rPr>
        <w:t> </w:t>
      </w:r>
      <w:r>
        <w:rPr>
          <w:spacing w:val="-83"/>
        </w:rPr>
      </w:r>
      <w:r>
        <w:rPr>
          <w:spacing w:val="-6"/>
        </w:rPr>
        <w:t>本次配股相关具体事宜的议案》，同意公司以截止</w:t>
      </w:r>
      <w:r>
        <w:rPr>
          <w:spacing w:val="-57"/>
        </w:rPr>
        <w:t> </w:t>
      </w:r>
      <w:r>
        <w:rPr>
          <w:spacing w:val="-1"/>
        </w:rPr>
        <w:t>2007</w:t>
      </w:r>
      <w:r>
        <w:rPr>
          <w:spacing w:val="-56"/>
        </w:rPr>
        <w:t> </w:t>
      </w:r>
      <w:r>
        <w:rPr/>
        <w:t>年</w:t>
      </w:r>
      <w:r>
        <w:rPr>
          <w:spacing w:val="-57"/>
        </w:rPr>
        <w:t> </w:t>
      </w:r>
      <w:r>
        <w:rPr/>
        <w:t>9</w:t>
      </w:r>
      <w:r>
        <w:rPr>
          <w:spacing w:val="-57"/>
        </w:rPr>
        <w:t> </w:t>
      </w:r>
      <w:r>
        <w:rPr/>
        <w:t>月</w:t>
      </w:r>
      <w:r>
        <w:rPr>
          <w:spacing w:val="-56"/>
        </w:rPr>
        <w:t> </w:t>
      </w:r>
      <w:r>
        <w:rPr>
          <w:spacing w:val="-1"/>
        </w:rPr>
        <w:t>30</w:t>
      </w:r>
      <w:r>
        <w:rPr>
          <w:spacing w:val="-56"/>
        </w:rPr>
        <w:t> </w:t>
      </w:r>
      <w:r>
        <w:rPr>
          <w:spacing w:val="-1"/>
        </w:rPr>
        <w:t>日总股本</w:t>
      </w:r>
      <w:r>
        <w:rPr>
          <w:spacing w:val="-56"/>
        </w:rPr>
        <w:t> </w:t>
      </w:r>
      <w:r>
        <w:rPr>
          <w:spacing w:val="-1"/>
        </w:rPr>
        <w:t>628,612,295</w:t>
      </w:r>
      <w:r>
        <w:rPr/>
      </w:r>
    </w:p>
    <w:p>
      <w:pPr>
        <w:pStyle w:val="BodyText"/>
        <w:spacing w:line="310" w:lineRule="exact"/>
        <w:ind w:left="178" w:right="0"/>
        <w:jc w:val="both"/>
      </w:pPr>
      <w:r>
        <w:rPr>
          <w:spacing w:val="11"/>
        </w:rPr>
        <w:t>股为基数，按每 </w:t>
      </w:r>
      <w:r>
        <w:rPr/>
        <w:t>10 </w:t>
      </w:r>
      <w:r>
        <w:rPr>
          <w:spacing w:val="6"/>
        </w:rPr>
        <w:t>股配 </w:t>
      </w:r>
      <w:r>
        <w:rPr/>
        <w:t>2</w:t>
      </w:r>
      <w:r>
        <w:rPr>
          <w:spacing w:val="55"/>
        </w:rPr>
        <w:t> </w:t>
      </w:r>
      <w:r>
        <w:rPr>
          <w:spacing w:val="12"/>
        </w:rPr>
        <w:t>股的比例向全体股东配售，本次配股可配售股份总计为</w:t>
      </w:r>
      <w:r>
        <w:rPr/>
      </w:r>
    </w:p>
    <w:p>
      <w:pPr>
        <w:pStyle w:val="BodyText"/>
        <w:spacing w:line="313" w:lineRule="exact"/>
        <w:ind w:left="178" w:right="0"/>
        <w:jc w:val="both"/>
      </w:pPr>
      <w:r>
        <w:rPr/>
        <w:t>125,722,459</w:t>
      </w:r>
      <w:r>
        <w:rPr>
          <w:spacing w:val="-28"/>
        </w:rPr>
        <w:t> </w:t>
      </w:r>
      <w:r>
        <w:rPr>
          <w:spacing w:val="-4"/>
        </w:rPr>
        <w:t>股。同意公司在不低于公司最近一期每股净资产值的基础上，依据本次配股</w:t>
      </w:r>
    </w:p>
    <w:p>
      <w:pPr>
        <w:spacing w:after="0" w:line="313" w:lineRule="exact"/>
        <w:jc w:val="both"/>
        <w:sectPr>
          <w:pgSz w:w="11910" w:h="16840"/>
          <w:pgMar w:header="610" w:footer="764" w:top="1080" w:bottom="960" w:left="1240" w:right="11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2" w:lineRule="exact" w:before="26"/>
        <w:ind w:right="0"/>
        <w:jc w:val="both"/>
      </w:pPr>
      <w:r>
        <w:rPr>
          <w:spacing w:val="-5"/>
        </w:rPr>
        <w:t>确定的定价原则，采用市价折扣法确定配股价格。本次配股募集资金总额不超过</w:t>
      </w:r>
      <w:r>
        <w:rPr>
          <w:spacing w:val="-53"/>
        </w:rPr>
        <w:t> </w:t>
      </w:r>
      <w:r>
        <w:rPr/>
        <w:t>20</w:t>
      </w:r>
      <w:r>
        <w:rPr>
          <w:spacing w:val="-53"/>
        </w:rPr>
        <w:t> </w:t>
      </w:r>
      <w:r>
        <w:rPr/>
        <w:t>亿元，</w:t>
      </w:r>
    </w:p>
    <w:p>
      <w:pPr>
        <w:pStyle w:val="BodyText"/>
        <w:spacing w:line="311" w:lineRule="exact"/>
        <w:ind w:right="0"/>
        <w:jc w:val="both"/>
      </w:pPr>
      <w:r>
        <w:rPr/>
        <w:t>募集资金项目为投资</w:t>
      </w:r>
      <w:r>
        <w:rPr>
          <w:spacing w:val="-60"/>
        </w:rPr>
        <w:t> </w:t>
      </w:r>
      <w:r>
        <w:rPr/>
        <w:t>8</w:t>
      </w:r>
      <w:r>
        <w:rPr>
          <w:spacing w:val="-60"/>
        </w:rPr>
        <w:t> </w:t>
      </w:r>
      <w:r>
        <w:rPr/>
        <w:t>亿元用于高亮度发光二极管(LED)芯片制造及其应用产业化项目、</w:t>
      </w:r>
    </w:p>
    <w:p>
      <w:pPr>
        <w:pStyle w:val="BodyText"/>
        <w:spacing w:line="311" w:lineRule="exact"/>
        <w:ind w:right="0"/>
        <w:jc w:val="both"/>
      </w:pPr>
      <w:r>
        <w:rPr/>
        <w:t>投资 6</w:t>
      </w:r>
      <w:r>
        <w:rPr>
          <w:spacing w:val="-42"/>
        </w:rPr>
        <w:t> </w:t>
      </w:r>
      <w:r>
        <w:rPr/>
        <w:t>亿元用于基于国家标准的数字电视网络系统的技术开发、应用产业化项目以及补</w:t>
      </w:r>
    </w:p>
    <w:p>
      <w:pPr>
        <w:pStyle w:val="BodyText"/>
        <w:spacing w:line="311" w:lineRule="exact"/>
        <w:ind w:right="0"/>
        <w:jc w:val="both"/>
      </w:pPr>
      <w:r>
        <w:rPr/>
        <w:t>充流动资金 6</w:t>
      </w:r>
      <w:r>
        <w:rPr>
          <w:spacing w:val="-76"/>
        </w:rPr>
        <w:t> </w:t>
      </w:r>
      <w:r>
        <w:rPr/>
        <w:t>亿元。公司控股股东清华控股有限公司承诺以现金全额认配其应认配的股</w:t>
      </w:r>
    </w:p>
    <w:p>
      <w:pPr>
        <w:pStyle w:val="BodyText"/>
        <w:spacing w:line="311" w:lineRule="exact"/>
        <w:ind w:right="0"/>
        <w:jc w:val="both"/>
      </w:pPr>
      <w:r>
        <w:rPr/>
        <w:t>份。上述配股事项已经</w:t>
      </w:r>
      <w:r>
        <w:rPr>
          <w:spacing w:val="-51"/>
        </w:rPr>
        <w:t> </w:t>
      </w:r>
      <w:r>
        <w:rPr/>
        <w:t>2007</w:t>
      </w:r>
      <w:r>
        <w:rPr>
          <w:spacing w:val="-51"/>
        </w:rPr>
        <w:t> </w:t>
      </w:r>
      <w:r>
        <w:rPr/>
        <w:t>年</w:t>
      </w:r>
      <w:r>
        <w:rPr>
          <w:spacing w:val="-50"/>
        </w:rPr>
        <w:t> </w:t>
      </w:r>
      <w:r>
        <w:rPr/>
        <w:t>11</w:t>
      </w:r>
      <w:r>
        <w:rPr>
          <w:spacing w:val="-51"/>
        </w:rPr>
        <w:t> </w:t>
      </w:r>
      <w:r>
        <w:rPr/>
        <w:t>月</w:t>
      </w:r>
      <w:r>
        <w:rPr>
          <w:spacing w:val="-51"/>
        </w:rPr>
        <w:t> </w:t>
      </w:r>
      <w:r>
        <w:rPr/>
        <w:t>15</w:t>
      </w:r>
      <w:r>
        <w:rPr>
          <w:spacing w:val="-51"/>
        </w:rPr>
        <w:t> </w:t>
      </w:r>
      <w:r>
        <w:rPr/>
        <w:t>日召开的公司</w:t>
      </w:r>
      <w:r>
        <w:rPr>
          <w:spacing w:val="-51"/>
        </w:rPr>
        <w:t> </w:t>
      </w:r>
      <w:r>
        <w:rPr/>
        <w:t>2007</w:t>
      </w:r>
      <w:r>
        <w:rPr>
          <w:spacing w:val="-51"/>
        </w:rPr>
        <w:t> </w:t>
      </w:r>
      <w:r>
        <w:rPr/>
        <w:t>年第二次临时股东大会审议</w:t>
      </w:r>
    </w:p>
    <w:p>
      <w:pPr>
        <w:pStyle w:val="BodyText"/>
        <w:spacing w:line="312" w:lineRule="exact"/>
        <w:ind w:right="0"/>
        <w:jc w:val="both"/>
      </w:pPr>
      <w:r>
        <w:rPr/>
        <w:t>批准，并于</w:t>
      </w:r>
      <w:r>
        <w:rPr>
          <w:spacing w:val="-60"/>
        </w:rPr>
        <w:t> </w:t>
      </w:r>
      <w:r>
        <w:rPr>
          <w:spacing w:val="30"/>
        </w:rPr>
        <w:t>2008年5月4</w:t>
      </w:r>
      <w:r>
        <w:rPr>
          <w:spacing w:val="-60"/>
        </w:rPr>
        <w:t> </w:t>
      </w:r>
      <w:r>
        <w:rPr/>
        <w:t>日获得中国证券监督管理委员会核准。</w:t>
      </w:r>
    </w:p>
    <w:p>
      <w:pPr>
        <w:spacing w:line="240" w:lineRule="auto" w:before="8"/>
        <w:rPr>
          <w:rFonts w:ascii="宋体" w:hAnsi="宋体" w:cs="宋体" w:eastAsia="宋体" w:hint="default"/>
          <w:sz w:val="23"/>
          <w:szCs w:val="23"/>
        </w:rPr>
      </w:pPr>
    </w:p>
    <w:p>
      <w:pPr>
        <w:pStyle w:val="BodyText"/>
        <w:spacing w:line="313" w:lineRule="exact"/>
        <w:ind w:right="0"/>
        <w:jc w:val="both"/>
      </w:pPr>
      <w:r>
        <w:rPr>
          <w:spacing w:val="25"/>
        </w:rPr>
        <w:t>2008年5月</w:t>
      </w:r>
      <w:r>
        <w:rPr>
          <w:spacing w:val="-56"/>
        </w:rPr>
        <w:t> </w:t>
      </w:r>
      <w:r>
        <w:rPr/>
        <w:t>13</w:t>
      </w:r>
      <w:r>
        <w:rPr>
          <w:spacing w:val="-56"/>
        </w:rPr>
        <w:t> </w:t>
      </w:r>
      <w:r>
        <w:rPr>
          <w:spacing w:val="-5"/>
        </w:rPr>
        <w:t>日，公司公告了配股发行公告，以</w:t>
      </w:r>
      <w:r>
        <w:rPr>
          <w:spacing w:val="-56"/>
        </w:rPr>
        <w:t> </w:t>
      </w:r>
      <w:r>
        <w:rPr>
          <w:spacing w:val="25"/>
        </w:rPr>
        <w:t>2008年5月</w:t>
      </w:r>
      <w:r>
        <w:rPr>
          <w:spacing w:val="-56"/>
        </w:rPr>
        <w:t> </w:t>
      </w:r>
      <w:r>
        <w:rPr/>
        <w:t>15</w:t>
      </w:r>
      <w:r>
        <w:rPr>
          <w:spacing w:val="-56"/>
        </w:rPr>
        <w:t> </w:t>
      </w:r>
      <w:r>
        <w:rPr>
          <w:spacing w:val="-4"/>
        </w:rPr>
        <w:t>日为股权登记日，向全</w:t>
      </w:r>
    </w:p>
    <w:p>
      <w:pPr>
        <w:pStyle w:val="BodyText"/>
        <w:spacing w:line="311" w:lineRule="exact"/>
        <w:ind w:right="0"/>
        <w:jc w:val="both"/>
      </w:pPr>
      <w:r>
        <w:rPr>
          <w:spacing w:val="-3"/>
        </w:rPr>
        <w:t>体股东实施配股方案，配股价格为</w:t>
      </w:r>
      <w:r>
        <w:rPr>
          <w:spacing w:val="-58"/>
        </w:rPr>
        <w:t> </w:t>
      </w:r>
      <w:r>
        <w:rPr/>
        <w:t>16</w:t>
      </w:r>
      <w:r>
        <w:rPr>
          <w:spacing w:val="-58"/>
        </w:rPr>
        <w:t> </w:t>
      </w:r>
      <w:r>
        <w:rPr>
          <w:spacing w:val="-5"/>
        </w:rPr>
        <w:t>元/股。2008</w:t>
      </w:r>
      <w:r>
        <w:rPr>
          <w:spacing w:val="-58"/>
        </w:rPr>
        <w:t> </w:t>
      </w:r>
      <w:r>
        <w:rPr/>
        <w:t>年</w:t>
      </w:r>
      <w:r>
        <w:rPr>
          <w:spacing w:val="-58"/>
        </w:rPr>
        <w:t> </w:t>
      </w:r>
      <w:r>
        <w:rPr/>
        <w:t>5</w:t>
      </w:r>
      <w:r>
        <w:rPr>
          <w:spacing w:val="-60"/>
        </w:rPr>
        <w:t> </w:t>
      </w:r>
      <w:r>
        <w:rPr/>
        <w:t>月</w:t>
      </w:r>
      <w:r>
        <w:rPr>
          <w:spacing w:val="-58"/>
        </w:rPr>
        <w:t> </w:t>
      </w:r>
      <w:r>
        <w:rPr/>
        <w:t>26</w:t>
      </w:r>
      <w:r>
        <w:rPr>
          <w:spacing w:val="-58"/>
        </w:rPr>
        <w:t> </w:t>
      </w:r>
      <w:r>
        <w:rPr>
          <w:spacing w:val="-3"/>
        </w:rPr>
        <w:t>日，公司公告了配股发行结</w:t>
      </w:r>
    </w:p>
    <w:p>
      <w:pPr>
        <w:pStyle w:val="BodyText"/>
        <w:spacing w:line="237" w:lineRule="auto" w:before="1"/>
        <w:ind w:right="220"/>
        <w:jc w:val="both"/>
      </w:pPr>
      <w:r>
        <w:rPr/>
        <w:t>果公告，本次公司网上、网下认购配股数量合计为 122,903,516</w:t>
      </w:r>
      <w:r>
        <w:rPr>
          <w:spacing w:val="-40"/>
        </w:rPr>
        <w:t> </w:t>
      </w:r>
      <w:r>
        <w:rPr/>
        <w:t>股，占本次可配股份总</w:t>
      </w:r>
      <w:r>
        <w:rPr/>
        <w:t> 数(125,722,459 股)的</w:t>
      </w:r>
      <w:r>
        <w:rPr>
          <w:spacing w:val="-40"/>
        </w:rPr>
        <w:t> </w:t>
      </w:r>
      <w:r>
        <w:rPr/>
        <w:t>97.76%，超过了中国证监会《上市公司证券发行管理办法》中关</w:t>
      </w:r>
      <w:r>
        <w:rPr/>
        <w:t> 于“原股东认购股票的数量未达到拟配售数量百分之七十”视为发行失败的限制，故本</w:t>
      </w:r>
      <w:r>
        <w:rPr>
          <w:spacing w:val="-47"/>
        </w:rPr>
        <w:t> </w:t>
      </w:r>
      <w:r>
        <w:rPr>
          <w:spacing w:val="-47"/>
        </w:rPr>
      </w:r>
      <w:r>
        <w:rPr>
          <w:spacing w:val="11"/>
        </w:rPr>
        <w:t>次发行成功。2008年5月</w:t>
      </w:r>
      <w:r>
        <w:rPr>
          <w:spacing w:val="-54"/>
        </w:rPr>
        <w:t> </w:t>
      </w:r>
      <w:r>
        <w:rPr/>
        <w:t>30</w:t>
      </w:r>
      <w:r>
        <w:rPr>
          <w:spacing w:val="-54"/>
        </w:rPr>
        <w:t> </w:t>
      </w:r>
      <w:r>
        <w:rPr>
          <w:spacing w:val="-3"/>
        </w:rPr>
        <w:t>日，公司公告了配股股份上市及股本变动公告，本次配股共</w:t>
      </w:r>
      <w:r>
        <w:rPr/>
        <w:t> 募集资金总额为</w:t>
      </w:r>
      <w:r>
        <w:rPr>
          <w:spacing w:val="-40"/>
        </w:rPr>
        <w:t> </w:t>
      </w:r>
      <w:r>
        <w:rPr/>
        <w:t>19.66</w:t>
      </w:r>
      <w:r>
        <w:rPr>
          <w:spacing w:val="-40"/>
        </w:rPr>
        <w:t> </w:t>
      </w:r>
      <w:r>
        <w:rPr/>
        <w:t>亿元，募集资金净额为</w:t>
      </w:r>
      <w:r>
        <w:rPr>
          <w:spacing w:val="-40"/>
        </w:rPr>
        <w:t> </w:t>
      </w:r>
      <w:r>
        <w:rPr/>
        <w:t>19.19</w:t>
      </w:r>
      <w:r>
        <w:rPr>
          <w:spacing w:val="-40"/>
        </w:rPr>
        <w:t> </w:t>
      </w:r>
      <w:r>
        <w:rPr/>
        <w:t>亿元，配股完成后公司总股本变更</w:t>
      </w:r>
    </w:p>
    <w:p>
      <w:pPr>
        <w:pStyle w:val="BodyText"/>
        <w:spacing w:line="312" w:lineRule="exact"/>
        <w:ind w:right="0"/>
        <w:jc w:val="both"/>
      </w:pPr>
      <w:r>
        <w:rPr/>
        <w:t>为</w:t>
      </w:r>
      <w:r>
        <w:rPr>
          <w:spacing w:val="-60"/>
        </w:rPr>
        <w:t> </w:t>
      </w:r>
      <w:r>
        <w:rPr/>
        <w:t>751,515,811</w:t>
      </w:r>
      <w:r>
        <w:rPr>
          <w:spacing w:val="-60"/>
        </w:rPr>
        <w:t> </w:t>
      </w:r>
      <w:r>
        <w:rPr/>
        <w:t>股，上述获配股份的上市流通日为</w:t>
      </w:r>
      <w:r>
        <w:rPr>
          <w:spacing w:val="-60"/>
        </w:rPr>
        <w:t> </w:t>
      </w:r>
      <w:r>
        <w:rPr>
          <w:spacing w:val="30"/>
        </w:rPr>
        <w:t>2008年6月3</w:t>
      </w:r>
      <w:r>
        <w:rPr>
          <w:spacing w:val="-60"/>
        </w:rPr>
        <w:t> </w:t>
      </w:r>
      <w:r>
        <w:rPr/>
        <w:t>日。</w:t>
      </w:r>
    </w:p>
    <w:p>
      <w:pPr>
        <w:spacing w:line="240" w:lineRule="auto" w:before="1"/>
        <w:rPr>
          <w:rFonts w:ascii="宋体" w:hAnsi="宋体" w:cs="宋体" w:eastAsia="宋体" w:hint="default"/>
          <w:sz w:val="26"/>
          <w:szCs w:val="26"/>
        </w:rPr>
      </w:pPr>
    </w:p>
    <w:p>
      <w:pPr>
        <w:pStyle w:val="BodyText"/>
        <w:spacing w:line="310" w:lineRule="exact"/>
        <w:ind w:right="125"/>
        <w:jc w:val="both"/>
      </w:pPr>
      <w:r>
        <w:rPr/>
        <w:t>有关本次配股事项的具体内容，请参阅公司于</w:t>
      </w:r>
      <w:r>
        <w:rPr>
          <w:spacing w:val="-60"/>
        </w:rPr>
        <w:t> </w:t>
      </w:r>
      <w:r>
        <w:rPr/>
        <w:t>2007</w:t>
      </w:r>
      <w:r>
        <w:rPr>
          <w:spacing w:val="-60"/>
        </w:rPr>
        <w:t> </w:t>
      </w:r>
      <w:r>
        <w:rPr/>
        <w:t>年</w:t>
      </w:r>
      <w:r>
        <w:rPr>
          <w:spacing w:val="-60"/>
        </w:rPr>
        <w:t> </w:t>
      </w:r>
      <w:r>
        <w:rPr/>
        <w:t>10</w:t>
      </w:r>
      <w:r>
        <w:rPr>
          <w:spacing w:val="-60"/>
        </w:rPr>
        <w:t> </w:t>
      </w:r>
      <w:r>
        <w:rPr/>
        <w:t>月</w:t>
      </w:r>
      <w:r>
        <w:rPr>
          <w:spacing w:val="-60"/>
        </w:rPr>
        <w:t> </w:t>
      </w:r>
      <w:r>
        <w:rPr/>
        <w:t>30</w:t>
      </w:r>
      <w:r>
        <w:rPr>
          <w:spacing w:val="-60"/>
        </w:rPr>
        <w:t> </w:t>
      </w:r>
      <w:r>
        <w:rPr/>
        <w:t>日、2007</w:t>
      </w:r>
      <w:r>
        <w:rPr>
          <w:spacing w:val="-60"/>
        </w:rPr>
        <w:t> </w:t>
      </w:r>
      <w:r>
        <w:rPr/>
        <w:t>年</w:t>
      </w:r>
      <w:r>
        <w:rPr>
          <w:spacing w:val="-60"/>
        </w:rPr>
        <w:t> </w:t>
      </w:r>
      <w:r>
        <w:rPr/>
        <w:t>11</w:t>
      </w:r>
      <w:r>
        <w:rPr>
          <w:spacing w:val="-60"/>
        </w:rPr>
        <w:t> </w:t>
      </w:r>
      <w:r>
        <w:rPr/>
        <w:t>月</w:t>
      </w:r>
      <w:r>
        <w:rPr>
          <w:spacing w:val="-60"/>
        </w:rPr>
        <w:t> </w:t>
      </w:r>
      <w:r>
        <w:rPr/>
        <w:t>13</w:t>
      </w:r>
      <w:r>
        <w:rPr>
          <w:spacing w:val="-60"/>
        </w:rPr>
        <w:t> </w:t>
      </w:r>
      <w:r>
        <w:rPr/>
        <w:t>日、</w:t>
      </w:r>
      <w:r>
        <w:rPr/>
        <w:t> 2007</w:t>
      </w:r>
      <w:r>
        <w:rPr>
          <w:spacing w:val="-59"/>
        </w:rPr>
        <w:t> </w:t>
      </w:r>
      <w:r>
        <w:rPr/>
        <w:t>年</w:t>
      </w:r>
      <w:r>
        <w:rPr>
          <w:spacing w:val="-59"/>
        </w:rPr>
        <w:t> </w:t>
      </w:r>
      <w:r>
        <w:rPr/>
        <w:t>11</w:t>
      </w:r>
      <w:r>
        <w:rPr>
          <w:spacing w:val="-60"/>
        </w:rPr>
        <w:t> </w:t>
      </w:r>
      <w:r>
        <w:rPr/>
        <w:t>月</w:t>
      </w:r>
      <w:r>
        <w:rPr>
          <w:spacing w:val="-59"/>
        </w:rPr>
        <w:t> </w:t>
      </w:r>
      <w:r>
        <w:rPr/>
        <w:t>16</w:t>
      </w:r>
      <w:r>
        <w:rPr>
          <w:spacing w:val="-59"/>
        </w:rPr>
        <w:t> </w:t>
      </w:r>
      <w:r>
        <w:rPr>
          <w:spacing w:val="20"/>
        </w:rPr>
        <w:t>日、2008年3月</w:t>
      </w:r>
      <w:r>
        <w:rPr>
          <w:spacing w:val="-60"/>
        </w:rPr>
        <w:t> </w:t>
      </w:r>
      <w:r>
        <w:rPr/>
        <w:t>25</w:t>
      </w:r>
      <w:r>
        <w:rPr>
          <w:spacing w:val="-59"/>
        </w:rPr>
        <w:t> </w:t>
      </w:r>
      <w:r>
        <w:rPr>
          <w:spacing w:val="24"/>
        </w:rPr>
        <w:t>日、2008年5月6</w:t>
      </w:r>
      <w:r>
        <w:rPr>
          <w:spacing w:val="-60"/>
        </w:rPr>
        <w:t> </w:t>
      </w:r>
      <w:r>
        <w:rPr>
          <w:spacing w:val="20"/>
        </w:rPr>
        <w:t>日、2008年5月</w:t>
      </w:r>
      <w:r>
        <w:rPr>
          <w:spacing w:val="-59"/>
        </w:rPr>
        <w:t> </w:t>
      </w:r>
      <w:r>
        <w:rPr/>
        <w:t>13</w:t>
      </w:r>
      <w:r>
        <w:rPr>
          <w:spacing w:val="-60"/>
        </w:rPr>
        <w:t> </w:t>
      </w:r>
      <w:r>
        <w:rPr/>
        <w:t>日、2008</w:t>
      </w:r>
      <w:r>
        <w:rPr>
          <w:spacing w:val="-59"/>
        </w:rPr>
        <w:t> </w:t>
      </w:r>
      <w:r>
        <w:rPr/>
        <w:t>年</w:t>
      </w:r>
    </w:p>
    <w:p>
      <w:pPr>
        <w:pStyle w:val="BodyText"/>
        <w:spacing w:line="282" w:lineRule="exact"/>
        <w:ind w:right="0"/>
        <w:jc w:val="both"/>
      </w:pPr>
      <w:r>
        <w:rPr/>
        <w:t>5</w:t>
      </w:r>
      <w:r>
        <w:rPr>
          <w:spacing w:val="-51"/>
        </w:rPr>
        <w:t> </w:t>
      </w:r>
      <w:r>
        <w:rPr/>
        <w:t>月</w:t>
      </w:r>
      <w:r>
        <w:rPr>
          <w:spacing w:val="-51"/>
        </w:rPr>
        <w:t> </w:t>
      </w:r>
      <w:r>
        <w:rPr/>
        <w:t>26</w:t>
      </w:r>
      <w:r>
        <w:rPr>
          <w:spacing w:val="-51"/>
        </w:rPr>
        <w:t> </w:t>
      </w:r>
      <w:r>
        <w:rPr/>
        <w:t>日、2008</w:t>
      </w:r>
      <w:r>
        <w:rPr>
          <w:spacing w:val="-51"/>
        </w:rPr>
        <w:t> </w:t>
      </w:r>
      <w:r>
        <w:rPr/>
        <w:t>年</w:t>
      </w:r>
      <w:r>
        <w:rPr>
          <w:spacing w:val="-50"/>
        </w:rPr>
        <w:t> </w:t>
      </w:r>
      <w:r>
        <w:rPr/>
        <w:t>5</w:t>
      </w:r>
      <w:r>
        <w:rPr>
          <w:spacing w:val="-51"/>
        </w:rPr>
        <w:t> </w:t>
      </w:r>
      <w:r>
        <w:rPr/>
        <w:t>月</w:t>
      </w:r>
      <w:r>
        <w:rPr>
          <w:spacing w:val="-51"/>
        </w:rPr>
        <w:t> </w:t>
      </w:r>
      <w:r>
        <w:rPr/>
        <w:t>30</w:t>
      </w:r>
      <w:r>
        <w:rPr>
          <w:spacing w:val="-51"/>
        </w:rPr>
        <w:t> </w:t>
      </w:r>
      <w:r>
        <w:rPr/>
        <w:t>日刊登在中国证券报、上海证券报和上海证券交易所网站上</w:t>
      </w:r>
    </w:p>
    <w:p>
      <w:pPr>
        <w:spacing w:line="475" w:lineRule="auto" w:before="0"/>
        <w:ind w:left="138" w:right="7117" w:firstLine="0"/>
        <w:jc w:val="left"/>
        <w:rPr>
          <w:rFonts w:ascii="宋体" w:hAnsi="宋体" w:cs="宋体" w:eastAsia="宋体" w:hint="default"/>
          <w:sz w:val="24"/>
          <w:szCs w:val="24"/>
        </w:rPr>
      </w:pPr>
      <w:r>
        <w:rPr>
          <w:rFonts w:ascii="宋体" w:hAnsi="宋体" w:cs="宋体" w:eastAsia="宋体" w:hint="default"/>
          <w:sz w:val="24"/>
          <w:szCs w:val="24"/>
        </w:rPr>
        <w:t>的公告。 </w:t>
      </w:r>
      <w:r>
        <w:rPr>
          <w:rFonts w:ascii="宋体" w:hAnsi="宋体" w:cs="宋体" w:eastAsia="宋体" w:hint="default"/>
          <w:b/>
          <w:bCs/>
          <w:sz w:val="24"/>
          <w:szCs w:val="24"/>
        </w:rPr>
        <w:t>9、股权激励计划事项</w:t>
      </w:r>
      <w:r>
        <w:rPr>
          <w:rFonts w:ascii="宋体" w:hAnsi="宋体" w:cs="宋体" w:eastAsia="宋体" w:hint="default"/>
          <w:sz w:val="24"/>
          <w:szCs w:val="24"/>
        </w:rPr>
      </w:r>
    </w:p>
    <w:p>
      <w:pPr>
        <w:pStyle w:val="BodyText"/>
        <w:spacing w:line="312" w:lineRule="exact" w:before="104"/>
        <w:ind w:right="211"/>
        <w:jc w:val="left"/>
      </w:pPr>
      <w:r>
        <w:rPr/>
        <w:t>公司于</w:t>
      </w:r>
      <w:r>
        <w:rPr>
          <w:spacing w:val="-68"/>
        </w:rPr>
        <w:t> </w:t>
      </w:r>
      <w:r>
        <w:rPr>
          <w:spacing w:val="25"/>
        </w:rPr>
        <w:t>2007年1月</w:t>
      </w:r>
      <w:r>
        <w:rPr>
          <w:spacing w:val="-68"/>
        </w:rPr>
        <w:t> </w:t>
      </w:r>
      <w:r>
        <w:rPr/>
        <w:t>11</w:t>
      </w:r>
      <w:r>
        <w:rPr>
          <w:spacing w:val="-68"/>
        </w:rPr>
        <w:t> </w:t>
      </w:r>
      <w:r>
        <w:rPr/>
        <w:t>日公告了《公司</w:t>
      </w:r>
      <w:r>
        <w:rPr>
          <w:spacing w:val="-68"/>
        </w:rPr>
        <w:t> </w:t>
      </w:r>
      <w:r>
        <w:rPr/>
        <w:t>2007</w:t>
      </w:r>
      <w:r>
        <w:rPr>
          <w:spacing w:val="-68"/>
        </w:rPr>
        <w:t> </w:t>
      </w:r>
      <w:r>
        <w:rPr/>
        <w:t>年首期股票期权激励计划(草案)》及《公司</w:t>
      </w:r>
      <w:r>
        <w:rPr/>
        <w:t> 2007</w:t>
      </w:r>
      <w:r>
        <w:rPr>
          <w:spacing w:val="-58"/>
        </w:rPr>
        <w:t> </w:t>
      </w:r>
      <w:r>
        <w:rPr>
          <w:spacing w:val="-8"/>
        </w:rPr>
        <w:t>年首期股权激励计划实施考核办法(草案)》，该股权激励方案于</w:t>
      </w:r>
      <w:r>
        <w:rPr>
          <w:spacing w:val="-59"/>
        </w:rPr>
        <w:t> </w:t>
      </w:r>
      <w:r>
        <w:rPr>
          <w:spacing w:val="25"/>
        </w:rPr>
        <w:t>2007年1月</w:t>
      </w:r>
      <w:r>
        <w:rPr>
          <w:spacing w:val="-58"/>
        </w:rPr>
        <w:t> </w:t>
      </w:r>
      <w:r>
        <w:rPr/>
        <w:t>10</w:t>
      </w:r>
      <w:r>
        <w:rPr>
          <w:spacing w:val="-58"/>
        </w:rPr>
        <w:t> </w:t>
      </w:r>
      <w:r>
        <w:rPr/>
        <w:t>日经</w:t>
      </w:r>
    </w:p>
    <w:p>
      <w:pPr>
        <w:pStyle w:val="BodyText"/>
        <w:spacing w:line="281" w:lineRule="exact"/>
        <w:ind w:right="0"/>
        <w:jc w:val="both"/>
      </w:pPr>
      <w:r>
        <w:rPr/>
        <w:t>第三届董事会第三十一次会议审议通过，并已于</w:t>
      </w:r>
      <w:r>
        <w:rPr>
          <w:spacing w:val="-80"/>
        </w:rPr>
        <w:t> </w:t>
      </w:r>
      <w:r>
        <w:rPr>
          <w:spacing w:val="30"/>
        </w:rPr>
        <w:t>2007年8月2</w:t>
      </w:r>
      <w:r>
        <w:rPr>
          <w:spacing w:val="-80"/>
        </w:rPr>
        <w:t> </w:t>
      </w:r>
      <w:r>
        <w:rPr/>
        <w:t>日获得财政部《财政部关</w:t>
      </w:r>
    </w:p>
    <w:p>
      <w:pPr>
        <w:pStyle w:val="BodyText"/>
        <w:spacing w:line="312" w:lineRule="exact" w:before="29"/>
        <w:ind w:right="205"/>
        <w:jc w:val="left"/>
      </w:pPr>
      <w:r>
        <w:rPr/>
        <w:t>于同方股份有限公司</w:t>
      </w:r>
      <w:r>
        <w:rPr>
          <w:spacing w:val="-53"/>
        </w:rPr>
        <w:t> </w:t>
      </w:r>
      <w:r>
        <w:rPr/>
        <w:t>2007</w:t>
      </w:r>
      <w:r>
        <w:rPr>
          <w:spacing w:val="-53"/>
        </w:rPr>
        <w:t> </w:t>
      </w:r>
      <w:r>
        <w:rPr/>
        <w:t>年首期股票期权激励计划的函》(财教〔2007〕134</w:t>
      </w:r>
      <w:r>
        <w:rPr>
          <w:spacing w:val="-53"/>
        </w:rPr>
        <w:t> </w:t>
      </w:r>
      <w:r>
        <w:rPr/>
        <w:t>号)文件的</w:t>
      </w:r>
      <w:r>
        <w:rPr/>
        <w:t> 批复。</w:t>
      </w:r>
    </w:p>
    <w:p>
      <w:pPr>
        <w:spacing w:line="240" w:lineRule="auto" w:before="4"/>
        <w:rPr>
          <w:rFonts w:ascii="宋体" w:hAnsi="宋体" w:cs="宋体" w:eastAsia="宋体" w:hint="default"/>
          <w:sz w:val="21"/>
          <w:szCs w:val="21"/>
        </w:rPr>
      </w:pPr>
    </w:p>
    <w:p>
      <w:pPr>
        <w:pStyle w:val="BodyText"/>
        <w:spacing w:line="313" w:lineRule="exact"/>
        <w:ind w:right="0"/>
        <w:jc w:val="both"/>
      </w:pPr>
      <w:r>
        <w:rPr/>
        <w:t>根据中国证监会颁布</w:t>
      </w:r>
      <w:r>
        <w:rPr>
          <w:spacing w:val="-14"/>
        </w:rPr>
        <w:t>的</w:t>
      </w:r>
      <w:r>
        <w:rPr/>
        <w:t>《股权激励备忘录</w:t>
      </w:r>
      <w:r>
        <w:rPr>
          <w:spacing w:val="-60"/>
        </w:rPr>
        <w:t> </w:t>
      </w:r>
      <w:r>
        <w:rPr/>
        <w:t>2</w:t>
      </w:r>
      <w:r>
        <w:rPr>
          <w:spacing w:val="-60"/>
        </w:rPr>
        <w:t> </w:t>
      </w:r>
      <w:r>
        <w:rPr/>
        <w:t>号</w:t>
      </w:r>
      <w:r>
        <w:rPr>
          <w:spacing w:val="-14"/>
        </w:rPr>
        <w:t>》</w:t>
      </w:r>
      <w:r>
        <w:rPr/>
        <w:t>中相关规定</w:t>
      </w:r>
      <w:r>
        <w:rPr>
          <w:spacing w:val="-134"/>
        </w:rPr>
        <w:t>，</w:t>
      </w:r>
      <w:r>
        <w:rPr/>
        <w:t>“公司披露股权激励计划草</w:t>
      </w:r>
    </w:p>
    <w:p>
      <w:pPr>
        <w:pStyle w:val="BodyText"/>
        <w:spacing w:line="311" w:lineRule="exact"/>
        <w:ind w:right="0"/>
        <w:jc w:val="both"/>
      </w:pPr>
      <w:r>
        <w:rPr/>
        <w:t>案至股权激励计划经股东大会审议通过后</w:t>
      </w:r>
      <w:r>
        <w:rPr>
          <w:spacing w:val="-52"/>
        </w:rPr>
        <w:t> </w:t>
      </w:r>
      <w:r>
        <w:rPr/>
        <w:t>30</w:t>
      </w:r>
      <w:r>
        <w:rPr>
          <w:spacing w:val="-52"/>
        </w:rPr>
        <w:t> </w:t>
      </w:r>
      <w:r>
        <w:rPr>
          <w:spacing w:val="-3"/>
        </w:rPr>
        <w:t>日内，上市公司不得进行增发新股、资产注</w:t>
      </w:r>
    </w:p>
    <w:p>
      <w:pPr>
        <w:pStyle w:val="BodyText"/>
        <w:spacing w:line="311" w:lineRule="exact"/>
        <w:ind w:right="0"/>
        <w:jc w:val="both"/>
      </w:pPr>
      <w:r>
        <w:rPr/>
        <w:t>入、发行可转债等重大事项</w:t>
      </w:r>
      <w:r>
        <w:rPr>
          <w:spacing w:val="-120"/>
        </w:rPr>
        <w:t>。</w:t>
      </w:r>
      <w:r>
        <w:rPr/>
        <w:t>”且由于公司于</w:t>
      </w:r>
      <w:r>
        <w:rPr>
          <w:spacing w:val="-58"/>
        </w:rPr>
        <w:t> </w:t>
      </w:r>
      <w:r>
        <w:rPr/>
        <w:t>2007</w:t>
      </w:r>
      <w:r>
        <w:rPr>
          <w:spacing w:val="-58"/>
        </w:rPr>
        <w:t> </w:t>
      </w:r>
      <w:r>
        <w:rPr/>
        <w:t>年</w:t>
      </w:r>
      <w:r>
        <w:rPr>
          <w:spacing w:val="-57"/>
        </w:rPr>
        <w:t> </w:t>
      </w:r>
      <w:r>
        <w:rPr/>
        <w:t>7</w:t>
      </w:r>
      <w:r>
        <w:rPr>
          <w:spacing w:val="-58"/>
        </w:rPr>
        <w:t> </w:t>
      </w:r>
      <w:r>
        <w:rPr/>
        <w:t>月、2008</w:t>
      </w:r>
      <w:r>
        <w:rPr>
          <w:spacing w:val="-57"/>
        </w:rPr>
        <w:t> </w:t>
      </w:r>
      <w:r>
        <w:rPr/>
        <w:t>年</w:t>
      </w:r>
      <w:r>
        <w:rPr>
          <w:spacing w:val="-57"/>
        </w:rPr>
        <w:t> </w:t>
      </w:r>
      <w:r>
        <w:rPr/>
        <w:t>5</w:t>
      </w:r>
      <w:r>
        <w:rPr>
          <w:spacing w:val="-57"/>
        </w:rPr>
        <w:t> </w:t>
      </w:r>
      <w:r>
        <w:rPr>
          <w:spacing w:val="-1"/>
        </w:rPr>
        <w:t>月分别实施了非公</w:t>
      </w:r>
      <w:r>
        <w:rPr/>
      </w:r>
    </w:p>
    <w:p>
      <w:pPr>
        <w:pStyle w:val="BodyText"/>
        <w:spacing w:line="311" w:lineRule="exact"/>
        <w:ind w:right="0"/>
        <w:jc w:val="both"/>
      </w:pPr>
      <w:r>
        <w:rPr>
          <w:spacing w:val="-3"/>
        </w:rPr>
        <w:t>开发行股票、配股等重大事项，为此，经</w:t>
      </w:r>
      <w:r>
        <w:rPr>
          <w:spacing w:val="-54"/>
        </w:rPr>
        <w:t> </w:t>
      </w:r>
      <w:r>
        <w:rPr>
          <w:spacing w:val="30"/>
        </w:rPr>
        <w:t>2008年7月3</w:t>
      </w:r>
      <w:r>
        <w:rPr>
          <w:spacing w:val="-54"/>
        </w:rPr>
        <w:t> </w:t>
      </w:r>
      <w:r>
        <w:rPr/>
        <w:t>日召开的第四届董事会第十七次</w:t>
      </w:r>
    </w:p>
    <w:p>
      <w:pPr>
        <w:pStyle w:val="BodyText"/>
        <w:spacing w:line="311" w:lineRule="exact"/>
        <w:ind w:right="0"/>
        <w:jc w:val="both"/>
      </w:pPr>
      <w:r>
        <w:rPr/>
        <w:t>会议审议通过，公司向证监会申请撤回了《公司</w:t>
      </w:r>
      <w:r>
        <w:rPr>
          <w:spacing w:val="-60"/>
        </w:rPr>
        <w:t> </w:t>
      </w:r>
      <w:r>
        <w:rPr/>
        <w:t>2007</w:t>
      </w:r>
      <w:r>
        <w:rPr>
          <w:spacing w:val="-60"/>
        </w:rPr>
        <w:t> </w:t>
      </w:r>
      <w:r>
        <w:rPr/>
        <w:t>年首期股票期权激励计划(草案)》</w:t>
      </w:r>
    </w:p>
    <w:p>
      <w:pPr>
        <w:pStyle w:val="BodyText"/>
        <w:spacing w:line="237" w:lineRule="auto" w:before="1"/>
        <w:ind w:right="102"/>
        <w:jc w:val="both"/>
      </w:pPr>
      <w:r>
        <w:rPr/>
        <w:t>无异议函申报材料，并经第四届董事会第十七次会议审议通过了《公司</w:t>
      </w:r>
      <w:r>
        <w:rPr>
          <w:spacing w:val="-70"/>
        </w:rPr>
        <w:t> </w:t>
      </w:r>
      <w:r>
        <w:rPr/>
        <w:t>2007</w:t>
      </w:r>
      <w:r>
        <w:rPr>
          <w:spacing w:val="-70"/>
        </w:rPr>
        <w:t> </w:t>
      </w:r>
      <w:r>
        <w:rPr/>
        <w:t>年首期股票</w:t>
      </w:r>
      <w:r>
        <w:rPr/>
        <w:t> 期权激励计划(草案)(修订稿)》全文及摘要。该股权激励计划尚需中国证监会审核无异</w:t>
      </w:r>
      <w:r>
        <w:rPr>
          <w:spacing w:val="-45"/>
        </w:rPr>
        <w:t> </w:t>
      </w:r>
      <w:r>
        <w:rPr>
          <w:spacing w:val="-45"/>
        </w:rPr>
      </w:r>
      <w:r>
        <w:rPr/>
        <w:t>议后，由公司股东大会批准后实施，现正在履行相关的审批程序。</w:t>
      </w:r>
    </w:p>
    <w:p>
      <w:pPr>
        <w:spacing w:line="240" w:lineRule="auto" w:before="1"/>
        <w:rPr>
          <w:rFonts w:ascii="宋体" w:hAnsi="宋体" w:cs="宋体" w:eastAsia="宋体" w:hint="default"/>
          <w:sz w:val="26"/>
          <w:szCs w:val="26"/>
        </w:rPr>
      </w:pPr>
    </w:p>
    <w:p>
      <w:pPr>
        <w:pStyle w:val="BodyText"/>
        <w:spacing w:line="310" w:lineRule="exact"/>
        <w:ind w:right="92"/>
        <w:jc w:val="left"/>
      </w:pPr>
      <w:r>
        <w:rPr>
          <w:spacing w:val="-6"/>
        </w:rPr>
        <w:t>有关本股权激励计划事项的具体内容，请参阅公司于</w:t>
      </w:r>
      <w:r>
        <w:rPr>
          <w:spacing w:val="-64"/>
        </w:rPr>
        <w:t> </w:t>
      </w:r>
      <w:r>
        <w:rPr/>
        <w:t>2008</w:t>
      </w:r>
      <w:r>
        <w:rPr>
          <w:spacing w:val="-64"/>
        </w:rPr>
        <w:t> </w:t>
      </w:r>
      <w:r>
        <w:rPr/>
        <w:t>年</w:t>
      </w:r>
      <w:r>
        <w:rPr>
          <w:spacing w:val="-64"/>
        </w:rPr>
        <w:t> </w:t>
      </w:r>
      <w:r>
        <w:rPr/>
        <w:t>7</w:t>
      </w:r>
      <w:r>
        <w:rPr>
          <w:spacing w:val="-66"/>
        </w:rPr>
        <w:t> </w:t>
      </w:r>
      <w:r>
        <w:rPr/>
        <w:t>月</w:t>
      </w:r>
      <w:r>
        <w:rPr>
          <w:spacing w:val="-64"/>
        </w:rPr>
        <w:t> </w:t>
      </w:r>
      <w:r>
        <w:rPr/>
        <w:t>4</w:t>
      </w:r>
      <w:r>
        <w:rPr>
          <w:spacing w:val="-66"/>
        </w:rPr>
        <w:t> </w:t>
      </w:r>
      <w:r>
        <w:rPr/>
        <w:t>日刊登在中国证券报、</w:t>
      </w:r>
      <w:r>
        <w:rPr/>
        <w:t> 上海证券报和上海证券交易所网站上的公告。</w:t>
      </w:r>
    </w:p>
    <w:p>
      <w:pPr>
        <w:spacing w:line="240" w:lineRule="auto" w:before="6"/>
        <w:rPr>
          <w:rFonts w:ascii="宋体" w:hAnsi="宋体" w:cs="宋体" w:eastAsia="宋体" w:hint="default"/>
          <w:sz w:val="21"/>
          <w:szCs w:val="21"/>
        </w:rPr>
      </w:pPr>
    </w:p>
    <w:p>
      <w:pPr>
        <w:spacing w:line="475" w:lineRule="auto" w:before="0"/>
        <w:ind w:left="138" w:right="205" w:firstLine="0"/>
        <w:jc w:val="left"/>
        <w:rPr>
          <w:rFonts w:ascii="宋体" w:hAnsi="宋体" w:cs="宋体" w:eastAsia="宋体" w:hint="default"/>
          <w:sz w:val="24"/>
          <w:szCs w:val="24"/>
        </w:rPr>
      </w:pPr>
      <w:r>
        <w:rPr>
          <w:rFonts w:ascii="宋体" w:hAnsi="宋体" w:cs="宋体" w:eastAsia="宋体" w:hint="default"/>
          <w:b/>
          <w:bCs/>
          <w:sz w:val="24"/>
          <w:szCs w:val="24"/>
        </w:rPr>
        <w:t>10、其他事项－关于与清芯公司韩方股东</w:t>
      </w:r>
      <w:r>
        <w:rPr>
          <w:rFonts w:ascii="宋体" w:hAnsi="宋体" w:cs="宋体" w:eastAsia="宋体" w:hint="default"/>
          <w:b/>
          <w:bCs/>
          <w:spacing w:val="-60"/>
          <w:sz w:val="24"/>
          <w:szCs w:val="24"/>
        </w:rPr>
        <w:t> </w:t>
      </w:r>
      <w:r>
        <w:rPr>
          <w:rFonts w:ascii="宋体" w:hAnsi="宋体" w:cs="宋体" w:eastAsia="宋体" w:hint="default"/>
          <w:b/>
          <w:bCs/>
          <w:sz w:val="24"/>
          <w:szCs w:val="24"/>
        </w:rPr>
        <w:t>TAT</w:t>
      </w:r>
      <w:r>
        <w:rPr>
          <w:rFonts w:ascii="宋体" w:hAnsi="宋体" w:cs="宋体" w:eastAsia="宋体" w:hint="default"/>
          <w:b/>
          <w:bCs/>
          <w:spacing w:val="-61"/>
          <w:sz w:val="24"/>
          <w:szCs w:val="24"/>
        </w:rPr>
        <w:t> </w:t>
      </w:r>
      <w:r>
        <w:rPr>
          <w:rFonts w:ascii="宋体" w:hAnsi="宋体" w:cs="宋体" w:eastAsia="宋体" w:hint="default"/>
          <w:b/>
          <w:bCs/>
          <w:sz w:val="24"/>
          <w:szCs w:val="24"/>
        </w:rPr>
        <w:t>公司纠纷的说明</w:t>
      </w:r>
      <w:r>
        <w:rPr>
          <w:rFonts w:ascii="宋体" w:hAnsi="宋体" w:cs="宋体" w:eastAsia="宋体" w:hint="default"/>
          <w:b/>
          <w:bCs/>
          <w:spacing w:val="1"/>
          <w:w w:val="99"/>
          <w:sz w:val="24"/>
          <w:szCs w:val="24"/>
        </w:rPr>
        <w:t> </w:t>
      </w:r>
      <w:r>
        <w:rPr>
          <w:rFonts w:ascii="宋体" w:hAnsi="宋体" w:cs="宋体" w:eastAsia="宋体" w:hint="default"/>
          <w:sz w:val="24"/>
          <w:szCs w:val="24"/>
        </w:rPr>
        <w:t>清芯光电有限公司系公司持股</w:t>
      </w:r>
      <w:r>
        <w:rPr>
          <w:rFonts w:ascii="宋体" w:hAnsi="宋体" w:cs="宋体" w:eastAsia="宋体" w:hint="default"/>
          <w:spacing w:val="-53"/>
          <w:sz w:val="24"/>
          <w:szCs w:val="24"/>
        </w:rPr>
        <w:t> </w:t>
      </w:r>
      <w:r>
        <w:rPr>
          <w:rFonts w:ascii="宋体" w:hAnsi="宋体" w:cs="宋体" w:eastAsia="宋体" w:hint="default"/>
          <w:sz w:val="24"/>
          <w:szCs w:val="24"/>
        </w:rPr>
        <w:t>55%的控股子公司，注册资本</w:t>
      </w:r>
      <w:r>
        <w:rPr>
          <w:rFonts w:ascii="宋体" w:hAnsi="宋体" w:cs="宋体" w:eastAsia="宋体" w:hint="default"/>
          <w:spacing w:val="-53"/>
          <w:sz w:val="24"/>
          <w:szCs w:val="24"/>
        </w:rPr>
        <w:t> </w:t>
      </w:r>
      <w:r>
        <w:rPr>
          <w:rFonts w:ascii="宋体" w:hAnsi="宋体" w:cs="宋体" w:eastAsia="宋体" w:hint="default"/>
          <w:sz w:val="24"/>
          <w:szCs w:val="24"/>
        </w:rPr>
        <w:t>1000</w:t>
      </w:r>
      <w:r>
        <w:rPr>
          <w:rFonts w:ascii="宋体" w:hAnsi="宋体" w:cs="宋体" w:eastAsia="宋体" w:hint="default"/>
          <w:spacing w:val="-53"/>
          <w:sz w:val="24"/>
          <w:szCs w:val="24"/>
        </w:rPr>
        <w:t> </w:t>
      </w:r>
      <w:r>
        <w:rPr>
          <w:rFonts w:ascii="宋体" w:hAnsi="宋体" w:cs="宋体" w:eastAsia="宋体" w:hint="default"/>
          <w:sz w:val="24"/>
          <w:szCs w:val="24"/>
        </w:rPr>
        <w:t>万美元，负责公司光电</w:t>
      </w:r>
    </w:p>
    <w:p>
      <w:pPr>
        <w:spacing w:after="0" w:line="475" w:lineRule="auto"/>
        <w:jc w:val="left"/>
        <w:rPr>
          <w:rFonts w:ascii="宋体" w:hAnsi="宋体" w:cs="宋体" w:eastAsia="宋体" w:hint="default"/>
          <w:sz w:val="24"/>
          <w:szCs w:val="24"/>
        </w:rPr>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23"/>
        <w:jc w:val="both"/>
      </w:pPr>
      <w:r>
        <w:rPr/>
        <w:t>产业中的高亮度 LED</w:t>
      </w:r>
      <w:r>
        <w:rPr>
          <w:spacing w:val="-41"/>
        </w:rPr>
        <w:t> </w:t>
      </w:r>
      <w:r>
        <w:rPr/>
        <w:t>外延片与芯片的部分生产研发工作。目前，清芯光电有限公司拥有</w:t>
      </w:r>
      <w:r>
        <w:rPr/>
        <w:t> 五条生产线。</w:t>
      </w:r>
    </w:p>
    <w:p>
      <w:pPr>
        <w:spacing w:line="240" w:lineRule="auto" w:before="8"/>
        <w:rPr>
          <w:rFonts w:ascii="宋体" w:hAnsi="宋体" w:cs="宋体" w:eastAsia="宋体" w:hint="default"/>
          <w:sz w:val="21"/>
          <w:szCs w:val="21"/>
        </w:rPr>
      </w:pPr>
    </w:p>
    <w:p>
      <w:pPr>
        <w:pStyle w:val="BodyText"/>
        <w:spacing w:line="237" w:lineRule="auto"/>
        <w:ind w:right="220"/>
        <w:jc w:val="both"/>
      </w:pPr>
      <w:r>
        <w:rPr>
          <w:spacing w:val="25"/>
        </w:rPr>
        <w:t>2008年3月</w:t>
      </w:r>
      <w:r>
        <w:rPr>
          <w:spacing w:val="-45"/>
        </w:rPr>
        <w:t> </w:t>
      </w:r>
      <w:r>
        <w:rPr/>
        <w:t>22</w:t>
      </w:r>
      <w:r>
        <w:rPr>
          <w:spacing w:val="-45"/>
        </w:rPr>
        <w:t> </w:t>
      </w:r>
      <w:r>
        <w:rPr>
          <w:spacing w:val="-4"/>
        </w:rPr>
        <w:t>日，清芯公司召开一届六次董事会决议，审议通过了公司对其增资的方案</w:t>
      </w:r>
      <w:r>
        <w:rPr>
          <w:spacing w:val="-117"/>
        </w:rPr>
        <w:t> </w:t>
      </w:r>
      <w:r>
        <w:rPr>
          <w:spacing w:val="-117"/>
        </w:rPr>
      </w:r>
      <w:r>
        <w:rPr/>
        <w:t>以及在天竺设立子公司的议案。在此基础上，公司于</w:t>
      </w:r>
      <w:r>
        <w:rPr>
          <w:spacing w:val="-47"/>
        </w:rPr>
        <w:t> </w:t>
      </w:r>
      <w:r>
        <w:rPr>
          <w:spacing w:val="31"/>
        </w:rPr>
        <w:t>2008年3月</w:t>
      </w:r>
      <w:r>
        <w:rPr>
          <w:spacing w:val="-47"/>
        </w:rPr>
        <w:t> </w:t>
      </w:r>
      <w:r>
        <w:rPr/>
        <w:t>27</w:t>
      </w:r>
      <w:r>
        <w:rPr>
          <w:spacing w:val="-47"/>
        </w:rPr>
        <w:t> </w:t>
      </w:r>
      <w:r>
        <w:rPr/>
        <w:t>日召开第四届董事</w:t>
      </w:r>
      <w:r>
        <w:rPr/>
        <w:t> 会第十三次会议，审议通过了《关于增资清芯光电有限公司的议案》的议案，同意公司</w:t>
      </w:r>
      <w:r>
        <w:rPr>
          <w:spacing w:val="-47"/>
        </w:rPr>
        <w:t> </w:t>
      </w:r>
      <w:r>
        <w:rPr>
          <w:spacing w:val="-47"/>
        </w:rPr>
      </w:r>
      <w:r>
        <w:rPr/>
        <w:t>向清芯公司增资 750</w:t>
      </w:r>
      <w:r>
        <w:rPr>
          <w:spacing w:val="-41"/>
        </w:rPr>
        <w:t> </w:t>
      </w:r>
      <w:r>
        <w:rPr/>
        <w:t>万美元并授予清芯公司技术团队期权股的方案，增资完成后，清芯</w:t>
      </w:r>
    </w:p>
    <w:p>
      <w:pPr>
        <w:pStyle w:val="BodyText"/>
        <w:spacing w:line="237" w:lineRule="auto"/>
        <w:ind w:right="93"/>
        <w:jc w:val="left"/>
      </w:pPr>
      <w:r>
        <w:rPr/>
        <w:t>公司的注册资本将由</w:t>
      </w:r>
      <w:r>
        <w:rPr>
          <w:spacing w:val="-59"/>
        </w:rPr>
        <w:t> </w:t>
      </w:r>
      <w:r>
        <w:rPr/>
        <w:t>1000</w:t>
      </w:r>
      <w:r>
        <w:rPr>
          <w:spacing w:val="-59"/>
        </w:rPr>
        <w:t> </w:t>
      </w:r>
      <w:r>
        <w:rPr/>
        <w:t>万美元增至</w:t>
      </w:r>
      <w:r>
        <w:rPr>
          <w:spacing w:val="-59"/>
        </w:rPr>
        <w:t> </w:t>
      </w:r>
      <w:r>
        <w:rPr/>
        <w:t>1750</w:t>
      </w:r>
      <w:r>
        <w:rPr>
          <w:spacing w:val="-59"/>
        </w:rPr>
        <w:t> </w:t>
      </w:r>
      <w:r>
        <w:rPr>
          <w:spacing w:val="-7"/>
        </w:rPr>
        <w:t>万美元，公司对清芯公司的持股比例将由</w:t>
      </w:r>
      <w:r>
        <w:rPr>
          <w:spacing w:val="-60"/>
        </w:rPr>
        <w:t> </w:t>
      </w:r>
      <w:r>
        <w:rPr>
          <w:spacing w:val="-1"/>
        </w:rPr>
        <w:t>55%</w:t>
      </w:r>
      <w:r>
        <w:rPr>
          <w:spacing w:val="-116"/>
        </w:rPr>
        <w:t> </w:t>
      </w:r>
      <w:r>
        <w:rPr>
          <w:spacing w:val="-116"/>
        </w:rPr>
      </w:r>
      <w:r>
        <w:rPr/>
        <w:t>增至</w:t>
      </w:r>
      <w:r>
        <w:rPr>
          <w:spacing w:val="-58"/>
        </w:rPr>
        <w:t> </w:t>
      </w:r>
      <w:r>
        <w:rPr>
          <w:spacing w:val="-4"/>
        </w:rPr>
        <w:t>60%，上述董事会决议公告已于</w:t>
      </w:r>
      <w:r>
        <w:rPr>
          <w:spacing w:val="-58"/>
        </w:rPr>
        <w:t> </w:t>
      </w:r>
      <w:r>
        <w:rPr>
          <w:spacing w:val="25"/>
        </w:rPr>
        <w:t>2008年3月</w:t>
      </w:r>
      <w:r>
        <w:rPr>
          <w:spacing w:val="-58"/>
        </w:rPr>
        <w:t> </w:t>
      </w:r>
      <w:r>
        <w:rPr/>
        <w:t>29</w:t>
      </w:r>
      <w:r>
        <w:rPr>
          <w:spacing w:val="-58"/>
        </w:rPr>
        <w:t> </w:t>
      </w:r>
      <w:r>
        <w:rPr>
          <w:spacing w:val="-10"/>
        </w:rPr>
        <w:t>日在《中国证券报》和《上海证券报》</w:t>
      </w:r>
      <w:r>
        <w:rPr/>
        <w:t> 进行了刊登。公司向清芯公司进行增资的本意是进一步扩大清芯公司的生产能力，而后</w:t>
      </w:r>
      <w:r>
        <w:rPr>
          <w:spacing w:val="-47"/>
        </w:rPr>
        <w:t> </w:t>
      </w:r>
      <w:r>
        <w:rPr>
          <w:spacing w:val="-47"/>
        </w:rPr>
      </w:r>
      <w:r>
        <w:rPr/>
        <w:t>来韩方股东 TAT</w:t>
      </w:r>
      <w:r>
        <w:rPr>
          <w:spacing w:val="-61"/>
        </w:rPr>
        <w:t> </w:t>
      </w:r>
      <w:r>
        <w:rPr/>
        <w:t>公司认为上述增资事项将引致其对清芯公司的股权稀释而予以反悔，导</w:t>
      </w:r>
      <w:r>
        <w:rPr>
          <w:spacing w:val="-1"/>
        </w:rPr>
        <w:t> </w:t>
      </w:r>
      <w:r>
        <w:rPr/>
        <w:t>致增资未能实施，由此引发争议，韩方股东</w:t>
      </w:r>
      <w:r>
        <w:rPr>
          <w:spacing w:val="-40"/>
        </w:rPr>
        <w:t> </w:t>
      </w:r>
      <w:r>
        <w:rPr/>
        <w:t>TAT</w:t>
      </w:r>
      <w:r>
        <w:rPr>
          <w:spacing w:val="-40"/>
        </w:rPr>
        <w:t> </w:t>
      </w:r>
      <w:r>
        <w:rPr/>
        <w:t>公司希望公司将</w:t>
      </w:r>
      <w:r>
        <w:rPr>
          <w:spacing w:val="-40"/>
        </w:rPr>
        <w:t> </w:t>
      </w:r>
      <w:r>
        <w:rPr/>
        <w:t>LED</w:t>
      </w:r>
      <w:r>
        <w:rPr>
          <w:spacing w:val="-40"/>
        </w:rPr>
        <w:t> </w:t>
      </w:r>
      <w:r>
        <w:rPr/>
        <w:t>项目募集资金全部</w:t>
      </w:r>
      <w:r>
        <w:rPr/>
        <w:t> 投入到清芯公司，而公司认为</w:t>
      </w:r>
      <w:r>
        <w:rPr>
          <w:spacing w:val="-60"/>
        </w:rPr>
        <w:t> </w:t>
      </w:r>
      <w:r>
        <w:rPr/>
        <w:t>LED</w:t>
      </w:r>
      <w:r>
        <w:rPr>
          <w:spacing w:val="-60"/>
        </w:rPr>
        <w:t> </w:t>
      </w:r>
      <w:r>
        <w:rPr/>
        <w:t>项目募集资金仅有部分涉及到清芯公司。</w:t>
      </w:r>
    </w:p>
    <w:p>
      <w:pPr>
        <w:spacing w:line="240" w:lineRule="auto" w:before="11"/>
        <w:rPr>
          <w:rFonts w:ascii="宋体" w:hAnsi="宋体" w:cs="宋体" w:eastAsia="宋体" w:hint="default"/>
          <w:sz w:val="23"/>
          <w:szCs w:val="23"/>
        </w:rPr>
      </w:pPr>
    </w:p>
    <w:p>
      <w:pPr>
        <w:pStyle w:val="BodyText"/>
        <w:spacing w:line="237" w:lineRule="auto"/>
        <w:ind w:right="220"/>
        <w:jc w:val="both"/>
      </w:pPr>
      <w:r>
        <w:rPr/>
        <w:t>由于韩国 TAT</w:t>
      </w:r>
      <w:r>
        <w:rPr>
          <w:spacing w:val="-40"/>
        </w:rPr>
        <w:t> </w:t>
      </w:r>
      <w:r>
        <w:rPr/>
        <w:t>公司委派至清芯公司的董事总经理经营管理不善，为此清芯公司召开第一</w:t>
      </w:r>
      <w:r>
        <w:rPr/>
        <w:t> 届董事会第七次会议，会议决议更换董事、重新聘任经营班子。韩方股东 TAT</w:t>
      </w:r>
      <w:r>
        <w:rPr>
          <w:spacing w:val="-41"/>
        </w:rPr>
        <w:t> </w:t>
      </w:r>
      <w:r>
        <w:rPr/>
        <w:t>公司委派</w:t>
      </w:r>
      <w:r>
        <w:rPr/>
        <w:t> 的两名董事中其中一名在得到清芯光电电话通知情况下，口头拒绝出席，其余全部董事</w:t>
      </w:r>
      <w:r>
        <w:rPr>
          <w:spacing w:val="-47"/>
        </w:rPr>
        <w:t> </w:t>
      </w:r>
      <w:r>
        <w:rPr>
          <w:spacing w:val="-47"/>
        </w:rPr>
      </w:r>
      <w:r>
        <w:rPr>
          <w:spacing w:val="-6"/>
        </w:rPr>
        <w:t>均出席并一致通过了该决议。事后，TAT</w:t>
      </w:r>
      <w:r>
        <w:rPr>
          <w:spacing w:val="-49"/>
        </w:rPr>
        <w:t> </w:t>
      </w:r>
      <w:r>
        <w:rPr/>
        <w:t>公司以该次董事会召开程序不符合章程规定等事</w:t>
      </w:r>
      <w:r>
        <w:rPr>
          <w:spacing w:val="-118"/>
        </w:rPr>
        <w:t> </w:t>
      </w:r>
      <w:r>
        <w:rPr>
          <w:spacing w:val="-118"/>
        </w:rPr>
      </w:r>
      <w:r>
        <w:rPr/>
        <w:t>由向廊坊市经济开发区法院提起诉讼，要求撤销清芯公司该次董事会决议。经廊坊市经</w:t>
      </w:r>
      <w:r>
        <w:rPr>
          <w:spacing w:val="-47"/>
        </w:rPr>
        <w:t> </w:t>
      </w:r>
      <w:r>
        <w:rPr>
          <w:spacing w:val="-47"/>
        </w:rPr>
      </w:r>
      <w:r>
        <w:rPr/>
        <w:t>济开发区法院一审判决，认为未有明确证据显示已经通知全部董事出席董事会，该次董</w:t>
      </w:r>
      <w:r>
        <w:rPr>
          <w:spacing w:val="-47"/>
        </w:rPr>
        <w:t> </w:t>
      </w:r>
      <w:r>
        <w:rPr>
          <w:spacing w:val="-47"/>
        </w:rPr>
      </w:r>
      <w:r>
        <w:rPr/>
        <w:t>事会召开程序不符合章程规定，判令撤销该次董事会决议。现清芯公司不服上述判决，</w:t>
      </w:r>
      <w:r>
        <w:rPr>
          <w:spacing w:val="-47"/>
        </w:rPr>
        <w:t> </w:t>
      </w:r>
      <w:r>
        <w:rPr>
          <w:spacing w:val="-47"/>
        </w:rPr>
      </w:r>
      <w:r>
        <w:rPr/>
        <w:t>已向廊坊市中级人民法院提起上诉。诉讼正在进行中。</w:t>
      </w:r>
    </w:p>
    <w:p>
      <w:pPr>
        <w:spacing w:line="240" w:lineRule="auto" w:before="11"/>
        <w:rPr>
          <w:rFonts w:ascii="宋体" w:hAnsi="宋体" w:cs="宋体" w:eastAsia="宋体" w:hint="default"/>
          <w:sz w:val="23"/>
          <w:szCs w:val="23"/>
        </w:rPr>
      </w:pPr>
    </w:p>
    <w:p>
      <w:pPr>
        <w:pStyle w:val="BodyText"/>
        <w:spacing w:line="237" w:lineRule="auto"/>
        <w:ind w:right="220"/>
        <w:jc w:val="both"/>
      </w:pPr>
      <w:r>
        <w:rPr/>
        <w:t>公司作为清芯公司的控股股东，为支持清芯公司的发展，自入股之初至今向其提供了总</w:t>
      </w:r>
      <w:r>
        <w:rPr>
          <w:spacing w:val="-47"/>
        </w:rPr>
        <w:t> </w:t>
      </w:r>
      <w:r>
        <w:rPr>
          <w:spacing w:val="-47"/>
        </w:rPr>
      </w:r>
      <w:r>
        <w:rPr/>
        <w:t>计</w:t>
      </w:r>
      <w:r>
        <w:rPr>
          <w:spacing w:val="-53"/>
        </w:rPr>
        <w:t> </w:t>
      </w:r>
      <w:r>
        <w:rPr/>
        <w:t>6668</w:t>
      </w:r>
      <w:r>
        <w:rPr>
          <w:spacing w:val="-53"/>
        </w:rPr>
        <w:t> </w:t>
      </w:r>
      <w:r>
        <w:rPr/>
        <w:t>万元人民币的资金支持。鉴于清芯公司目前处于股东纠纷的非常时期，韩国</w:t>
      </w:r>
      <w:r>
        <w:rPr>
          <w:spacing w:val="-53"/>
        </w:rPr>
        <w:t> </w:t>
      </w:r>
      <w:r>
        <w:rPr/>
        <w:t>TAT</w:t>
      </w:r>
      <w:r>
        <w:rPr/>
        <w:t> 公司不断干扰清芯公司的日常经营，为保护公司利益，公司于</w:t>
      </w:r>
      <w:r>
        <w:rPr>
          <w:spacing w:val="-40"/>
        </w:rPr>
        <w:t> </w:t>
      </w:r>
      <w:r>
        <w:rPr/>
        <w:t>2008</w:t>
      </w:r>
      <w:r>
        <w:rPr>
          <w:spacing w:val="-40"/>
        </w:rPr>
        <w:t> </w:t>
      </w:r>
      <w:r>
        <w:rPr/>
        <w:t>年</w:t>
      </w:r>
      <w:r>
        <w:rPr>
          <w:spacing w:val="-40"/>
        </w:rPr>
        <w:t> </w:t>
      </w:r>
      <w:r>
        <w:rPr/>
        <w:t>12</w:t>
      </w:r>
      <w:r>
        <w:rPr>
          <w:spacing w:val="-40"/>
        </w:rPr>
        <w:t> </w:t>
      </w:r>
      <w:r>
        <w:rPr/>
        <w:t>月就此前拆借</w:t>
      </w:r>
    </w:p>
    <w:p>
      <w:pPr>
        <w:pStyle w:val="BodyText"/>
        <w:spacing w:line="312" w:lineRule="exact" w:before="27"/>
        <w:ind w:right="222"/>
        <w:jc w:val="both"/>
      </w:pPr>
      <w:r>
        <w:rPr/>
        <w:t>给清芯公司的</w:t>
      </w:r>
      <w:r>
        <w:rPr>
          <w:spacing w:val="-79"/>
        </w:rPr>
        <w:t> </w:t>
      </w:r>
      <w:r>
        <w:rPr/>
        <w:t>6668</w:t>
      </w:r>
      <w:r>
        <w:rPr>
          <w:spacing w:val="-79"/>
        </w:rPr>
        <w:t> </w:t>
      </w:r>
      <w:r>
        <w:rPr/>
        <w:t>万元借款提起了诉讼，并就清芯公司的主要财产进行了诉讼保全。现</w:t>
      </w:r>
      <w:r>
        <w:rPr/>
        <w:t> 在该诉讼正在进行中。</w:t>
      </w:r>
    </w:p>
    <w:p>
      <w:pPr>
        <w:spacing w:line="240" w:lineRule="auto" w:before="7"/>
        <w:rPr>
          <w:rFonts w:ascii="宋体" w:hAnsi="宋体" w:cs="宋体" w:eastAsia="宋体" w:hint="default"/>
          <w:sz w:val="21"/>
          <w:szCs w:val="21"/>
        </w:rPr>
      </w:pPr>
    </w:p>
    <w:p>
      <w:pPr>
        <w:pStyle w:val="BodyText"/>
        <w:spacing w:line="237" w:lineRule="auto"/>
        <w:ind w:right="220"/>
        <w:jc w:val="both"/>
      </w:pPr>
      <w:r>
        <w:rPr/>
        <w:t>公司认为，清芯公司仅为公司 LED</w:t>
      </w:r>
      <w:r>
        <w:rPr>
          <w:spacing w:val="-40"/>
        </w:rPr>
        <w:t> </w:t>
      </w:r>
      <w:r>
        <w:rPr/>
        <w:t>产业链中的一部分，且目前围绕清芯公司的争议均为</w:t>
      </w:r>
      <w:r>
        <w:rPr/>
        <w:t> 中韩双方股东对清芯公司管理方向的一些争议，不影响公司在光电产业后续的发展和公</w:t>
      </w:r>
      <w:r>
        <w:rPr>
          <w:spacing w:val="-47"/>
        </w:rPr>
        <w:t> </w:t>
      </w:r>
      <w:r>
        <w:rPr>
          <w:spacing w:val="-47"/>
        </w:rPr>
      </w:r>
      <w:r>
        <w:rPr/>
        <w:t>司整体的 LED</w:t>
      </w:r>
      <w:r>
        <w:rPr>
          <w:spacing w:val="-40"/>
        </w:rPr>
        <w:t> </w:t>
      </w:r>
      <w:r>
        <w:rPr/>
        <w:t>产业的布局。正是为了保护公司利益不受侵害，降低经营风险和成本，公</w:t>
      </w:r>
      <w:r>
        <w:rPr/>
        <w:t> 司才与韩方股东发生了上述争议，并采取了必要的诉讼等措施。</w:t>
      </w:r>
    </w:p>
    <w:p>
      <w:pPr>
        <w:spacing w:line="240" w:lineRule="auto" w:before="10"/>
        <w:rPr>
          <w:rFonts w:ascii="宋体" w:hAnsi="宋体" w:cs="宋体" w:eastAsia="宋体" w:hint="default"/>
          <w:sz w:val="23"/>
          <w:szCs w:val="23"/>
        </w:rPr>
      </w:pPr>
    </w:p>
    <w:p>
      <w:pPr>
        <w:pStyle w:val="BodyText"/>
        <w:spacing w:line="237" w:lineRule="auto"/>
        <w:ind w:right="220"/>
        <w:jc w:val="both"/>
      </w:pPr>
      <w:r>
        <w:rPr>
          <w:spacing w:val="-5"/>
        </w:rPr>
        <w:t>根据上海证券交易所上市规则，“上市公司应当及时披露涉案金额超过</w:t>
      </w:r>
      <w:r>
        <w:rPr>
          <w:spacing w:val="-12"/>
        </w:rPr>
        <w:t> </w:t>
      </w:r>
      <w:r>
        <w:rPr>
          <w:spacing w:val="-1"/>
        </w:rPr>
        <w:t>1000</w:t>
      </w:r>
      <w:r>
        <w:rPr>
          <w:spacing w:val="-12"/>
        </w:rPr>
        <w:t> </w:t>
      </w:r>
      <w:r>
        <w:rPr>
          <w:spacing w:val="-1"/>
        </w:rPr>
        <w:t>万元，并且</w:t>
      </w:r>
      <w:r>
        <w:rPr>
          <w:spacing w:val="-117"/>
        </w:rPr>
        <w:t> </w:t>
      </w:r>
      <w:r>
        <w:rPr>
          <w:spacing w:val="-117"/>
        </w:rPr>
      </w:r>
      <w:r>
        <w:rPr/>
        <w:t>占公司最近一期经审计净资产绝对值</w:t>
      </w:r>
      <w:r>
        <w:rPr>
          <w:spacing w:val="-40"/>
        </w:rPr>
        <w:t> </w:t>
      </w:r>
      <w:r>
        <w:rPr>
          <w:spacing w:val="-5"/>
        </w:rPr>
        <w:t>10%以上的重大诉讼、仲裁事项。”由于上述诉讼均</w:t>
      </w:r>
      <w:r>
        <w:rPr/>
        <w:t> 未达到披露标准，因此公司未予以披露。未来，公司将根据案件的进展情况，根据上市</w:t>
      </w:r>
      <w:r>
        <w:rPr>
          <w:spacing w:val="-47"/>
        </w:rPr>
        <w:t> </w:t>
      </w:r>
      <w:r>
        <w:rPr>
          <w:spacing w:val="-47"/>
        </w:rPr>
      </w:r>
      <w:r>
        <w:rPr/>
        <w:t>规则及时履行披露义务。</w:t>
      </w:r>
    </w:p>
    <w:p>
      <w:pPr>
        <w:spacing w:line="240" w:lineRule="auto" w:before="13"/>
        <w:rPr>
          <w:rFonts w:ascii="宋体" w:hAnsi="宋体" w:cs="宋体" w:eastAsia="宋体" w:hint="default"/>
          <w:sz w:val="25"/>
          <w:szCs w:val="25"/>
        </w:rPr>
      </w:pPr>
    </w:p>
    <w:p>
      <w:pPr>
        <w:pStyle w:val="BodyText"/>
        <w:spacing w:line="312" w:lineRule="exact"/>
        <w:ind w:right="223"/>
        <w:jc w:val="both"/>
      </w:pPr>
      <w:r>
        <w:rPr/>
        <w:t>关于上述事宜可参见公司于</w:t>
      </w:r>
      <w:r>
        <w:rPr>
          <w:spacing w:val="-47"/>
        </w:rPr>
        <w:t> </w:t>
      </w:r>
      <w:r>
        <w:rPr>
          <w:spacing w:val="31"/>
        </w:rPr>
        <w:t>2009年3月</w:t>
      </w:r>
      <w:r>
        <w:rPr>
          <w:spacing w:val="-47"/>
        </w:rPr>
        <w:t> </w:t>
      </w:r>
      <w:r>
        <w:rPr>
          <w:spacing w:val="-1"/>
        </w:rPr>
        <w:t>10</w:t>
      </w:r>
      <w:r>
        <w:rPr>
          <w:spacing w:val="-47"/>
        </w:rPr>
        <w:t> </w:t>
      </w:r>
      <w:r>
        <w:rPr>
          <w:spacing w:val="-12"/>
        </w:rPr>
        <w:t>日刊登在《中国证券报》、《上海证券报》和</w:t>
      </w:r>
      <w:r>
        <w:rPr/>
        <w:t> 上海证券交易所网站上的公告。</w:t>
      </w:r>
    </w:p>
    <w:p>
      <w:pPr>
        <w:spacing w:line="240" w:lineRule="auto" w:before="4"/>
        <w:rPr>
          <w:rFonts w:ascii="宋体" w:hAnsi="宋体" w:cs="宋体" w:eastAsia="宋体" w:hint="default"/>
          <w:sz w:val="21"/>
          <w:szCs w:val="21"/>
        </w:rPr>
      </w:pPr>
    </w:p>
    <w:p>
      <w:pPr>
        <w:pStyle w:val="Heading3"/>
        <w:spacing w:line="240" w:lineRule="auto"/>
        <w:ind w:left="138" w:right="0"/>
        <w:jc w:val="both"/>
        <w:rPr>
          <w:b w:val="0"/>
          <w:bCs w:val="0"/>
        </w:rPr>
      </w:pPr>
      <w:r>
        <w:rPr/>
        <w:t>11、信息披露索引</w:t>
      </w:r>
      <w:r>
        <w:rPr>
          <w:b w:val="0"/>
          <w:bCs w:val="0"/>
        </w:rPr>
      </w:r>
    </w:p>
    <w:p>
      <w:pPr>
        <w:spacing w:after="0" w:line="240" w:lineRule="auto"/>
        <w:jc w:val="both"/>
        <w:sectPr>
          <w:pgSz w:w="11910" w:h="16840"/>
          <w:pgMar w:header="610" w:footer="764" w:top="1080" w:bottom="960" w:left="128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484"/>
        <w:gridCol w:w="3497"/>
        <w:gridCol w:w="1266"/>
        <w:gridCol w:w="2421"/>
      </w:tblGrid>
      <w:tr>
        <w:trPr>
          <w:trHeight w:val="566" w:hRule="exact"/>
        </w:trPr>
        <w:tc>
          <w:tcPr>
            <w:tcW w:w="3484"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b/>
                <w:bCs/>
                <w:sz w:val="21"/>
                <w:szCs w:val="21"/>
              </w:rPr>
              <w:t>事项</w:t>
            </w:r>
            <w:r>
              <w:rPr>
                <w:rFonts w:ascii="宋体" w:hAnsi="宋体" w:cs="宋体" w:eastAsia="宋体" w:hint="default"/>
                <w:sz w:val="21"/>
                <w:szCs w:val="21"/>
              </w:rPr>
            </w:r>
          </w:p>
        </w:tc>
        <w:tc>
          <w:tcPr>
            <w:tcW w:w="349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刊载的报刊名称及版面</w:t>
            </w:r>
            <w:r>
              <w:rPr>
                <w:rFonts w:ascii="宋体" w:hAnsi="宋体" w:cs="宋体" w:eastAsia="宋体" w:hint="default"/>
                <w:sz w:val="21"/>
                <w:szCs w:val="21"/>
              </w:rPr>
            </w:r>
          </w:p>
        </w:tc>
        <w:tc>
          <w:tcPr>
            <w:tcW w:w="126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02" w:right="0"/>
              <w:jc w:val="left"/>
              <w:rPr>
                <w:rFonts w:ascii="宋体" w:hAnsi="宋体" w:cs="宋体" w:eastAsia="宋体" w:hint="default"/>
                <w:sz w:val="21"/>
                <w:szCs w:val="21"/>
              </w:rPr>
            </w:pPr>
            <w:r>
              <w:rPr>
                <w:rFonts w:ascii="宋体" w:hAnsi="宋体" w:cs="宋体" w:eastAsia="宋体" w:hint="default"/>
                <w:b/>
                <w:bCs/>
                <w:sz w:val="21"/>
                <w:szCs w:val="21"/>
              </w:rPr>
              <w:t>刊载日期</w:t>
            </w:r>
            <w:r>
              <w:rPr>
                <w:rFonts w:ascii="宋体" w:hAnsi="宋体" w:cs="宋体" w:eastAsia="宋体" w:hint="default"/>
                <w:sz w:val="21"/>
                <w:szCs w:val="21"/>
              </w:rPr>
            </w:r>
          </w:p>
        </w:tc>
        <w:tc>
          <w:tcPr>
            <w:tcW w:w="2421"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刊载的互联网网站及检</w:t>
            </w:r>
            <w:r>
              <w:rPr>
                <w:rFonts w:ascii="宋体" w:hAnsi="宋体" w:cs="宋体" w:eastAsia="宋体" w:hint="default"/>
                <w:sz w:val="21"/>
                <w:szCs w:val="21"/>
              </w:rPr>
            </w:r>
          </w:p>
          <w:p>
            <w:pPr>
              <w:pStyle w:val="TableParagraph"/>
              <w:spacing w:line="273"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索路径</w:t>
            </w:r>
            <w:r>
              <w:rPr>
                <w:rFonts w:ascii="宋体" w:hAnsi="宋体" w:cs="宋体" w:eastAsia="宋体" w:hint="default"/>
                <w:sz w:val="21"/>
                <w:szCs w:val="21"/>
              </w:rPr>
            </w:r>
          </w:p>
        </w:tc>
      </w:tr>
      <w:tr>
        <w:trPr>
          <w:trHeight w:val="560"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第四届董事会第九次会议决议公告、</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为下属控股子公司提供担保的公告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D004、上海证券报</w:t>
            </w:r>
            <w:r>
              <w:rPr>
                <w:rFonts w:ascii="宋体" w:hAnsi="宋体" w:cs="宋体" w:eastAsia="宋体" w:hint="default"/>
                <w:spacing w:val="-54"/>
                <w:sz w:val="21"/>
                <w:szCs w:val="21"/>
              </w:rPr>
              <w:t> </w:t>
            </w:r>
            <w:r>
              <w:rPr>
                <w:rFonts w:ascii="宋体" w:hAnsi="宋体" w:cs="宋体" w:eastAsia="宋体" w:hint="default"/>
                <w:sz w:val="21"/>
                <w:szCs w:val="21"/>
              </w:rPr>
              <w:t>D16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2008-1-17</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559"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第四届董事会第十次会议决议公告、</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关联交易公告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B08、上海证券报</w:t>
            </w:r>
            <w:r>
              <w:rPr>
                <w:rFonts w:ascii="宋体" w:hAnsi="宋体" w:cs="宋体" w:eastAsia="宋体" w:hint="default"/>
                <w:spacing w:val="-54"/>
                <w:sz w:val="21"/>
                <w:szCs w:val="21"/>
              </w:rPr>
              <w:t> </w:t>
            </w:r>
            <w:r>
              <w:rPr>
                <w:rFonts w:ascii="宋体" w:hAnsi="宋体" w:cs="宋体" w:eastAsia="宋体" w:hint="default"/>
                <w:sz w:val="21"/>
                <w:szCs w:val="21"/>
              </w:rPr>
              <w:t>D8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2008-2-28</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560"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第四届董事会第十一次会议决议公</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C005、上海证券报</w:t>
            </w:r>
            <w:r>
              <w:rPr>
                <w:rFonts w:ascii="宋体" w:hAnsi="宋体" w:cs="宋体" w:eastAsia="宋体" w:hint="default"/>
                <w:spacing w:val="-54"/>
                <w:sz w:val="21"/>
                <w:szCs w:val="21"/>
              </w:rPr>
              <w:t> </w:t>
            </w:r>
            <w:r>
              <w:rPr>
                <w:rFonts w:ascii="宋体" w:hAnsi="宋体" w:cs="宋体" w:eastAsia="宋体" w:hint="default"/>
                <w:sz w:val="21"/>
                <w:szCs w:val="21"/>
              </w:rPr>
              <w:t>17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2008-3-1</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hyperlink r:id="rId11">
              <w:r>
                <w:rPr>
                  <w:rFonts w:ascii="宋体"/>
                  <w:sz w:val="21"/>
                </w:rPr>
                <w:t>ht</w:t>
              </w:r>
            </w:hyperlink>
            <w:hyperlink r:id="rId11">
              <w:r>
                <w:rPr>
                  <w:rFonts w:ascii="宋体"/>
                  <w:sz w:val="21"/>
                </w:rPr>
                <w:t>tp://www.sse.com.cn</w:t>
              </w:r>
            </w:hyperlink>
          </w:p>
        </w:tc>
      </w:tr>
      <w:tr>
        <w:trPr>
          <w:trHeight w:val="559"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第四届董事会第十二次会议决议公</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告、追认日常关联交易的公告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D12、上海证券报</w:t>
            </w:r>
            <w:r>
              <w:rPr>
                <w:rFonts w:ascii="宋体" w:hAnsi="宋体" w:cs="宋体" w:eastAsia="宋体" w:hint="default"/>
                <w:spacing w:val="-54"/>
                <w:sz w:val="21"/>
                <w:szCs w:val="21"/>
              </w:rPr>
              <w:t> </w:t>
            </w:r>
            <w:r>
              <w:rPr>
                <w:rFonts w:ascii="宋体" w:hAnsi="宋体" w:cs="宋体" w:eastAsia="宋体" w:hint="default"/>
                <w:sz w:val="21"/>
                <w:szCs w:val="21"/>
              </w:rPr>
              <w:t>D16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2008-3-4</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559"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关于公司配股事宜获得发审委审核</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通过的公告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D068、上海证券报</w:t>
            </w:r>
            <w:r>
              <w:rPr>
                <w:rFonts w:ascii="宋体" w:hAnsi="宋体" w:cs="宋体" w:eastAsia="宋体" w:hint="default"/>
                <w:spacing w:val="-54"/>
                <w:sz w:val="21"/>
                <w:szCs w:val="21"/>
              </w:rPr>
              <w:t> </w:t>
            </w:r>
            <w:r>
              <w:rPr>
                <w:rFonts w:ascii="宋体" w:hAnsi="宋体" w:cs="宋体" w:eastAsia="宋体" w:hint="default"/>
                <w:sz w:val="21"/>
                <w:szCs w:val="21"/>
              </w:rPr>
              <w:t>D78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2008-3-25</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1378"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第四届董事会第十三次会议决议公</w:t>
            </w:r>
            <w:r>
              <w:rPr>
                <w:rFonts w:ascii="宋体" w:hAnsi="宋体" w:cs="宋体" w:eastAsia="宋体" w:hint="default"/>
                <w:sz w:val="21"/>
                <w:szCs w:val="21"/>
              </w:rPr>
            </w:r>
          </w:p>
          <w:p>
            <w:pPr>
              <w:pStyle w:val="TableParagraph"/>
              <w:spacing w:line="272" w:lineRule="exact" w:before="26"/>
              <w:ind w:left="93" w:right="100"/>
              <w:jc w:val="left"/>
              <w:rPr>
                <w:rFonts w:ascii="宋体" w:hAnsi="宋体" w:cs="宋体" w:eastAsia="宋体" w:hint="default"/>
                <w:sz w:val="21"/>
                <w:szCs w:val="21"/>
              </w:rPr>
            </w:pPr>
            <w:r>
              <w:rPr>
                <w:rFonts w:ascii="宋体" w:hAnsi="宋体" w:cs="宋体" w:eastAsia="宋体" w:hint="default"/>
                <w:spacing w:val="-6"/>
                <w:sz w:val="21"/>
                <w:szCs w:val="21"/>
              </w:rPr>
              <w:t>告、第四届监事会第四次会议决议公</w:t>
            </w:r>
            <w:r>
              <w:rPr>
                <w:rFonts w:ascii="宋体" w:hAnsi="宋体" w:cs="宋体" w:eastAsia="宋体" w:hint="default"/>
                <w:sz w:val="21"/>
                <w:szCs w:val="21"/>
              </w:rPr>
              <w:t> 告、关于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年度日常关联交易执</w:t>
            </w:r>
          </w:p>
          <w:p>
            <w:pPr>
              <w:pStyle w:val="TableParagraph"/>
              <w:spacing w:line="272" w:lineRule="exact"/>
              <w:ind w:left="93" w:right="100"/>
              <w:jc w:val="left"/>
              <w:rPr>
                <w:rFonts w:ascii="宋体" w:hAnsi="宋体" w:cs="宋体" w:eastAsia="宋体" w:hint="default"/>
                <w:sz w:val="21"/>
                <w:szCs w:val="21"/>
              </w:rPr>
            </w:pPr>
            <w:r>
              <w:rPr>
                <w:rFonts w:ascii="宋体" w:hAnsi="宋体" w:cs="宋体" w:eastAsia="宋体" w:hint="default"/>
                <w:sz w:val="21"/>
                <w:szCs w:val="21"/>
              </w:rPr>
              <w:t>行情况以及</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年度日常关联交易</w:t>
            </w:r>
            <w:r>
              <w:rPr>
                <w:rFonts w:ascii="宋体" w:hAnsi="宋体" w:cs="宋体" w:eastAsia="宋体" w:hint="default"/>
                <w:spacing w:val="-1"/>
                <w:sz w:val="21"/>
                <w:szCs w:val="21"/>
              </w:rPr>
              <w:t> </w:t>
            </w:r>
            <w:r>
              <w:rPr>
                <w:rFonts w:ascii="宋体" w:hAnsi="宋体" w:cs="宋体" w:eastAsia="宋体" w:hint="default"/>
                <w:sz w:val="21"/>
                <w:szCs w:val="21"/>
              </w:rPr>
              <w:t>预计的公告、2007</w:t>
            </w:r>
            <w:r>
              <w:rPr>
                <w:rFonts w:ascii="宋体" w:hAnsi="宋体" w:cs="宋体" w:eastAsia="宋体" w:hint="default"/>
                <w:spacing w:val="-54"/>
                <w:sz w:val="21"/>
                <w:szCs w:val="21"/>
              </w:rPr>
              <w:t> </w:t>
            </w:r>
            <w:r>
              <w:rPr>
                <w:rFonts w:ascii="宋体" w:hAnsi="宋体" w:cs="宋体" w:eastAsia="宋体" w:hint="default"/>
                <w:sz w:val="21"/>
                <w:szCs w:val="21"/>
              </w:rPr>
              <w:t>年年度报告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9"/>
                <w:sz w:val="21"/>
                <w:szCs w:val="21"/>
              </w:rPr>
              <w:t> </w:t>
            </w:r>
            <w:r>
              <w:rPr>
                <w:rFonts w:ascii="宋体" w:hAnsi="宋体" w:cs="宋体" w:eastAsia="宋体" w:hint="default"/>
                <w:sz w:val="21"/>
                <w:szCs w:val="21"/>
              </w:rPr>
              <w:t>C255/257、上海证券报</w:t>
            </w:r>
          </w:p>
          <w:p>
            <w:pPr>
              <w:pStyle w:val="TableParagraph"/>
              <w:spacing w:line="274" w:lineRule="exact"/>
              <w:ind w:left="100" w:right="0"/>
              <w:jc w:val="left"/>
              <w:rPr>
                <w:rFonts w:ascii="宋体" w:hAnsi="宋体" w:cs="宋体" w:eastAsia="宋体" w:hint="default"/>
                <w:sz w:val="21"/>
                <w:szCs w:val="21"/>
              </w:rPr>
            </w:pPr>
            <w:r>
              <w:rPr>
                <w:rFonts w:ascii="宋体"/>
                <w:sz w:val="21"/>
              </w:rPr>
              <w:t>257/259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2008-3-29</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287"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年一季度业绩预增公告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D065、上海证券报</w:t>
            </w:r>
            <w:r>
              <w:rPr>
                <w:rFonts w:ascii="宋体" w:hAnsi="宋体" w:cs="宋体" w:eastAsia="宋体" w:hint="default"/>
                <w:spacing w:val="-54"/>
                <w:sz w:val="21"/>
                <w:szCs w:val="21"/>
              </w:rPr>
              <w:t> </w:t>
            </w:r>
            <w:r>
              <w:rPr>
                <w:rFonts w:ascii="宋体" w:hAnsi="宋体" w:cs="宋体" w:eastAsia="宋体" w:hint="default"/>
                <w:sz w:val="21"/>
                <w:szCs w:val="21"/>
              </w:rPr>
              <w:t>D100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2008-4-18</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560"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第四届董事会第十四次会议决议公</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告、2008</w:t>
            </w:r>
            <w:r>
              <w:rPr>
                <w:rFonts w:ascii="宋体" w:hAnsi="宋体" w:cs="宋体" w:eastAsia="宋体" w:hint="default"/>
                <w:spacing w:val="-54"/>
                <w:sz w:val="21"/>
                <w:szCs w:val="21"/>
              </w:rPr>
              <w:t> </w:t>
            </w:r>
            <w:r>
              <w:rPr>
                <w:rFonts w:ascii="宋体" w:hAnsi="宋体" w:cs="宋体" w:eastAsia="宋体" w:hint="default"/>
                <w:sz w:val="21"/>
                <w:szCs w:val="21"/>
              </w:rPr>
              <w:t>年一季度报告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D032、上海证券报</w:t>
            </w:r>
            <w:r>
              <w:rPr>
                <w:rFonts w:ascii="宋体" w:hAnsi="宋体" w:cs="宋体" w:eastAsia="宋体" w:hint="default"/>
                <w:spacing w:val="-54"/>
                <w:sz w:val="21"/>
                <w:szCs w:val="21"/>
              </w:rPr>
              <w:t> </w:t>
            </w:r>
            <w:r>
              <w:rPr>
                <w:rFonts w:ascii="宋体" w:hAnsi="宋体" w:cs="宋体" w:eastAsia="宋体" w:hint="default"/>
                <w:sz w:val="21"/>
                <w:szCs w:val="21"/>
              </w:rPr>
              <w:t>D16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2008-4-30</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559"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年度配股申请获得证监会</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核准的公告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D012、上海证券报</w:t>
            </w:r>
            <w:r>
              <w:rPr>
                <w:rFonts w:ascii="宋体" w:hAnsi="宋体" w:cs="宋体" w:eastAsia="宋体" w:hint="default"/>
                <w:spacing w:val="-54"/>
                <w:sz w:val="21"/>
                <w:szCs w:val="21"/>
              </w:rPr>
              <w:t> </w:t>
            </w:r>
            <w:r>
              <w:rPr>
                <w:rFonts w:ascii="宋体" w:hAnsi="宋体" w:cs="宋体" w:eastAsia="宋体" w:hint="default"/>
                <w:sz w:val="21"/>
                <w:szCs w:val="21"/>
              </w:rPr>
              <w:t>D16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2008-5-6</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287"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配股发行公告、配股说明书</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A12、上海证券报</w:t>
            </w:r>
            <w:r>
              <w:rPr>
                <w:rFonts w:ascii="宋体" w:hAnsi="宋体" w:cs="宋体" w:eastAsia="宋体" w:hint="default"/>
                <w:spacing w:val="-54"/>
                <w:sz w:val="21"/>
                <w:szCs w:val="21"/>
              </w:rPr>
              <w:t> </w:t>
            </w:r>
            <w:r>
              <w:rPr>
                <w:rFonts w:ascii="宋体" w:hAnsi="宋体" w:cs="宋体" w:eastAsia="宋体" w:hint="default"/>
                <w:sz w:val="21"/>
                <w:szCs w:val="21"/>
              </w:rPr>
              <w:t>D8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2008-5-13</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288"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配股第一次提示性公告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A13、上海证券报</w:t>
            </w:r>
            <w:r>
              <w:rPr>
                <w:rFonts w:ascii="宋体" w:hAnsi="宋体" w:cs="宋体" w:eastAsia="宋体" w:hint="default"/>
                <w:spacing w:val="-54"/>
                <w:sz w:val="21"/>
                <w:szCs w:val="21"/>
              </w:rPr>
              <w:t> </w:t>
            </w:r>
            <w:r>
              <w:rPr>
                <w:rFonts w:ascii="宋体" w:hAnsi="宋体" w:cs="宋体" w:eastAsia="宋体" w:hint="default"/>
                <w:sz w:val="21"/>
                <w:szCs w:val="21"/>
              </w:rPr>
              <w:t>D11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2008-5-15</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hyperlink r:id="rId11">
              <w:r>
                <w:rPr>
                  <w:rFonts w:ascii="宋体"/>
                  <w:sz w:val="21"/>
                </w:rPr>
                <w:t>http://www.sse.com.cn</w:t>
              </w:r>
            </w:hyperlink>
          </w:p>
        </w:tc>
      </w:tr>
      <w:tr>
        <w:trPr>
          <w:trHeight w:val="287"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配股第二次提示性公告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A06、上海证券报</w:t>
            </w:r>
            <w:r>
              <w:rPr>
                <w:rFonts w:ascii="宋体" w:hAnsi="宋体" w:cs="宋体" w:eastAsia="宋体" w:hint="default"/>
                <w:spacing w:val="-54"/>
                <w:sz w:val="21"/>
                <w:szCs w:val="21"/>
              </w:rPr>
              <w:t> </w:t>
            </w:r>
            <w:r>
              <w:rPr>
                <w:rFonts w:ascii="宋体" w:hAnsi="宋体" w:cs="宋体" w:eastAsia="宋体" w:hint="default"/>
                <w:sz w:val="21"/>
                <w:szCs w:val="21"/>
              </w:rPr>
              <w:t>A17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2008-5-19</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hyperlink r:id="rId11">
              <w:r>
                <w:rPr>
                  <w:rFonts w:ascii="宋体"/>
                  <w:sz w:val="21"/>
                </w:rPr>
                <w:t>http://www.sse.com.cn</w:t>
              </w:r>
            </w:hyperlink>
          </w:p>
        </w:tc>
      </w:tr>
      <w:tr>
        <w:trPr>
          <w:trHeight w:val="288"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配股第三次提示性公告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A09、上海证券报</w:t>
            </w:r>
            <w:r>
              <w:rPr>
                <w:rFonts w:ascii="宋体" w:hAnsi="宋体" w:cs="宋体" w:eastAsia="宋体" w:hint="default"/>
                <w:spacing w:val="-54"/>
                <w:sz w:val="21"/>
                <w:szCs w:val="21"/>
              </w:rPr>
              <w:t> </w:t>
            </w:r>
            <w:r>
              <w:rPr>
                <w:rFonts w:ascii="宋体" w:hAnsi="宋体" w:cs="宋体" w:eastAsia="宋体" w:hint="default"/>
                <w:sz w:val="21"/>
                <w:szCs w:val="21"/>
              </w:rPr>
              <w:t>D16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2008-5-22</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hyperlink r:id="rId11">
              <w:r>
                <w:rPr>
                  <w:rFonts w:ascii="宋体"/>
                  <w:sz w:val="21"/>
                </w:rPr>
                <w:t>http://www.sse.com.cn</w:t>
              </w:r>
            </w:hyperlink>
          </w:p>
        </w:tc>
      </w:tr>
      <w:tr>
        <w:trPr>
          <w:trHeight w:val="287"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配股发行结果公告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B08、上海证券报</w:t>
            </w:r>
            <w:r>
              <w:rPr>
                <w:rFonts w:ascii="宋体" w:hAnsi="宋体" w:cs="宋体" w:eastAsia="宋体" w:hint="default"/>
                <w:spacing w:val="-54"/>
                <w:sz w:val="21"/>
                <w:szCs w:val="21"/>
              </w:rPr>
              <w:t> </w:t>
            </w:r>
            <w:r>
              <w:rPr>
                <w:rFonts w:ascii="宋体" w:hAnsi="宋体" w:cs="宋体" w:eastAsia="宋体" w:hint="default"/>
                <w:sz w:val="21"/>
                <w:szCs w:val="21"/>
              </w:rPr>
              <w:t>A16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2008-5-26</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hyperlink r:id="rId11">
              <w:r>
                <w:rPr>
                  <w:rFonts w:ascii="宋体"/>
                  <w:sz w:val="21"/>
                </w:rPr>
                <w:t>http://www.sse.com.cn</w:t>
              </w:r>
            </w:hyperlink>
          </w:p>
        </w:tc>
      </w:tr>
      <w:tr>
        <w:trPr>
          <w:trHeight w:val="288"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配股股份上市及股本变动公告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A16、上海证券报</w:t>
            </w:r>
            <w:r>
              <w:rPr>
                <w:rFonts w:ascii="宋体" w:hAnsi="宋体" w:cs="宋体" w:eastAsia="宋体" w:hint="default"/>
                <w:spacing w:val="-54"/>
                <w:sz w:val="21"/>
                <w:szCs w:val="21"/>
              </w:rPr>
              <w:t> </w:t>
            </w:r>
            <w:r>
              <w:rPr>
                <w:rFonts w:ascii="宋体" w:hAnsi="宋体" w:cs="宋体" w:eastAsia="宋体" w:hint="default"/>
                <w:sz w:val="21"/>
                <w:szCs w:val="21"/>
              </w:rPr>
              <w:t>D8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2008-5-30</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832"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第四届董事会第十五次会议决议公</w:t>
            </w:r>
            <w:r>
              <w:rPr>
                <w:rFonts w:ascii="宋体" w:hAnsi="宋体" w:cs="宋体" w:eastAsia="宋体" w:hint="default"/>
                <w:sz w:val="21"/>
                <w:szCs w:val="21"/>
              </w:rPr>
            </w:r>
          </w:p>
          <w:p>
            <w:pPr>
              <w:pStyle w:val="TableParagraph"/>
              <w:spacing w:line="272" w:lineRule="exact" w:before="26"/>
              <w:ind w:left="93" w:right="100"/>
              <w:jc w:val="left"/>
              <w:rPr>
                <w:rFonts w:ascii="宋体" w:hAnsi="宋体" w:cs="宋体" w:eastAsia="宋体" w:hint="default"/>
                <w:sz w:val="21"/>
                <w:szCs w:val="21"/>
              </w:rPr>
            </w:pPr>
            <w:r>
              <w:rPr>
                <w:rFonts w:ascii="宋体" w:hAnsi="宋体" w:cs="宋体" w:eastAsia="宋体" w:hint="default"/>
                <w:sz w:val="21"/>
                <w:szCs w:val="21"/>
              </w:rPr>
              <w:t>告暨召开公司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年年度股东大会</w:t>
            </w:r>
            <w:r>
              <w:rPr>
                <w:rFonts w:ascii="宋体" w:hAnsi="宋体" w:cs="宋体" w:eastAsia="宋体" w:hint="default"/>
                <w:spacing w:val="-1"/>
                <w:sz w:val="21"/>
                <w:szCs w:val="21"/>
              </w:rPr>
              <w:t> </w:t>
            </w:r>
            <w:r>
              <w:rPr>
                <w:rFonts w:ascii="宋体" w:hAnsi="宋体" w:cs="宋体" w:eastAsia="宋体" w:hint="default"/>
                <w:sz w:val="21"/>
                <w:szCs w:val="21"/>
              </w:rPr>
              <w:t>的通知</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B04、上海证券报</w:t>
            </w:r>
            <w:r>
              <w:rPr>
                <w:rFonts w:ascii="宋体" w:hAnsi="宋体" w:cs="宋体" w:eastAsia="宋体" w:hint="default"/>
                <w:spacing w:val="-54"/>
                <w:sz w:val="21"/>
                <w:szCs w:val="21"/>
              </w:rPr>
              <w:t> </w:t>
            </w:r>
            <w:r>
              <w:rPr>
                <w:rFonts w:ascii="宋体" w:hAnsi="宋体" w:cs="宋体" w:eastAsia="宋体" w:hint="default"/>
                <w:sz w:val="21"/>
                <w:szCs w:val="21"/>
              </w:rPr>
              <w:t>D16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2008-6-3</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832"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第四届董事会第十六次会议决议公</w:t>
            </w:r>
            <w:r>
              <w:rPr>
                <w:rFonts w:ascii="宋体" w:hAnsi="宋体" w:cs="宋体" w:eastAsia="宋体" w:hint="default"/>
                <w:sz w:val="21"/>
                <w:szCs w:val="21"/>
              </w:rPr>
            </w:r>
          </w:p>
          <w:p>
            <w:pPr>
              <w:pStyle w:val="TableParagraph"/>
              <w:spacing w:line="272" w:lineRule="exact" w:before="26"/>
              <w:ind w:left="93" w:right="100"/>
              <w:jc w:val="left"/>
              <w:rPr>
                <w:rFonts w:ascii="宋体" w:hAnsi="宋体" w:cs="宋体" w:eastAsia="宋体" w:hint="default"/>
                <w:sz w:val="21"/>
                <w:szCs w:val="21"/>
              </w:rPr>
            </w:pPr>
            <w:r>
              <w:rPr>
                <w:rFonts w:ascii="宋体" w:hAnsi="宋体" w:cs="宋体" w:eastAsia="宋体" w:hint="default"/>
                <w:spacing w:val="-6"/>
                <w:sz w:val="21"/>
                <w:szCs w:val="21"/>
              </w:rPr>
              <w:t>告、为下属控股子公司提供担保的公</w:t>
            </w:r>
            <w:r>
              <w:rPr>
                <w:rFonts w:ascii="宋体" w:hAnsi="宋体" w:cs="宋体" w:eastAsia="宋体" w:hint="default"/>
                <w:sz w:val="21"/>
                <w:szCs w:val="21"/>
              </w:rPr>
              <w:t> 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D004、上海证券报</w:t>
            </w:r>
            <w:r>
              <w:rPr>
                <w:rFonts w:ascii="宋体" w:hAnsi="宋体" w:cs="宋体" w:eastAsia="宋体" w:hint="default"/>
                <w:spacing w:val="-54"/>
                <w:sz w:val="21"/>
                <w:szCs w:val="21"/>
              </w:rPr>
              <w:t> </w:t>
            </w:r>
            <w:r>
              <w:rPr>
                <w:rFonts w:ascii="宋体" w:hAnsi="宋体" w:cs="宋体" w:eastAsia="宋体" w:hint="default"/>
                <w:sz w:val="21"/>
                <w:szCs w:val="21"/>
              </w:rPr>
              <w:t>D17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2008-6-13</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288"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年年度股东大会决议公告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D005、上海证券报</w:t>
            </w:r>
            <w:r>
              <w:rPr>
                <w:rFonts w:ascii="宋体" w:hAnsi="宋体" w:cs="宋体" w:eastAsia="宋体" w:hint="default"/>
                <w:spacing w:val="-54"/>
                <w:sz w:val="21"/>
                <w:szCs w:val="21"/>
              </w:rPr>
              <w:t> </w:t>
            </w:r>
            <w:r>
              <w:rPr>
                <w:rFonts w:ascii="宋体" w:hAnsi="宋体" w:cs="宋体" w:eastAsia="宋体" w:hint="default"/>
                <w:sz w:val="21"/>
                <w:szCs w:val="21"/>
              </w:rPr>
              <w:t>D16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2008-6-24</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832"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第四届董事会第十七次会议决议公</w:t>
            </w:r>
            <w:r>
              <w:rPr>
                <w:rFonts w:ascii="宋体" w:hAnsi="宋体" w:cs="宋体" w:eastAsia="宋体" w:hint="default"/>
                <w:sz w:val="21"/>
                <w:szCs w:val="21"/>
              </w:rPr>
            </w:r>
          </w:p>
          <w:p>
            <w:pPr>
              <w:pStyle w:val="TableParagraph"/>
              <w:spacing w:line="272" w:lineRule="exact" w:before="26"/>
              <w:ind w:left="93" w:right="100"/>
              <w:jc w:val="left"/>
              <w:rPr>
                <w:rFonts w:ascii="宋体" w:hAnsi="宋体" w:cs="宋体" w:eastAsia="宋体" w:hint="default"/>
                <w:sz w:val="21"/>
                <w:szCs w:val="21"/>
              </w:rPr>
            </w:pPr>
            <w:r>
              <w:rPr>
                <w:rFonts w:ascii="宋体" w:hAnsi="宋体" w:cs="宋体" w:eastAsia="宋体" w:hint="default"/>
                <w:spacing w:val="-6"/>
                <w:sz w:val="21"/>
                <w:szCs w:val="21"/>
              </w:rPr>
              <w:t>告、第四届监事会第六次会议决议公</w:t>
            </w:r>
            <w:r>
              <w:rPr>
                <w:rFonts w:ascii="宋体" w:hAnsi="宋体" w:cs="宋体" w:eastAsia="宋体" w:hint="default"/>
                <w:sz w:val="21"/>
                <w:szCs w:val="21"/>
              </w:rPr>
              <w:t> 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D004、上海证券报</w:t>
            </w:r>
            <w:r>
              <w:rPr>
                <w:rFonts w:ascii="宋体" w:hAnsi="宋体" w:cs="宋体" w:eastAsia="宋体" w:hint="default"/>
                <w:spacing w:val="-54"/>
                <w:sz w:val="21"/>
                <w:szCs w:val="21"/>
              </w:rPr>
              <w:t> </w:t>
            </w:r>
            <w:r>
              <w:rPr>
                <w:rFonts w:ascii="宋体" w:hAnsi="宋体" w:cs="宋体" w:eastAsia="宋体" w:hint="default"/>
                <w:sz w:val="21"/>
                <w:szCs w:val="21"/>
              </w:rPr>
              <w:t>A14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2008-7-7</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560"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第四届董事会第十八次会议决议公</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C061、上海证券报</w:t>
            </w:r>
            <w:r>
              <w:rPr>
                <w:rFonts w:ascii="宋体" w:hAnsi="宋体" w:cs="宋体" w:eastAsia="宋体" w:hint="default"/>
                <w:spacing w:val="-54"/>
                <w:sz w:val="21"/>
                <w:szCs w:val="21"/>
              </w:rPr>
              <w:t> </w:t>
            </w:r>
            <w:r>
              <w:rPr>
                <w:rFonts w:ascii="宋体" w:hAnsi="宋体" w:cs="宋体" w:eastAsia="宋体" w:hint="default"/>
                <w:sz w:val="21"/>
                <w:szCs w:val="21"/>
              </w:rPr>
              <w:t>81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2008-7-19</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326"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有限售条件的股份上市公告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D004、上海证券报</w:t>
            </w:r>
            <w:r>
              <w:rPr>
                <w:rFonts w:ascii="宋体" w:hAnsi="宋体" w:cs="宋体" w:eastAsia="宋体" w:hint="default"/>
                <w:spacing w:val="-54"/>
                <w:sz w:val="21"/>
                <w:szCs w:val="21"/>
              </w:rPr>
              <w:t> </w:t>
            </w:r>
            <w:r>
              <w:rPr>
                <w:rFonts w:ascii="宋体" w:hAnsi="宋体" w:cs="宋体" w:eastAsia="宋体" w:hint="default"/>
                <w:sz w:val="21"/>
                <w:szCs w:val="21"/>
              </w:rPr>
              <w:t>C16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2008-7-29</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328"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年半年度报告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D012、上海证券报</w:t>
            </w:r>
            <w:r>
              <w:rPr>
                <w:rFonts w:ascii="宋体" w:hAnsi="宋体" w:cs="宋体" w:eastAsia="宋体" w:hint="default"/>
                <w:spacing w:val="-54"/>
                <w:sz w:val="21"/>
                <w:szCs w:val="21"/>
              </w:rPr>
              <w:t> </w:t>
            </w:r>
            <w:r>
              <w:rPr>
                <w:rFonts w:ascii="宋体" w:hAnsi="宋体" w:cs="宋体" w:eastAsia="宋体" w:hint="default"/>
                <w:sz w:val="21"/>
                <w:szCs w:val="21"/>
              </w:rPr>
              <w:t>C11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2008-8-8</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559"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12"/>
                <w:sz w:val="21"/>
                <w:szCs w:val="21"/>
              </w:rPr>
              <w:t> </w:t>
            </w:r>
            <w:r>
              <w:rPr>
                <w:rFonts w:ascii="宋体" w:hAnsi="宋体" w:cs="宋体" w:eastAsia="宋体" w:hint="default"/>
                <w:sz w:val="21"/>
                <w:szCs w:val="21"/>
              </w:rPr>
              <w:t>年度分红派息及转增股本实施</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B04、上海证券报</w:t>
            </w:r>
            <w:r>
              <w:rPr>
                <w:rFonts w:ascii="宋体" w:hAnsi="宋体" w:cs="宋体" w:eastAsia="宋体" w:hint="default"/>
                <w:spacing w:val="-54"/>
                <w:sz w:val="21"/>
                <w:szCs w:val="21"/>
              </w:rPr>
              <w:t> </w:t>
            </w:r>
            <w:r>
              <w:rPr>
                <w:rFonts w:ascii="宋体" w:hAnsi="宋体" w:cs="宋体" w:eastAsia="宋体" w:hint="default"/>
                <w:sz w:val="21"/>
                <w:szCs w:val="21"/>
              </w:rPr>
              <w:t>A8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2008-8-11</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1112" w:hRule="exact"/>
        </w:trPr>
        <w:tc>
          <w:tcPr>
            <w:tcW w:w="3484"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both"/>
              <w:rPr>
                <w:rFonts w:ascii="宋体" w:hAnsi="宋体" w:cs="宋体" w:eastAsia="宋体" w:hint="default"/>
                <w:sz w:val="21"/>
                <w:szCs w:val="21"/>
              </w:rPr>
            </w:pPr>
            <w:r>
              <w:rPr>
                <w:rFonts w:ascii="宋体" w:hAnsi="宋体" w:cs="宋体" w:eastAsia="宋体" w:hint="default"/>
                <w:spacing w:val="8"/>
                <w:sz w:val="21"/>
                <w:szCs w:val="21"/>
              </w:rPr>
              <w:t>第四届董事会第二十次会议决议公</w:t>
            </w:r>
            <w:r>
              <w:rPr>
                <w:rFonts w:ascii="宋体" w:hAnsi="宋体" w:cs="宋体" w:eastAsia="宋体" w:hint="default"/>
                <w:sz w:val="21"/>
                <w:szCs w:val="21"/>
              </w:rPr>
            </w:r>
          </w:p>
          <w:p>
            <w:pPr>
              <w:pStyle w:val="TableParagraph"/>
              <w:spacing w:line="272" w:lineRule="exact" w:before="26"/>
              <w:ind w:left="93" w:right="100"/>
              <w:jc w:val="both"/>
              <w:rPr>
                <w:rFonts w:ascii="宋体" w:hAnsi="宋体" w:cs="宋体" w:eastAsia="宋体" w:hint="default"/>
                <w:sz w:val="21"/>
                <w:szCs w:val="21"/>
              </w:rPr>
            </w:pPr>
            <w:r>
              <w:rPr>
                <w:rFonts w:ascii="宋体" w:hAnsi="宋体" w:cs="宋体" w:eastAsia="宋体" w:hint="default"/>
                <w:spacing w:val="-6"/>
                <w:sz w:val="21"/>
                <w:szCs w:val="21"/>
              </w:rPr>
              <w:t>告、关于将部分募集资金暂时补充流</w:t>
            </w:r>
            <w:r>
              <w:rPr>
                <w:rFonts w:ascii="宋体" w:hAnsi="宋体" w:cs="宋体" w:eastAsia="宋体" w:hint="default"/>
                <w:sz w:val="21"/>
                <w:szCs w:val="21"/>
              </w:rPr>
              <w:t> </w:t>
            </w:r>
            <w:r>
              <w:rPr>
                <w:rFonts w:ascii="宋体" w:hAnsi="宋体" w:cs="宋体" w:eastAsia="宋体" w:hint="default"/>
                <w:spacing w:val="-6"/>
                <w:sz w:val="21"/>
                <w:szCs w:val="21"/>
              </w:rPr>
              <w:t>动资金的公告、第四届监事会第八次</w:t>
            </w:r>
            <w:r>
              <w:rPr>
                <w:rFonts w:ascii="宋体" w:hAnsi="宋体" w:cs="宋体" w:eastAsia="宋体" w:hint="default"/>
                <w:sz w:val="21"/>
                <w:szCs w:val="21"/>
              </w:rPr>
              <w:t> 会议决议公告</w:t>
            </w:r>
          </w:p>
        </w:tc>
        <w:tc>
          <w:tcPr>
            <w:tcW w:w="3497"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D005、上海证券报</w:t>
            </w:r>
            <w:r>
              <w:rPr>
                <w:rFonts w:ascii="宋体" w:hAnsi="宋体" w:cs="宋体" w:eastAsia="宋体" w:hint="default"/>
                <w:spacing w:val="-54"/>
                <w:sz w:val="21"/>
                <w:szCs w:val="21"/>
              </w:rPr>
              <w:t> </w:t>
            </w:r>
            <w:r>
              <w:rPr>
                <w:rFonts w:ascii="宋体" w:hAnsi="宋体" w:cs="宋体" w:eastAsia="宋体" w:hint="default"/>
                <w:sz w:val="21"/>
                <w:szCs w:val="21"/>
              </w:rPr>
              <w:t>C8</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2008-9-23</w:t>
            </w:r>
          </w:p>
        </w:tc>
        <w:tc>
          <w:tcPr>
            <w:tcW w:w="242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bl>
    <w:p>
      <w:pPr>
        <w:spacing w:after="0" w:line="241" w:lineRule="exact"/>
        <w:jc w:val="center"/>
        <w:rPr>
          <w:rFonts w:ascii="宋体" w:hAnsi="宋体" w:cs="宋体" w:eastAsia="宋体" w:hint="default"/>
          <w:sz w:val="21"/>
          <w:szCs w:val="21"/>
        </w:rPr>
        <w:sectPr>
          <w:headerReference w:type="default" r:id="rId25"/>
          <w:pgSz w:w="11910" w:h="16840"/>
          <w:pgMar w:header="610" w:footer="764" w:top="1080" w:bottom="960" w:left="560" w:right="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484"/>
        <w:gridCol w:w="3497"/>
        <w:gridCol w:w="1266"/>
        <w:gridCol w:w="2421"/>
      </w:tblGrid>
      <w:tr>
        <w:trPr>
          <w:trHeight w:val="566" w:hRule="exact"/>
        </w:trPr>
        <w:tc>
          <w:tcPr>
            <w:tcW w:w="3484"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b/>
                <w:bCs/>
                <w:sz w:val="21"/>
                <w:szCs w:val="21"/>
              </w:rPr>
              <w:t>事项</w:t>
            </w:r>
            <w:r>
              <w:rPr>
                <w:rFonts w:ascii="宋体" w:hAnsi="宋体" w:cs="宋体" w:eastAsia="宋体" w:hint="default"/>
                <w:sz w:val="21"/>
                <w:szCs w:val="21"/>
              </w:rPr>
            </w:r>
          </w:p>
        </w:tc>
        <w:tc>
          <w:tcPr>
            <w:tcW w:w="349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刊载的报刊名称及版面</w:t>
            </w:r>
            <w:r>
              <w:rPr>
                <w:rFonts w:ascii="宋体" w:hAnsi="宋体" w:cs="宋体" w:eastAsia="宋体" w:hint="default"/>
                <w:sz w:val="21"/>
                <w:szCs w:val="21"/>
              </w:rPr>
            </w:r>
          </w:p>
        </w:tc>
        <w:tc>
          <w:tcPr>
            <w:tcW w:w="126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02" w:right="0"/>
              <w:jc w:val="left"/>
              <w:rPr>
                <w:rFonts w:ascii="宋体" w:hAnsi="宋体" w:cs="宋体" w:eastAsia="宋体" w:hint="default"/>
                <w:sz w:val="21"/>
                <w:szCs w:val="21"/>
              </w:rPr>
            </w:pPr>
            <w:r>
              <w:rPr>
                <w:rFonts w:ascii="宋体" w:hAnsi="宋体" w:cs="宋体" w:eastAsia="宋体" w:hint="default"/>
                <w:b/>
                <w:bCs/>
                <w:sz w:val="21"/>
                <w:szCs w:val="21"/>
              </w:rPr>
              <w:t>刊载日期</w:t>
            </w:r>
            <w:r>
              <w:rPr>
                <w:rFonts w:ascii="宋体" w:hAnsi="宋体" w:cs="宋体" w:eastAsia="宋体" w:hint="default"/>
                <w:sz w:val="21"/>
                <w:szCs w:val="21"/>
              </w:rPr>
            </w:r>
          </w:p>
        </w:tc>
        <w:tc>
          <w:tcPr>
            <w:tcW w:w="2421"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刊载的互联网网站及检</w:t>
            </w:r>
            <w:r>
              <w:rPr>
                <w:rFonts w:ascii="宋体" w:hAnsi="宋体" w:cs="宋体" w:eastAsia="宋体" w:hint="default"/>
                <w:sz w:val="21"/>
                <w:szCs w:val="21"/>
              </w:rPr>
            </w:r>
          </w:p>
          <w:p>
            <w:pPr>
              <w:pStyle w:val="TableParagraph"/>
              <w:spacing w:line="273"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索路径</w:t>
            </w:r>
            <w:r>
              <w:rPr>
                <w:rFonts w:ascii="宋体" w:hAnsi="宋体" w:cs="宋体" w:eastAsia="宋体" w:hint="default"/>
                <w:sz w:val="21"/>
                <w:szCs w:val="21"/>
              </w:rPr>
            </w:r>
          </w:p>
        </w:tc>
      </w:tr>
      <w:tr>
        <w:trPr>
          <w:trHeight w:val="328"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重大事项公告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B01、上海证券报</w:t>
            </w:r>
            <w:r>
              <w:rPr>
                <w:rFonts w:ascii="宋体" w:hAnsi="宋体" w:cs="宋体" w:eastAsia="宋体" w:hint="default"/>
                <w:spacing w:val="-54"/>
                <w:sz w:val="21"/>
                <w:szCs w:val="21"/>
              </w:rPr>
              <w:t> </w:t>
            </w:r>
            <w:r>
              <w:rPr>
                <w:rFonts w:ascii="宋体" w:hAnsi="宋体" w:cs="宋体" w:eastAsia="宋体" w:hint="default"/>
                <w:sz w:val="21"/>
                <w:szCs w:val="21"/>
              </w:rPr>
              <w:t>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2008-9-26</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832"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第四届董事会第二十一次会议决议</w:t>
            </w:r>
            <w:r>
              <w:rPr>
                <w:rFonts w:ascii="宋体" w:hAnsi="宋体" w:cs="宋体" w:eastAsia="宋体" w:hint="default"/>
                <w:sz w:val="21"/>
                <w:szCs w:val="21"/>
              </w:rPr>
            </w:r>
          </w:p>
          <w:p>
            <w:pPr>
              <w:pStyle w:val="TableParagraph"/>
              <w:spacing w:line="272" w:lineRule="exact" w:before="26"/>
              <w:ind w:left="93" w:right="99"/>
              <w:jc w:val="left"/>
              <w:rPr>
                <w:rFonts w:ascii="宋体" w:hAnsi="宋体" w:cs="宋体" w:eastAsia="宋体" w:hint="default"/>
                <w:sz w:val="21"/>
                <w:szCs w:val="21"/>
              </w:rPr>
            </w:pPr>
            <w:r>
              <w:rPr>
                <w:rFonts w:ascii="宋体" w:hAnsi="宋体" w:cs="宋体" w:eastAsia="宋体" w:hint="default"/>
                <w:spacing w:val="-6"/>
                <w:sz w:val="21"/>
                <w:szCs w:val="21"/>
              </w:rPr>
              <w:t>公告、对外投资公告(一)、对外投资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公告(二)、2007</w:t>
            </w:r>
            <w:r>
              <w:rPr>
                <w:rFonts w:ascii="宋体" w:hAnsi="宋体" w:cs="宋体" w:eastAsia="宋体" w:hint="default"/>
                <w:spacing w:val="-57"/>
                <w:sz w:val="21"/>
                <w:szCs w:val="21"/>
              </w:rPr>
              <w:t> </w:t>
            </w:r>
            <w:r>
              <w:rPr>
                <w:rFonts w:ascii="宋体" w:hAnsi="宋体" w:cs="宋体" w:eastAsia="宋体" w:hint="default"/>
                <w:sz w:val="21"/>
                <w:szCs w:val="21"/>
              </w:rPr>
              <w:t>年三季度报告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D032、上海证券报</w:t>
            </w:r>
            <w:r>
              <w:rPr>
                <w:rFonts w:ascii="宋体" w:hAnsi="宋体" w:cs="宋体" w:eastAsia="宋体" w:hint="default"/>
                <w:spacing w:val="-54"/>
                <w:sz w:val="21"/>
                <w:szCs w:val="21"/>
              </w:rPr>
              <w:t> </w:t>
            </w:r>
            <w:r>
              <w:rPr>
                <w:rFonts w:ascii="宋体" w:hAnsi="宋体" w:cs="宋体" w:eastAsia="宋体" w:hint="default"/>
                <w:sz w:val="21"/>
                <w:szCs w:val="21"/>
              </w:rPr>
              <w:t>C24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2008-10-31</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hyperlink r:id="rId11">
              <w:r>
                <w:rPr>
                  <w:rFonts w:ascii="宋体"/>
                  <w:sz w:val="21"/>
                </w:rPr>
                <w:t>http://www.sse.com.cn</w:t>
              </w:r>
            </w:hyperlink>
          </w:p>
        </w:tc>
      </w:tr>
      <w:tr>
        <w:trPr>
          <w:trHeight w:val="833"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第四届董事会第二十二次会议决议</w:t>
            </w:r>
            <w:r>
              <w:rPr>
                <w:rFonts w:ascii="宋体" w:hAnsi="宋体" w:cs="宋体" w:eastAsia="宋体" w:hint="default"/>
                <w:sz w:val="21"/>
                <w:szCs w:val="21"/>
              </w:rPr>
            </w:r>
          </w:p>
          <w:p>
            <w:pPr>
              <w:pStyle w:val="TableParagraph"/>
              <w:spacing w:line="272" w:lineRule="exact" w:before="26"/>
              <w:ind w:left="93" w:right="100"/>
              <w:jc w:val="left"/>
              <w:rPr>
                <w:rFonts w:ascii="宋体" w:hAnsi="宋体" w:cs="宋体" w:eastAsia="宋体" w:hint="default"/>
                <w:sz w:val="21"/>
                <w:szCs w:val="21"/>
              </w:rPr>
            </w:pPr>
            <w:r>
              <w:rPr>
                <w:rFonts w:ascii="宋体" w:hAnsi="宋体" w:cs="宋体" w:eastAsia="宋体" w:hint="default"/>
                <w:spacing w:val="-6"/>
                <w:sz w:val="21"/>
                <w:szCs w:val="21"/>
              </w:rPr>
              <w:t>公告、为下属控股子公司提供担保的</w:t>
            </w:r>
            <w:r>
              <w:rPr>
                <w:rFonts w:ascii="宋体" w:hAnsi="宋体" w:cs="宋体" w:eastAsia="宋体" w:hint="default"/>
                <w:sz w:val="21"/>
                <w:szCs w:val="21"/>
              </w:rPr>
              <w:t> 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D004、上海证券报</w:t>
            </w:r>
            <w:r>
              <w:rPr>
                <w:rFonts w:ascii="宋体" w:hAnsi="宋体" w:cs="宋体" w:eastAsia="宋体" w:hint="default"/>
                <w:spacing w:val="-54"/>
                <w:sz w:val="21"/>
                <w:szCs w:val="21"/>
              </w:rPr>
              <w:t> </w:t>
            </w:r>
            <w:r>
              <w:rPr>
                <w:rFonts w:ascii="宋体" w:hAnsi="宋体" w:cs="宋体" w:eastAsia="宋体" w:hint="default"/>
                <w:sz w:val="21"/>
                <w:szCs w:val="21"/>
              </w:rPr>
              <w:t>C14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2008-11-19</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hyperlink r:id="rId11">
              <w:r>
                <w:rPr>
                  <w:rFonts w:ascii="宋体"/>
                  <w:sz w:val="21"/>
                </w:rPr>
                <w:t>http://www.sse.com.cn</w:t>
              </w:r>
            </w:hyperlink>
          </w:p>
        </w:tc>
      </w:tr>
      <w:tr>
        <w:trPr>
          <w:trHeight w:val="326" w:hRule="exact"/>
        </w:trPr>
        <w:tc>
          <w:tcPr>
            <w:tcW w:w="34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关于更换保荐代表人的公告</w:t>
            </w:r>
          </w:p>
        </w:tc>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D004、上海证券报</w:t>
            </w:r>
            <w:r>
              <w:rPr>
                <w:rFonts w:ascii="宋体" w:hAnsi="宋体" w:cs="宋体" w:eastAsia="宋体" w:hint="default"/>
                <w:spacing w:val="-54"/>
                <w:sz w:val="21"/>
                <w:szCs w:val="21"/>
              </w:rPr>
              <w:t> </w:t>
            </w:r>
            <w:r>
              <w:rPr>
                <w:rFonts w:ascii="宋体" w:hAnsi="宋体" w:cs="宋体" w:eastAsia="宋体" w:hint="default"/>
                <w:sz w:val="21"/>
                <w:szCs w:val="21"/>
              </w:rPr>
              <w:t>C24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2008-12-9</w:t>
            </w:r>
          </w:p>
        </w:tc>
        <w:tc>
          <w:tcPr>
            <w:tcW w:w="2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hyperlink r:id="rId11">
              <w:r>
                <w:rPr>
                  <w:rFonts w:ascii="宋体"/>
                  <w:sz w:val="21"/>
                </w:rPr>
                <w:t>http://www.sse.com.cn</w:t>
              </w:r>
            </w:hyperlink>
          </w:p>
        </w:tc>
      </w:tr>
      <w:tr>
        <w:trPr>
          <w:trHeight w:val="1112" w:hRule="exact"/>
        </w:trPr>
        <w:tc>
          <w:tcPr>
            <w:tcW w:w="3484"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both"/>
              <w:rPr>
                <w:rFonts w:ascii="宋体" w:hAnsi="宋体" w:cs="宋体" w:eastAsia="宋体" w:hint="default"/>
                <w:sz w:val="21"/>
                <w:szCs w:val="21"/>
              </w:rPr>
            </w:pPr>
            <w:r>
              <w:rPr>
                <w:rFonts w:ascii="宋体" w:hAnsi="宋体" w:cs="宋体" w:eastAsia="宋体" w:hint="default"/>
                <w:spacing w:val="8"/>
                <w:sz w:val="21"/>
                <w:szCs w:val="21"/>
              </w:rPr>
              <w:t>第四届董事会第二十三次会议决议</w:t>
            </w:r>
            <w:r>
              <w:rPr>
                <w:rFonts w:ascii="宋体" w:hAnsi="宋体" w:cs="宋体" w:eastAsia="宋体" w:hint="default"/>
                <w:sz w:val="21"/>
                <w:szCs w:val="21"/>
              </w:rPr>
            </w:r>
          </w:p>
          <w:p>
            <w:pPr>
              <w:pStyle w:val="TableParagraph"/>
              <w:spacing w:line="272" w:lineRule="exact" w:before="26"/>
              <w:ind w:left="93" w:right="100"/>
              <w:jc w:val="both"/>
              <w:rPr>
                <w:rFonts w:ascii="宋体" w:hAnsi="宋体" w:cs="宋体" w:eastAsia="宋体" w:hint="default"/>
                <w:sz w:val="21"/>
                <w:szCs w:val="21"/>
              </w:rPr>
            </w:pPr>
            <w:r>
              <w:rPr>
                <w:rFonts w:ascii="宋体" w:hAnsi="宋体" w:cs="宋体" w:eastAsia="宋体" w:hint="default"/>
                <w:spacing w:val="-6"/>
                <w:sz w:val="21"/>
                <w:szCs w:val="21"/>
              </w:rPr>
              <w:t>公告、为下属控股子公司提供担保的</w:t>
            </w:r>
            <w:r>
              <w:rPr>
                <w:rFonts w:ascii="宋体" w:hAnsi="宋体" w:cs="宋体" w:eastAsia="宋体" w:hint="default"/>
                <w:sz w:val="21"/>
                <w:szCs w:val="21"/>
              </w:rPr>
              <w:t> </w:t>
            </w:r>
            <w:r>
              <w:rPr>
                <w:rFonts w:ascii="宋体" w:hAnsi="宋体" w:cs="宋体" w:eastAsia="宋体" w:hint="default"/>
                <w:spacing w:val="-6"/>
                <w:sz w:val="21"/>
                <w:szCs w:val="21"/>
              </w:rPr>
              <w:t>公告(一)、为下属控股子公司提供担</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保的公告(二)</w:t>
            </w:r>
          </w:p>
        </w:tc>
        <w:tc>
          <w:tcPr>
            <w:tcW w:w="3497"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D009、上海证券报</w:t>
            </w:r>
            <w:r>
              <w:rPr>
                <w:rFonts w:ascii="宋体" w:hAnsi="宋体" w:cs="宋体" w:eastAsia="宋体" w:hint="default"/>
                <w:spacing w:val="-54"/>
                <w:sz w:val="21"/>
                <w:szCs w:val="21"/>
              </w:rPr>
              <w:t> </w:t>
            </w:r>
            <w:r>
              <w:rPr>
                <w:rFonts w:ascii="宋体" w:hAnsi="宋体" w:cs="宋体" w:eastAsia="宋体" w:hint="default"/>
                <w:sz w:val="21"/>
                <w:szCs w:val="21"/>
              </w:rPr>
              <w:t>C14</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2008-12-31</w:t>
            </w:r>
          </w:p>
        </w:tc>
        <w:tc>
          <w:tcPr>
            <w:tcW w:w="242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hyperlink r:id="rId11">
              <w:r>
                <w:rPr>
                  <w:rFonts w:ascii="宋体"/>
                  <w:sz w:val="21"/>
                </w:rPr>
                <w:t>http://www.sse.com.cn</w:t>
              </w:r>
            </w:hyperlink>
          </w:p>
        </w:tc>
      </w:tr>
    </w:tbl>
    <w:p>
      <w:pPr>
        <w:spacing w:after="0" w:line="241" w:lineRule="exact"/>
        <w:jc w:val="center"/>
        <w:rPr>
          <w:rFonts w:ascii="宋体" w:hAnsi="宋体" w:cs="宋体" w:eastAsia="宋体" w:hint="default"/>
          <w:sz w:val="21"/>
          <w:szCs w:val="21"/>
        </w:rPr>
        <w:sectPr>
          <w:pgSz w:w="11910" w:h="16840"/>
          <w:pgMar w:header="610" w:footer="764" w:top="1080" w:bottom="960" w:left="560" w:right="4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751" w:lineRule="exact"/>
        <w:ind w:left="1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129.85pt;height:37.6pt;mso-position-horizontal-relative:char;mso-position-vertical-relative:line" coordorigin="0,0" coordsize="2597,752">
            <v:shape style="position:absolute;left:0;top:0;width:2597;height:751" type="#_x0000_t75" stroked="false">
              <v:imagedata r:id="rId26" o:title=""/>
            </v:shape>
            <v:group style="position:absolute;left:131;top:660;width:2379;height:2" coordorigin="131,660" coordsize="2379,2">
              <v:shape style="position:absolute;left:131;top:660;width:2379;height:2" coordorigin="131,660" coordsize="2379,2" path="m131,660l2509,661e" filled="false" stroked="true" strokeweight=".25pt" strokecolor="#000000">
                <v:path arrowok="t"/>
              </v:shape>
            </v:group>
            <v:group style="position:absolute;left:2508;top:120;width:2;height:557" coordorigin="2508,120" coordsize="2,557">
              <v:shape style="position:absolute;left:2508;top:120;width:2;height:557" coordorigin="2508,120" coordsize="2,557" path="m2508,120l2509,677e" filled="false" stroked="true" strokeweight=".25pt" strokecolor="#000000">
                <v:path arrowok="t"/>
              </v:shape>
              <v:shape style="position:absolute;left:0;top:0;width:2597;height:752" type="#_x0000_t202" filled="false" stroked="false">
                <v:textbox inset="0,0,0,0">
                  <w:txbxContent>
                    <w:p>
                      <w:pPr>
                        <w:spacing w:before="206"/>
                        <w:ind w:left="160" w:right="0" w:firstLine="0"/>
                        <w:jc w:val="left"/>
                        <w:rPr>
                          <w:rFonts w:ascii="宋体" w:hAnsi="宋体" w:cs="宋体" w:eastAsia="宋体" w:hint="default"/>
                          <w:sz w:val="32"/>
                          <w:szCs w:val="32"/>
                        </w:rPr>
                      </w:pPr>
                      <w:r>
                        <w:rPr>
                          <w:rFonts w:ascii="宋体" w:hAnsi="宋体" w:cs="宋体" w:eastAsia="宋体" w:hint="default"/>
                          <w:b/>
                          <w:bCs/>
                          <w:sz w:val="32"/>
                          <w:szCs w:val="32"/>
                        </w:rPr>
                        <w:t>十、财务报告</w:t>
                      </w:r>
                      <w:r>
                        <w:rPr>
                          <w:rFonts w:ascii="宋体" w:hAnsi="宋体" w:cs="宋体" w:eastAsia="宋体" w:hint="default"/>
                          <w:sz w:val="32"/>
                          <w:szCs w:val="32"/>
                        </w:rPr>
                      </w:r>
                    </w:p>
                  </w:txbxContent>
                </v:textbox>
                <w10:wrap type="none"/>
              </v:shape>
            </v:group>
          </v:group>
        </w:pict>
      </w:r>
      <w:r>
        <w:rPr>
          <w:rFonts w:ascii="Times New Roman" w:hAnsi="Times New Roman" w:cs="Times New Roman" w:eastAsia="Times New Roman" w:hint="default"/>
          <w:position w:val="-14"/>
          <w:sz w:val="20"/>
          <w:szCs w:val="20"/>
        </w:rPr>
      </w:r>
    </w:p>
    <w:p>
      <w:pPr>
        <w:spacing w:line="240" w:lineRule="auto" w:before="7"/>
        <w:rPr>
          <w:rFonts w:ascii="Times New Roman" w:hAnsi="Times New Roman" w:cs="Times New Roman" w:eastAsia="Times New Roman" w:hint="default"/>
          <w:sz w:val="26"/>
          <w:szCs w:val="26"/>
        </w:rPr>
      </w:pPr>
    </w:p>
    <w:p>
      <w:pPr>
        <w:spacing w:before="13"/>
        <w:ind w:left="4117" w:right="4202" w:firstLine="0"/>
        <w:jc w:val="center"/>
        <w:rPr>
          <w:rFonts w:ascii="黑体" w:hAnsi="黑体" w:cs="黑体" w:eastAsia="黑体" w:hint="default"/>
          <w:sz w:val="28"/>
          <w:szCs w:val="28"/>
        </w:rPr>
      </w:pPr>
      <w:r>
        <w:rPr>
          <w:rFonts w:ascii="黑体" w:hAnsi="黑体" w:cs="黑体" w:eastAsia="黑体" w:hint="default"/>
          <w:b/>
          <w:bCs/>
          <w:spacing w:val="30"/>
          <w:sz w:val="28"/>
          <w:szCs w:val="28"/>
        </w:rPr>
        <w:t>审计报告</w:t>
      </w:r>
      <w:r>
        <w:rPr>
          <w:rFonts w:ascii="黑体" w:hAnsi="黑体" w:cs="黑体" w:eastAsia="黑体" w:hint="default"/>
          <w:b/>
          <w:bCs/>
          <w:spacing w:val="-100"/>
          <w:sz w:val="28"/>
          <w:szCs w:val="28"/>
        </w:rPr>
        <w:t> </w:t>
      </w:r>
      <w:r>
        <w:rPr>
          <w:rFonts w:ascii="黑体" w:hAnsi="黑体" w:cs="黑体" w:eastAsia="黑体" w:hint="default"/>
          <w:sz w:val="28"/>
          <w:szCs w:val="28"/>
        </w:rPr>
      </w:r>
    </w:p>
    <w:p>
      <w:pPr>
        <w:spacing w:line="240" w:lineRule="auto" w:before="2"/>
        <w:rPr>
          <w:rFonts w:ascii="黑体" w:hAnsi="黑体" w:cs="黑体" w:eastAsia="黑体" w:hint="default"/>
          <w:b/>
          <w:bCs/>
          <w:sz w:val="13"/>
          <w:szCs w:val="13"/>
        </w:rPr>
      </w:pPr>
    </w:p>
    <w:p>
      <w:pPr>
        <w:spacing w:before="31"/>
        <w:ind w:left="0" w:right="242" w:firstLine="0"/>
        <w:jc w:val="right"/>
        <w:rPr>
          <w:rFonts w:ascii="宋体" w:hAnsi="宋体" w:cs="宋体" w:eastAsia="宋体" w:hint="default"/>
          <w:sz w:val="22"/>
          <w:szCs w:val="22"/>
        </w:rPr>
      </w:pPr>
      <w:r>
        <w:rPr>
          <w:rFonts w:ascii="宋体"/>
          <w:spacing w:val="-1"/>
          <w:sz w:val="22"/>
        </w:rPr>
        <w:t>XYZH/2008A8027</w:t>
      </w:r>
    </w:p>
    <w:p>
      <w:pPr>
        <w:pStyle w:val="Heading3"/>
        <w:spacing w:line="240" w:lineRule="auto" w:before="2"/>
        <w:ind w:left="158" w:right="116"/>
        <w:jc w:val="left"/>
        <w:rPr>
          <w:b w:val="0"/>
          <w:bCs w:val="0"/>
        </w:rPr>
      </w:pPr>
      <w:r>
        <w:rPr/>
        <w:t>同方股份有限公司全体股东：</w:t>
      </w:r>
      <w:r>
        <w:rPr>
          <w:b w:val="0"/>
          <w:bCs w:val="0"/>
        </w:rPr>
      </w:r>
    </w:p>
    <w:p>
      <w:pPr>
        <w:spacing w:line="240" w:lineRule="auto" w:before="9"/>
        <w:rPr>
          <w:rFonts w:ascii="宋体" w:hAnsi="宋体" w:cs="宋体" w:eastAsia="宋体" w:hint="default"/>
          <w:b/>
          <w:bCs/>
          <w:sz w:val="21"/>
          <w:szCs w:val="21"/>
        </w:rPr>
      </w:pPr>
    </w:p>
    <w:p>
      <w:pPr>
        <w:pStyle w:val="BodyText"/>
        <w:spacing w:line="312" w:lineRule="exact" w:before="56"/>
        <w:ind w:left="158" w:right="238" w:firstLine="480"/>
        <w:jc w:val="both"/>
      </w:pPr>
      <w:r>
        <w:rPr/>
        <w:t>我们审计了后附的同方股份有限公司（以下简称“同方股份”）合并及母公司财务</w:t>
      </w:r>
      <w:r>
        <w:rPr>
          <w:spacing w:val="2"/>
        </w:rPr>
        <w:t> </w:t>
      </w:r>
      <w:r>
        <w:rPr>
          <w:spacing w:val="-6"/>
        </w:rPr>
        <w:t>报表，包括</w:t>
      </w:r>
      <w:r>
        <w:rPr>
          <w:spacing w:val="-57"/>
        </w:rPr>
        <w:t> </w:t>
      </w:r>
      <w:r>
        <w:rPr/>
        <w:t>2008</w:t>
      </w:r>
      <w:r>
        <w:rPr>
          <w:spacing w:val="-57"/>
        </w:rPr>
        <w:t> </w:t>
      </w:r>
      <w:r>
        <w:rPr/>
        <w:t>年</w:t>
      </w:r>
      <w:r>
        <w:rPr>
          <w:spacing w:val="-57"/>
        </w:rPr>
        <w:t> </w:t>
      </w:r>
      <w:r>
        <w:rPr/>
        <w:t>12</w:t>
      </w:r>
      <w:r>
        <w:rPr>
          <w:spacing w:val="-57"/>
        </w:rPr>
        <w:t> </w:t>
      </w:r>
      <w:r>
        <w:rPr/>
        <w:t>月</w:t>
      </w:r>
      <w:r>
        <w:rPr>
          <w:spacing w:val="-57"/>
        </w:rPr>
        <w:t> </w:t>
      </w:r>
      <w:r>
        <w:rPr/>
        <w:t>31</w:t>
      </w:r>
      <w:r>
        <w:rPr>
          <w:spacing w:val="-57"/>
        </w:rPr>
        <w:t> </w:t>
      </w:r>
      <w:r>
        <w:rPr>
          <w:spacing w:val="-3"/>
        </w:rPr>
        <w:t>日的资产负债表，2008</w:t>
      </w:r>
      <w:r>
        <w:rPr>
          <w:spacing w:val="-57"/>
        </w:rPr>
        <w:t> </w:t>
      </w:r>
      <w:r>
        <w:rPr>
          <w:spacing w:val="-4"/>
        </w:rPr>
        <w:t>年度的利润表、现金流量表、股东权</w:t>
      </w:r>
      <w:r>
        <w:rPr/>
        <w:t> 益变动表及财务报表附注。</w:t>
      </w:r>
    </w:p>
    <w:p>
      <w:pPr>
        <w:tabs>
          <w:tab w:pos="1418" w:val="left" w:leader="none"/>
        </w:tabs>
        <w:spacing w:line="624" w:lineRule="exact" w:before="62"/>
        <w:ind w:left="638" w:right="116" w:hanging="3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按照企业会计准则的规定编制财务报表是同方股份管理层的责任。这种责任包括：</w:t>
      </w:r>
      <w:r>
        <w:rPr>
          <w:rFonts w:ascii="宋体" w:hAnsi="宋体" w:cs="宋体" w:eastAsia="宋体" w:hint="default"/>
          <w:sz w:val="24"/>
          <w:szCs w:val="24"/>
        </w:rPr>
      </w:r>
    </w:p>
    <w:p>
      <w:pPr>
        <w:pStyle w:val="BodyText"/>
        <w:spacing w:line="220" w:lineRule="exact"/>
        <w:ind w:left="158" w:right="116"/>
        <w:jc w:val="left"/>
      </w:pPr>
      <w:r>
        <w:rPr/>
        <w:t>（1）设计、实施和维护与财务报表编制相关的内部控制，以使财务报表不存在由于舞弊</w:t>
      </w:r>
    </w:p>
    <w:p>
      <w:pPr>
        <w:tabs>
          <w:tab w:pos="1418" w:val="left" w:leader="none"/>
        </w:tabs>
        <w:spacing w:line="477" w:lineRule="auto" w:before="0"/>
        <w:ind w:left="608" w:right="122" w:hanging="450"/>
        <w:jc w:val="left"/>
        <w:rPr>
          <w:rFonts w:ascii="宋体" w:hAnsi="宋体" w:cs="宋体" w:eastAsia="宋体" w:hint="default"/>
          <w:sz w:val="24"/>
          <w:szCs w:val="24"/>
        </w:rPr>
      </w:pPr>
      <w:r>
        <w:rPr>
          <w:rFonts w:ascii="宋体" w:hAnsi="宋体" w:cs="宋体" w:eastAsia="宋体" w:hint="default"/>
          <w:spacing w:val="-7"/>
          <w:sz w:val="24"/>
          <w:szCs w:val="24"/>
        </w:rPr>
        <w:t>或错误而导致的重大错报；（2）选择和运用恰当的会计政策；（3）作出合理的会计估计。</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b/>
          <w:bCs/>
          <w:w w:val="95"/>
          <w:sz w:val="24"/>
          <w:szCs w:val="24"/>
        </w:rPr>
        <w:t>二、</w:t>
        <w:tab/>
      </w:r>
      <w:r>
        <w:rPr>
          <w:rFonts w:ascii="宋体" w:hAnsi="宋体" w:cs="宋体" w:eastAsia="宋体" w:hint="default"/>
          <w:b/>
          <w:bCs/>
          <w:sz w:val="24"/>
          <w:szCs w:val="24"/>
        </w:rPr>
        <w:t>注册会计师的责任</w:t>
      </w:r>
      <w:r>
        <w:rPr>
          <w:rFonts w:ascii="宋体" w:hAnsi="宋体" w:cs="宋体" w:eastAsia="宋体" w:hint="default"/>
          <w:sz w:val="24"/>
          <w:szCs w:val="24"/>
        </w:rPr>
      </w:r>
    </w:p>
    <w:p>
      <w:pPr>
        <w:pStyle w:val="BodyText"/>
        <w:spacing w:line="312" w:lineRule="exact" w:before="103"/>
        <w:ind w:left="158" w:right="238" w:firstLine="480"/>
        <w:jc w:val="both"/>
      </w:pPr>
      <w:r>
        <w:rPr/>
        <w:t>我们的责任是在实施审计工作的基础上对财务报表发表审计意见。我们按照中国注</w:t>
      </w:r>
      <w:r>
        <w:rPr>
          <w:spacing w:val="2"/>
        </w:rPr>
        <w:t> </w:t>
      </w:r>
      <w:r>
        <w:rPr/>
        <w:t>册会计师审计准则的规定执行了审计工作。中国注册会计师审计准则要求我们遵守职业</w:t>
      </w:r>
      <w:r>
        <w:rPr>
          <w:spacing w:val="-47"/>
        </w:rPr>
        <w:t> </w:t>
      </w:r>
      <w:r>
        <w:rPr>
          <w:spacing w:val="-47"/>
        </w:rPr>
      </w:r>
      <w:r>
        <w:rPr/>
        <w:t>道德规范，计划和实施审计工作以对财务报表是否不存在重大错报获取合理保证。</w:t>
      </w:r>
    </w:p>
    <w:p>
      <w:pPr>
        <w:spacing w:line="240" w:lineRule="auto" w:before="11"/>
        <w:rPr>
          <w:rFonts w:ascii="宋体" w:hAnsi="宋体" w:cs="宋体" w:eastAsia="宋体" w:hint="default"/>
          <w:sz w:val="23"/>
          <w:szCs w:val="23"/>
        </w:rPr>
      </w:pPr>
    </w:p>
    <w:p>
      <w:pPr>
        <w:pStyle w:val="BodyText"/>
        <w:spacing w:line="312" w:lineRule="exact"/>
        <w:ind w:left="158" w:right="238" w:firstLine="480"/>
        <w:jc w:val="both"/>
      </w:pPr>
      <w:r>
        <w:rPr/>
        <w:t>审计工作涉及实施审计程序，以获取有关财务报表金额和披露的审计证据。选择的</w:t>
      </w:r>
      <w:r>
        <w:rPr>
          <w:spacing w:val="2"/>
        </w:rPr>
        <w:t> </w:t>
      </w:r>
      <w:r>
        <w:rPr/>
        <w:t>审计程序取决于注册会计师的判断，包括对由于舞弊或错误导致的财务报表重大错报风</w:t>
      </w:r>
      <w:r>
        <w:rPr>
          <w:spacing w:val="-47"/>
        </w:rPr>
        <w:t> </w:t>
      </w:r>
      <w:r>
        <w:rPr>
          <w:spacing w:val="-47"/>
        </w:rPr>
      </w:r>
      <w:r>
        <w:rPr/>
        <w:t>险的评估。在进行风险评估时，我们考虑与财务报表编制相关的内部控制，以设计恰当</w:t>
      </w:r>
      <w:r>
        <w:rPr>
          <w:spacing w:val="-47"/>
        </w:rPr>
        <w:t> </w:t>
      </w:r>
      <w:r>
        <w:rPr>
          <w:spacing w:val="-47"/>
        </w:rPr>
      </w:r>
      <w:r>
        <w:rPr/>
        <w:t>的审计程序，但目的并非对内部控制的有效性发表意见。审计工作还包括评价管理层选</w:t>
      </w:r>
      <w:r>
        <w:rPr>
          <w:spacing w:val="-47"/>
        </w:rPr>
        <w:t> </w:t>
      </w:r>
      <w:r>
        <w:rPr>
          <w:spacing w:val="-47"/>
        </w:rPr>
      </w:r>
      <w:r>
        <w:rPr/>
        <w:t>用会计政策的恰当性和作出会计估计的合理性，以及评价财务报表的总体列报。</w:t>
      </w:r>
    </w:p>
    <w:p>
      <w:pPr>
        <w:pStyle w:val="BodyText"/>
        <w:tabs>
          <w:tab w:pos="1417" w:val="left" w:leader="none"/>
        </w:tabs>
        <w:spacing w:line="624" w:lineRule="exact" w:before="62"/>
        <w:ind w:left="608" w:right="238" w:firstLine="30"/>
        <w:jc w:val="left"/>
      </w:pPr>
      <w:r>
        <w:rPr/>
        <w:t>我们相信，我们获取的审计证据是充分、适当的，为发表审计意见提供了基础。 </w:t>
      </w:r>
      <w:r>
        <w:rPr>
          <w:rFonts w:ascii="宋体" w:hAnsi="宋体" w:cs="宋体" w:eastAsia="宋体" w:hint="default"/>
          <w:b/>
          <w:bCs/>
          <w:w w:val="95"/>
        </w:rPr>
        <w:t>三、</w:t>
        <w:tab/>
      </w:r>
      <w:r>
        <w:rPr>
          <w:rFonts w:ascii="宋体" w:hAnsi="宋体" w:cs="宋体" w:eastAsia="宋体" w:hint="default"/>
          <w:b/>
          <w:bCs/>
        </w:rPr>
        <w:t>审计意见</w:t>
      </w:r>
      <w:r>
        <w:rPr>
          <w:rFonts w:ascii="宋体" w:hAnsi="宋体" w:cs="宋体" w:eastAsia="宋体" w:hint="default"/>
          <w:b/>
          <w:bCs/>
          <w:w w:val="99"/>
        </w:rPr>
        <w:t> </w:t>
      </w:r>
      <w:r>
        <w:rPr/>
        <w:t>我们认为，同方股份财务报表已经按照企业会计准则的规定编制，在所有重大方面</w:t>
      </w:r>
    </w:p>
    <w:p>
      <w:pPr>
        <w:pStyle w:val="BodyText"/>
        <w:spacing w:line="220" w:lineRule="exact"/>
        <w:ind w:left="158" w:right="116"/>
        <w:jc w:val="left"/>
      </w:pPr>
      <w:r>
        <w:rPr/>
        <w:t>公允反映了同方股份</w:t>
      </w:r>
      <w:r>
        <w:rPr>
          <w:spacing w:val="-51"/>
        </w:rPr>
        <w:t> </w:t>
      </w:r>
      <w:r>
        <w:rPr/>
        <w:t>2008</w:t>
      </w:r>
      <w:r>
        <w:rPr>
          <w:spacing w:val="-51"/>
        </w:rPr>
        <w:t> </w:t>
      </w:r>
      <w:r>
        <w:rPr/>
        <w:t>年</w:t>
      </w:r>
      <w:r>
        <w:rPr>
          <w:spacing w:val="-51"/>
        </w:rPr>
        <w:t> </w:t>
      </w:r>
      <w:r>
        <w:rPr/>
        <w:t>12</w:t>
      </w:r>
      <w:r>
        <w:rPr>
          <w:spacing w:val="-50"/>
        </w:rPr>
        <w:t> </w:t>
      </w:r>
      <w:r>
        <w:rPr/>
        <w:t>月</w:t>
      </w:r>
      <w:r>
        <w:rPr>
          <w:spacing w:val="-51"/>
        </w:rPr>
        <w:t> </w:t>
      </w:r>
      <w:r>
        <w:rPr/>
        <w:t>31</w:t>
      </w:r>
      <w:r>
        <w:rPr>
          <w:spacing w:val="-51"/>
        </w:rPr>
        <w:t> </w:t>
      </w:r>
      <w:r>
        <w:rPr/>
        <w:t>日的财务状况以及</w:t>
      </w:r>
      <w:r>
        <w:rPr>
          <w:spacing w:val="-51"/>
        </w:rPr>
        <w:t> </w:t>
      </w:r>
      <w:r>
        <w:rPr/>
        <w:t>2008</w:t>
      </w:r>
      <w:r>
        <w:rPr>
          <w:spacing w:val="-51"/>
        </w:rPr>
        <w:t> </w:t>
      </w:r>
      <w:r>
        <w:rPr/>
        <w:t>年度的经营成果和现金流</w:t>
      </w:r>
    </w:p>
    <w:p>
      <w:pPr>
        <w:pStyle w:val="BodyText"/>
        <w:spacing w:line="313" w:lineRule="exact"/>
        <w:ind w:left="158" w:right="116"/>
        <w:jc w:val="left"/>
      </w:pPr>
      <w:r>
        <w:rPr/>
        <w:t>量。</w:t>
      </w:r>
    </w:p>
    <w:p>
      <w:pPr>
        <w:spacing w:line="240" w:lineRule="auto" w:before="9"/>
        <w:rPr>
          <w:rFonts w:ascii="宋体" w:hAnsi="宋体" w:cs="宋体" w:eastAsia="宋体" w:hint="default"/>
          <w:sz w:val="23"/>
          <w:szCs w:val="23"/>
        </w:rPr>
      </w:pPr>
    </w:p>
    <w:p>
      <w:pPr>
        <w:pStyle w:val="BodyText"/>
        <w:tabs>
          <w:tab w:pos="5488" w:val="left" w:leader="none"/>
        </w:tabs>
        <w:spacing w:line="240" w:lineRule="auto"/>
        <w:ind w:left="1861" w:right="116"/>
        <w:jc w:val="left"/>
      </w:pPr>
      <w:r>
        <w:rPr/>
        <w:t>信永中和会计师事务所</w:t>
        <w:tab/>
        <w:t>中国注册会计师：邵立新</w:t>
      </w:r>
    </w:p>
    <w:p>
      <w:pPr>
        <w:pStyle w:val="BodyText"/>
        <w:spacing w:line="240" w:lineRule="auto" w:before="139"/>
        <w:ind w:left="5488" w:right="116"/>
        <w:jc w:val="left"/>
      </w:pPr>
      <w:r>
        <w:rPr/>
        <w:t>中国注册会计师：潘玉忠</w:t>
      </w:r>
    </w:p>
    <w:p>
      <w:pPr>
        <w:pStyle w:val="BodyText"/>
        <w:tabs>
          <w:tab w:pos="3241" w:val="left" w:leader="none"/>
          <w:tab w:pos="5488" w:val="left" w:leader="none"/>
        </w:tabs>
        <w:spacing w:line="240" w:lineRule="auto" w:before="139"/>
        <w:ind w:left="2401" w:right="116"/>
        <w:jc w:val="left"/>
      </w:pPr>
      <w:r>
        <w:rPr/>
        <w:t>中国</w:t>
        <w:tab/>
        <w:t>北京</w:t>
        <w:tab/>
        <w:t>二○○九年四月十六日</w:t>
      </w:r>
    </w:p>
    <w:p>
      <w:pPr>
        <w:spacing w:after="0" w:line="240" w:lineRule="auto"/>
        <w:jc w:val="left"/>
        <w:sectPr>
          <w:pgSz w:w="11910" w:h="16840"/>
          <w:pgMar w:header="610" w:footer="764" w:top="1080" w:bottom="960" w:left="1260" w:right="1040"/>
        </w:sectPr>
      </w:pPr>
    </w:p>
    <w:p>
      <w:pPr>
        <w:spacing w:line="311" w:lineRule="exact" w:before="0"/>
        <w:ind w:left="3614" w:right="3617" w:firstLine="0"/>
        <w:jc w:val="center"/>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sz w:val="24"/>
          <w:szCs w:val="24"/>
        </w:rPr>
      </w:r>
    </w:p>
    <w:p>
      <w:pPr>
        <w:spacing w:line="240" w:lineRule="auto" w:before="2"/>
        <w:rPr>
          <w:rFonts w:ascii="宋体" w:hAnsi="宋体" w:cs="宋体" w:eastAsia="宋体" w:hint="default"/>
          <w:b/>
          <w:bCs/>
          <w:sz w:val="18"/>
          <w:szCs w:val="18"/>
        </w:rPr>
      </w:pPr>
    </w:p>
    <w:p>
      <w:pPr>
        <w:spacing w:before="35"/>
        <w:ind w:left="0" w:right="242"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5080"/>
        <w:gridCol w:w="2170"/>
        <w:gridCol w:w="2168"/>
      </w:tblGrid>
      <w:tr>
        <w:trPr>
          <w:trHeight w:val="307" w:hRule="exact"/>
        </w:trPr>
        <w:tc>
          <w:tcPr>
            <w:tcW w:w="5080"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7"/>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67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7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3,241,319,108.47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2,906,518,008.44</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28,029,337.68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43,557,514.85</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107,584,084.75</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100,814,502.88</w:t>
            </w:r>
            <w:r>
              <w:rPr>
                <w:rFonts w:ascii="Times New Roman"/>
                <w:sz w:val="20"/>
              </w:rPr>
            </w:r>
          </w:p>
        </w:tc>
      </w:tr>
      <w:tr>
        <w:trPr>
          <w:trHeight w:val="30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2,550,576,303.63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2,520,826,568.68</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1,190,248,665.73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1,764,901,564.94</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2,056,157.12</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2,056,157.12</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950,923,043.61</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754,981,715.75</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4,269,635,683.67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3,918,598,270.86</w:t>
            </w:r>
          </w:p>
        </w:tc>
      </w:tr>
      <w:tr>
        <w:trPr>
          <w:trHeight w:val="30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62,000.02</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12,340,434,384.68</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12,012,254,303.52</w:t>
            </w:r>
            <w:r>
              <w:rPr>
                <w:rFonts w:ascii="Times New Roman"/>
                <w:spacing w:val="-1"/>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5,455,165.32</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27,253,121.49</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169,769,353.50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217,628,361.50</w:t>
            </w:r>
            <w:r>
              <w:rPr>
                <w:rFonts w:ascii="Times New Roman"/>
                <w:sz w:val="20"/>
              </w:rPr>
            </w:r>
          </w:p>
        </w:tc>
      </w:tr>
      <w:tr>
        <w:trPr>
          <w:trHeight w:val="30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7,029,359.55</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9,634,490.20</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1,229,034,528.73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1,485,096,286.81</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46,698,582.04</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48,363,002.05</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2,473,863,522.56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2,224,721,038.16</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615,109,757.41</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493,597,344.51</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190,000.00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9,009,633.79</w:t>
            </w:r>
            <w:r>
              <w:rPr>
                <w:rFonts w:ascii="Times New Roman"/>
                <w:sz w:val="20"/>
              </w:rPr>
            </w:r>
          </w:p>
        </w:tc>
      </w:tr>
      <w:tr>
        <w:trPr>
          <w:trHeight w:val="30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746,192,574.12</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582,918,434.40</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144,220,567.46</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105,032,193.89</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spacing w:val="-1"/>
                <w:sz w:val="20"/>
              </w:rPr>
              <w:t>147,978,620.68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60,887,029.35</w:t>
            </w:r>
            <w:r>
              <w:rPr>
                <w:rFonts w:ascii="Times New Roman"/>
                <w:sz w:val="20"/>
              </w:rPr>
            </w:r>
          </w:p>
        </w:tc>
      </w:tr>
      <w:tr>
        <w:trPr>
          <w:trHeight w:val="30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39,432,748.97</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38,814,833.77</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115,027,701.57</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104,522,974.86</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5,740,002,481.91</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5,407,478,744.78</w:t>
            </w:r>
            <w:r>
              <w:rPr>
                <w:rFonts w:ascii="Times New Roman"/>
                <w:spacing w:val="-1"/>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07" w:hRule="exact"/>
        </w:trPr>
        <w:tc>
          <w:tcPr>
            <w:tcW w:w="5080"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0"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2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18,080,436,866.59</w:t>
            </w:r>
            <w:r>
              <w:rPr>
                <w:rFonts w:ascii="Times New Roman"/>
                <w:spacing w:val="-1"/>
                <w:sz w:val="20"/>
              </w:rPr>
            </w:r>
          </w:p>
        </w:tc>
        <w:tc>
          <w:tcPr>
            <w:tcW w:w="21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17,419,733,048.30</w:t>
            </w:r>
            <w:r>
              <w:rPr>
                <w:rFonts w:ascii="Times New Roman"/>
                <w:spacing w:val="-1"/>
                <w:sz w:val="20"/>
              </w:rPr>
            </w:r>
          </w:p>
        </w:tc>
      </w:tr>
    </w:tbl>
    <w:p>
      <w:pPr>
        <w:spacing w:line="240" w:lineRule="auto" w:before="6"/>
        <w:rPr>
          <w:rFonts w:ascii="宋体" w:hAnsi="宋体" w:cs="宋体" w:eastAsia="宋体" w:hint="default"/>
          <w:sz w:val="15"/>
          <w:szCs w:val="15"/>
        </w:rPr>
      </w:pPr>
    </w:p>
    <w:p>
      <w:pPr>
        <w:tabs>
          <w:tab w:pos="3632" w:val="left" w:leader="none"/>
          <w:tab w:pos="7096" w:val="left" w:leader="none"/>
        </w:tabs>
        <w:spacing w:before="35"/>
        <w:ind w:left="273" w:right="107"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财务负责人：孙岷</w:t>
        <w:tab/>
      </w:r>
      <w:r>
        <w:rPr>
          <w:rFonts w:ascii="宋体" w:hAnsi="宋体" w:cs="宋体" w:eastAsia="宋体" w:hint="default"/>
          <w:spacing w:val="-2"/>
          <w:sz w:val="21"/>
          <w:szCs w:val="21"/>
        </w:rPr>
        <w:t>会计机构负责人：甘朝晖</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27"/>
          <w:pgSz w:w="11910" w:h="16840"/>
          <w:pgMar w:header="610" w:footer="764" w:top="1960" w:bottom="960" w:left="1180" w:right="1040"/>
        </w:sectPr>
      </w:pPr>
    </w:p>
    <w:p>
      <w:pPr>
        <w:pStyle w:val="Heading3"/>
        <w:spacing w:line="311" w:lineRule="exact"/>
        <w:ind w:left="3614" w:right="3619"/>
        <w:jc w:val="center"/>
        <w:rPr>
          <w:b w:val="0"/>
          <w:bCs w:val="0"/>
        </w:rPr>
      </w:pPr>
      <w:r>
        <w:rPr/>
        <w:t>合并资产负债表(续)</w:t>
      </w:r>
      <w:r>
        <w:rPr>
          <w:b w:val="0"/>
          <w:bCs w:val="0"/>
        </w:rPr>
      </w:r>
    </w:p>
    <w:p>
      <w:pPr>
        <w:spacing w:line="240" w:lineRule="auto" w:before="2"/>
        <w:rPr>
          <w:rFonts w:ascii="宋体" w:hAnsi="宋体" w:cs="宋体" w:eastAsia="宋体" w:hint="default"/>
          <w:b/>
          <w:bCs/>
          <w:sz w:val="18"/>
          <w:szCs w:val="18"/>
        </w:rPr>
      </w:pPr>
    </w:p>
    <w:p>
      <w:pPr>
        <w:spacing w:before="35"/>
        <w:ind w:left="0" w:right="242"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5080"/>
        <w:gridCol w:w="2170"/>
        <w:gridCol w:w="2168"/>
      </w:tblGrid>
      <w:tr>
        <w:trPr>
          <w:trHeight w:val="307" w:hRule="exact"/>
        </w:trPr>
        <w:tc>
          <w:tcPr>
            <w:tcW w:w="5080"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7"/>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67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7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2,497,160,768.63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2,676,204,195.60</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555,385,763.48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508,177,401.11</w:t>
            </w:r>
            <w:r>
              <w:rPr>
                <w:rFonts w:ascii="Times New Roman"/>
                <w:sz w:val="20"/>
              </w:rPr>
            </w:r>
          </w:p>
        </w:tc>
      </w:tr>
      <w:tr>
        <w:trPr>
          <w:trHeight w:val="30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3,042,211,051.29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3,494,426,303.79</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1,506,906,460.79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2,067,705,324.83</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159,429,451.18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149,689,420.22</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8,305,423.53</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75,895,143.13</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1,344,226.86</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986,555.89</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31,079,461.88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22,694,021.88</w:t>
            </w:r>
            <w:r>
              <w:rPr>
                <w:rFonts w:ascii="Times New Roman"/>
                <w:sz w:val="20"/>
              </w:rPr>
            </w:r>
          </w:p>
        </w:tc>
      </w:tr>
      <w:tr>
        <w:trPr>
          <w:trHeight w:val="30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527,050,050.65</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458,630,047.15</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spacing w:val="-1"/>
                <w:sz w:val="20"/>
              </w:rPr>
              <w:t>509,000,000.00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22,000,000.00</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8,837,872,658.29</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9,476,408,413.60</w:t>
            </w:r>
            <w:r>
              <w:rPr>
                <w:rFonts w:ascii="Times New Roman"/>
                <w:spacing w:val="-1"/>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635,847,589.77</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763,588,607.49</w:t>
            </w:r>
            <w:r>
              <w:rPr>
                <w:rFonts w:ascii="Times New Roman"/>
                <w:sz w:val="20"/>
              </w:rPr>
            </w:r>
          </w:p>
        </w:tc>
      </w:tr>
      <w:tr>
        <w:trPr>
          <w:trHeight w:val="30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11,279,962.26</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46,710,809.94</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96,626,724.41</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96,725,254.52</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1,192,260.00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5,338,135.24</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13,736,321.72</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20,626,226.93</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43,958,740.95</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24,012,193.70</w:t>
            </w:r>
            <w:r>
              <w:rPr>
                <w:rFonts w:ascii="Times New Roman"/>
                <w:sz w:val="20"/>
              </w:rPr>
            </w:r>
          </w:p>
        </w:tc>
      </w:tr>
      <w:tr>
        <w:trPr>
          <w:trHeight w:val="30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b/>
                <w:spacing w:val="-1"/>
                <w:sz w:val="20"/>
              </w:rPr>
              <w:t>802,641,599.11</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957,001,227.82</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9,640,514,257.40</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10,433,409,641.42</w:t>
            </w:r>
            <w:r>
              <w:rPr>
                <w:rFonts w:ascii="Times New Roman"/>
                <w:spacing w:val="-1"/>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976,970,554.00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628,612,295.00</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4,511,836,198.97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3,553,580,033.03</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0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402,775,954.48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377,633,272.41</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1,173,974,447.56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1,007,811,569.76</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-19,429,128.56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-7,167,943.59</w:t>
            </w:r>
            <w:r>
              <w:rPr>
                <w:rFonts w:ascii="Times New Roman"/>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324"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7,046,128,026.45</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5,560,469,226.61</w:t>
            </w:r>
            <w:r>
              <w:rPr>
                <w:rFonts w:ascii="Times New Roman"/>
                <w:spacing w:val="-1"/>
                <w:sz w:val="20"/>
              </w:rPr>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1,393,794,582.74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1,425,854,180.27</w:t>
            </w:r>
          </w:p>
        </w:tc>
      </w:tr>
      <w:tr>
        <w:trPr>
          <w:trHeight w:val="299"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6"/>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8,439,922,609.19</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6,986,323,406.88</w:t>
            </w:r>
            <w:r>
              <w:rPr>
                <w:rFonts w:ascii="Times New Roman"/>
                <w:spacing w:val="-1"/>
                <w:sz w:val="20"/>
              </w:rPr>
            </w:r>
          </w:p>
        </w:tc>
      </w:tr>
      <w:tr>
        <w:trPr>
          <w:trHeight w:val="308" w:hRule="exact"/>
        </w:trPr>
        <w:tc>
          <w:tcPr>
            <w:tcW w:w="5080"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1671"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18,080,436,866.59</w:t>
            </w:r>
            <w:r>
              <w:rPr>
                <w:rFonts w:ascii="Times New Roman"/>
                <w:spacing w:val="-1"/>
                <w:sz w:val="20"/>
              </w:rPr>
            </w:r>
          </w:p>
        </w:tc>
        <w:tc>
          <w:tcPr>
            <w:tcW w:w="21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17,419,733,048.30</w:t>
            </w:r>
            <w:r>
              <w:rPr>
                <w:rFonts w:ascii="Times New Roman"/>
                <w:spacing w:val="-1"/>
                <w:sz w:val="20"/>
              </w:rPr>
            </w:r>
          </w:p>
        </w:tc>
      </w:tr>
    </w:tbl>
    <w:p>
      <w:pPr>
        <w:spacing w:line="240" w:lineRule="auto" w:before="6"/>
        <w:rPr>
          <w:rFonts w:ascii="宋体" w:hAnsi="宋体" w:cs="宋体" w:eastAsia="宋体" w:hint="default"/>
          <w:sz w:val="15"/>
          <w:szCs w:val="15"/>
        </w:rPr>
      </w:pPr>
    </w:p>
    <w:p>
      <w:pPr>
        <w:tabs>
          <w:tab w:pos="3632" w:val="left" w:leader="none"/>
          <w:tab w:pos="7096" w:val="left" w:leader="none"/>
        </w:tabs>
        <w:spacing w:before="35"/>
        <w:ind w:left="273" w:right="107"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财务负责人：孙岷</w:t>
        <w:tab/>
      </w:r>
      <w:r>
        <w:rPr>
          <w:rFonts w:ascii="宋体" w:hAnsi="宋体" w:cs="宋体" w:eastAsia="宋体" w:hint="default"/>
          <w:spacing w:val="-2"/>
          <w:sz w:val="21"/>
          <w:szCs w:val="21"/>
        </w:rPr>
        <w:t>会计机构负责人：甘朝晖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610" w:footer="764" w:top="1960" w:bottom="960" w:left="1180" w:right="1040"/>
        </w:sectPr>
      </w:pPr>
    </w:p>
    <w:p>
      <w:pPr>
        <w:pStyle w:val="Heading3"/>
        <w:spacing w:line="311" w:lineRule="exact"/>
        <w:ind w:left="3614" w:right="3619"/>
        <w:jc w:val="center"/>
        <w:rPr>
          <w:b w:val="0"/>
          <w:bCs w:val="0"/>
        </w:rPr>
      </w:pPr>
      <w:r>
        <w:rPr/>
        <w:t>母公司资产负债表</w:t>
      </w:r>
      <w:r>
        <w:rPr>
          <w:b w:val="0"/>
          <w:bCs w:val="0"/>
        </w:rPr>
      </w:r>
    </w:p>
    <w:p>
      <w:pPr>
        <w:spacing w:line="240" w:lineRule="auto" w:before="2"/>
        <w:rPr>
          <w:rFonts w:ascii="宋体" w:hAnsi="宋体" w:cs="宋体" w:eastAsia="宋体" w:hint="default"/>
          <w:b/>
          <w:bCs/>
          <w:sz w:val="18"/>
          <w:szCs w:val="18"/>
        </w:rPr>
      </w:pPr>
    </w:p>
    <w:p>
      <w:pPr>
        <w:spacing w:before="35"/>
        <w:ind w:left="0" w:right="242"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972"/>
        <w:gridCol w:w="2242"/>
        <w:gridCol w:w="2204"/>
      </w:tblGrid>
      <w:tr>
        <w:trPr>
          <w:trHeight w:val="307" w:hRule="exact"/>
        </w:trPr>
        <w:tc>
          <w:tcPr>
            <w:tcW w:w="497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71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0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9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850,431,072.10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779,273,931.14</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28,029,337.68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43,031,194.85</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76,850,406.29</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47,255,910.80</w:t>
            </w:r>
            <w:r>
              <w:rPr>
                <w:rFonts w:ascii="Times New Roman"/>
                <w:sz w:val="20"/>
              </w:rPr>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625,310,555.75</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565,397,964.69</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spacing w:val="-1"/>
                <w:sz w:val="20"/>
              </w:rPr>
              <w:t>671,452,498.29</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1,022,011,596.04</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360,058,920.57</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157,317,440.52</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1,031,199,770.25</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3"/>
              <w:jc w:val="right"/>
              <w:rPr>
                <w:rFonts w:ascii="Times New Roman" w:hAnsi="Times New Roman" w:cs="Times New Roman" w:eastAsia="Times New Roman" w:hint="default"/>
                <w:sz w:val="20"/>
                <w:szCs w:val="20"/>
              </w:rPr>
            </w:pPr>
            <w:r>
              <w:rPr>
                <w:rFonts w:ascii="Times New Roman"/>
                <w:spacing w:val="-1"/>
                <w:sz w:val="20"/>
              </w:rPr>
              <w:t>561,873,027.12</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1,403,128,397.96</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1,602,255,577.45</w:t>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5,046,460,958.89</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4,778,416,642.61</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5,455,165.32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27,253,121.49</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169,769,353.50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177,628,361.50</w:t>
            </w:r>
            <w:r>
              <w:rPr>
                <w:rFonts w:ascii="Times New Roman"/>
                <w:sz w:val="20"/>
              </w:rPr>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3,549,859,183.53</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3,088,122,066.20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9,478,559.80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9,699,157.64</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672,717,889.77</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714,962,087.30</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348,780,225.51</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194,859,576.83</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spacing w:val="-1"/>
                <w:sz w:val="20"/>
              </w:rPr>
              <w:t>113,904,864.35</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44,731,198.62</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27,824,598.67</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54,787,101.22</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21,718,869.77</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15,377,390.96</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59,641,510.40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48,545,674.57</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4,979,150,220.62</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4,375,965,736.33</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07" w:hRule="exact"/>
        </w:trPr>
        <w:tc>
          <w:tcPr>
            <w:tcW w:w="4972"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2"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10,025,611,179.51</w:t>
            </w:r>
            <w:r>
              <w:rPr>
                <w:rFonts w:ascii="Times New Roman"/>
                <w:spacing w:val="-1"/>
                <w:sz w:val="20"/>
              </w:rPr>
            </w:r>
          </w:p>
        </w:tc>
        <w:tc>
          <w:tcPr>
            <w:tcW w:w="2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9,154,382,378.94</w:t>
            </w:r>
            <w:r>
              <w:rPr>
                <w:rFonts w:ascii="Times New Roman"/>
                <w:spacing w:val="-1"/>
                <w:sz w:val="20"/>
              </w:rPr>
            </w:r>
          </w:p>
        </w:tc>
      </w:tr>
    </w:tbl>
    <w:p>
      <w:pPr>
        <w:spacing w:line="240" w:lineRule="auto" w:before="6"/>
        <w:rPr>
          <w:rFonts w:ascii="宋体" w:hAnsi="宋体" w:cs="宋体" w:eastAsia="宋体" w:hint="default"/>
          <w:sz w:val="15"/>
          <w:szCs w:val="15"/>
        </w:rPr>
      </w:pPr>
    </w:p>
    <w:p>
      <w:pPr>
        <w:tabs>
          <w:tab w:pos="3632" w:val="left" w:leader="none"/>
          <w:tab w:pos="7096" w:val="left" w:leader="none"/>
        </w:tabs>
        <w:spacing w:before="35"/>
        <w:ind w:left="273" w:right="107"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财务负责人：孙岷</w:t>
        <w:tab/>
      </w:r>
      <w:r>
        <w:rPr>
          <w:rFonts w:ascii="宋体" w:hAnsi="宋体" w:cs="宋体" w:eastAsia="宋体" w:hint="default"/>
          <w:spacing w:val="-2"/>
          <w:sz w:val="21"/>
          <w:szCs w:val="21"/>
        </w:rPr>
        <w:t>会计机构负责人：甘朝晖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610" w:footer="764" w:top="1960" w:bottom="960" w:left="1180" w:right="1040"/>
        </w:sectPr>
      </w:pPr>
    </w:p>
    <w:p>
      <w:pPr>
        <w:pStyle w:val="Heading3"/>
        <w:spacing w:line="311" w:lineRule="exact"/>
        <w:ind w:left="3614" w:right="3619"/>
        <w:jc w:val="center"/>
        <w:rPr>
          <w:b w:val="0"/>
          <w:bCs w:val="0"/>
        </w:rPr>
      </w:pPr>
      <w:r>
        <w:rPr/>
        <w:t>母公司资产负债表(续)</w:t>
      </w:r>
      <w:r>
        <w:rPr>
          <w:b w:val="0"/>
          <w:bCs w:val="0"/>
        </w:rPr>
      </w:r>
    </w:p>
    <w:p>
      <w:pPr>
        <w:spacing w:line="240" w:lineRule="auto" w:before="2"/>
        <w:rPr>
          <w:rFonts w:ascii="宋体" w:hAnsi="宋体" w:cs="宋体" w:eastAsia="宋体" w:hint="default"/>
          <w:b/>
          <w:bCs/>
          <w:sz w:val="18"/>
          <w:szCs w:val="18"/>
        </w:rPr>
      </w:pPr>
    </w:p>
    <w:p>
      <w:pPr>
        <w:spacing w:before="35"/>
        <w:ind w:left="0" w:right="242"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972"/>
        <w:gridCol w:w="2242"/>
        <w:gridCol w:w="2204"/>
      </w:tblGrid>
      <w:tr>
        <w:trPr>
          <w:trHeight w:val="307" w:hRule="exact"/>
        </w:trPr>
        <w:tc>
          <w:tcPr>
            <w:tcW w:w="497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71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0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9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1,170,000,000.00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1,443,976,330.00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159,197,128.80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370,554,125.71</w:t>
            </w:r>
            <w:r>
              <w:rPr>
                <w:rFonts w:ascii="Times New Roman"/>
                <w:sz w:val="20"/>
              </w:rPr>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1,106,365,442.56</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1,232,215,759.81</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419,752,866.50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558,694,434.08</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26,668,300.06</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23,645,749.06</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20,354,639.42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5,137,763.88</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1,179,140,863.28</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1,172,238,184.76</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19,000,000.00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流动负债小计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4,100,479,240.62</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4,806,462,347.30</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355,176,500.00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171,000,000.00</w:t>
            </w:r>
            <w:r>
              <w:rPr>
                <w:rFonts w:ascii="Times New Roman"/>
                <w:sz w:val="20"/>
              </w:rPr>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49,483.11</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49,483.11</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33,670,000.00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34,320,700.00</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11,385,137.57</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17,796,183.59</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2,000,000.00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非流动负债小计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b/>
                <w:spacing w:val="-1"/>
                <w:sz w:val="20"/>
              </w:rPr>
              <w:t>402,281,120.68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223,166,366.70</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4,502,760,361.30</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5,029,628,714.00</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976,970,554.00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628,612,295.00</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4,306,973,149.33</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3,304,092,884.74</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402,775,954.48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377,633,272.41</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spacing w:val="-1"/>
                <w:sz w:val="20"/>
              </w:rPr>
              <w:t>-163,868,839.60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-185,584,787.21</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6"/>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5,522,850,818.21</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4,124,753,664.94</w:t>
            </w:r>
            <w:r>
              <w:rPr>
                <w:rFonts w:ascii="Times New Roman"/>
                <w:spacing w:val="-1"/>
                <w:sz w:val="20"/>
              </w:rPr>
            </w:r>
          </w:p>
        </w:tc>
      </w:tr>
      <w:tr>
        <w:trPr>
          <w:trHeight w:val="307" w:hRule="exact"/>
        </w:trPr>
        <w:tc>
          <w:tcPr>
            <w:tcW w:w="4972"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1618"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10,025,611,179.51</w:t>
            </w:r>
            <w:r>
              <w:rPr>
                <w:rFonts w:ascii="Times New Roman"/>
                <w:spacing w:val="-1"/>
                <w:sz w:val="20"/>
              </w:rPr>
            </w:r>
          </w:p>
        </w:tc>
        <w:tc>
          <w:tcPr>
            <w:tcW w:w="2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9,154,382,378.94</w:t>
            </w:r>
            <w:r>
              <w:rPr>
                <w:rFonts w:ascii="Times New Roman"/>
                <w:spacing w:val="-1"/>
                <w:sz w:val="20"/>
              </w:rPr>
            </w:r>
          </w:p>
        </w:tc>
      </w:tr>
    </w:tbl>
    <w:p>
      <w:pPr>
        <w:spacing w:line="240" w:lineRule="auto" w:before="6"/>
        <w:rPr>
          <w:rFonts w:ascii="宋体" w:hAnsi="宋体" w:cs="宋体" w:eastAsia="宋体" w:hint="default"/>
          <w:sz w:val="15"/>
          <w:szCs w:val="15"/>
        </w:rPr>
      </w:pPr>
    </w:p>
    <w:p>
      <w:pPr>
        <w:tabs>
          <w:tab w:pos="3632" w:val="left" w:leader="none"/>
          <w:tab w:pos="7096" w:val="left" w:leader="none"/>
        </w:tabs>
        <w:spacing w:before="35"/>
        <w:ind w:left="273" w:right="107"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财务负责人：孙岷</w:t>
        <w:tab/>
      </w:r>
      <w:r>
        <w:rPr>
          <w:rFonts w:ascii="宋体" w:hAnsi="宋体" w:cs="宋体" w:eastAsia="宋体" w:hint="default"/>
          <w:spacing w:val="-2"/>
          <w:sz w:val="21"/>
          <w:szCs w:val="21"/>
        </w:rPr>
        <w:t>会计机构负责人：甘朝晖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610" w:footer="764" w:top="1960" w:bottom="96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312" w:lineRule="exact" w:before="56"/>
        <w:ind w:left="3774" w:right="3779"/>
        <w:jc w:val="center"/>
        <w:rPr>
          <w:b w:val="0"/>
          <w:bCs w:val="0"/>
        </w:rPr>
      </w:pPr>
      <w:r>
        <w:rPr/>
        <w:t>同方股份有限公司</w:t>
      </w:r>
      <w:r>
        <w:rPr>
          <w:spacing w:val="1"/>
          <w:w w:val="99"/>
        </w:rPr>
        <w:t> </w:t>
      </w:r>
      <w:r>
        <w:rPr/>
        <w:t>合并利润表</w:t>
      </w:r>
      <w:r>
        <w:rPr>
          <w:b w:val="0"/>
          <w:bCs w:val="0"/>
        </w:rPr>
      </w:r>
    </w:p>
    <w:p>
      <w:pPr>
        <w:spacing w:line="240" w:lineRule="auto" w:before="13"/>
        <w:rPr>
          <w:rFonts w:ascii="宋体" w:hAnsi="宋体" w:cs="宋体" w:eastAsia="宋体" w:hint="default"/>
          <w:b/>
          <w:bCs/>
          <w:sz w:val="15"/>
          <w:szCs w:val="15"/>
        </w:rPr>
      </w:pPr>
    </w:p>
    <w:p>
      <w:pPr>
        <w:spacing w:before="35"/>
        <w:ind w:left="0" w:right="142"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865"/>
        <w:gridCol w:w="2340"/>
        <w:gridCol w:w="1979"/>
      </w:tblGrid>
      <w:tr>
        <w:trPr>
          <w:trHeight w:val="307" w:hRule="exact"/>
        </w:trPr>
        <w:tc>
          <w:tcPr>
            <w:tcW w:w="4865"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81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79"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3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13,928,032,690.73</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14,625,886,739.68</w:t>
            </w:r>
            <w:r>
              <w:rPr>
                <w:rFonts w:ascii="Times New Roman"/>
                <w:spacing w:val="-1"/>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13,609,299,090.47</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14,180,370,880.13</w:t>
            </w:r>
            <w:r>
              <w:rPr>
                <w:rFonts w:ascii="Times New Roman"/>
                <w:spacing w:val="-1"/>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11,257,494,955.70</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12,275,220,946.76</w:t>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09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145,630,951.77</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136,755,145.82</w:t>
            </w:r>
            <w:r>
              <w:rPr>
                <w:rFonts w:ascii="Times New Roman"/>
                <w:sz w:val="20"/>
              </w:rPr>
            </w:r>
          </w:p>
        </w:tc>
      </w:tr>
      <w:tr>
        <w:trPr>
          <w:trHeight w:val="30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09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842,981,431.46</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705,682,642.50</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09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958,355,656.99</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758,405,550.95</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09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261,157,149.63</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201,633,976.90</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0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143,678,944.92</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102,672,617.20</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left="6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-15,001,857.17</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26,603,384.92</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left="10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115,722,437.58</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183,822,443.84</w:t>
            </w:r>
            <w:r>
              <w:rPr>
                <w:rFonts w:ascii="Times New Roman"/>
                <w:sz w:val="20"/>
              </w:rPr>
            </w:r>
          </w:p>
        </w:tc>
      </w:tr>
      <w:tr>
        <w:trPr>
          <w:trHeight w:val="30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09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97,778,267.88</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32,039,213.53</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left="1094" w:right="0"/>
              <w:jc w:val="left"/>
              <w:rPr>
                <w:rFonts w:ascii="宋体" w:hAnsi="宋体" w:cs="宋体" w:eastAsia="宋体" w:hint="default"/>
                <w:sz w:val="20"/>
                <w:szCs w:val="20"/>
              </w:rPr>
            </w:pPr>
            <w:r>
              <w:rPr>
                <w:rFonts w:ascii="宋体" w:hAnsi="宋体" w:cs="宋体" w:eastAsia="宋体" w:hint="default"/>
                <w:sz w:val="20"/>
                <w:szCs w:val="20"/>
              </w:rPr>
              <w:t>汇兑收益（损失以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0.00</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b/>
                <w:spacing w:val="-1"/>
                <w:sz w:val="20"/>
              </w:rPr>
              <w:t>419,454,180.67</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655,941,688.31</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129,621,923.57</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114,078,934.19</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82,005,760.56</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52,515,611.23</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1,352,322.26</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33,012,083.69</w:t>
            </w:r>
            <w:r>
              <w:rPr>
                <w:rFonts w:ascii="Times New Roman"/>
                <w:sz w:val="20"/>
              </w:rPr>
            </w:r>
          </w:p>
        </w:tc>
      </w:tr>
      <w:tr>
        <w:trPr>
          <w:trHeight w:val="30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b/>
                <w:spacing w:val="-1"/>
                <w:sz w:val="20"/>
              </w:rPr>
              <w:t>467,070,343.68</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717,505,011.27</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69,846,397.51</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80,324,656.70</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五、净利润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b/>
                <w:spacing w:val="-1"/>
                <w:sz w:val="20"/>
              </w:rPr>
              <w:t>397,223,946.17</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637,180,354.57</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251,426,820.71</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440,749,878.14</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145,797,125.46</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196,430,476.43</w:t>
            </w:r>
            <w:r>
              <w:rPr>
                <w:rFonts w:ascii="Times New Roman"/>
                <w:sz w:val="20"/>
              </w:rPr>
            </w:r>
          </w:p>
        </w:tc>
      </w:tr>
      <w:tr>
        <w:trPr>
          <w:trHeight w:val="299"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2340"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293"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0.27</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0.52</w:t>
            </w:r>
          </w:p>
        </w:tc>
      </w:tr>
      <w:tr>
        <w:trPr>
          <w:trHeight w:val="307" w:hRule="exact"/>
        </w:trPr>
        <w:tc>
          <w:tcPr>
            <w:tcW w:w="4865"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293"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0.27</w:t>
            </w:r>
          </w:p>
        </w:tc>
        <w:tc>
          <w:tcPr>
            <w:tcW w:w="19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0.52</w:t>
            </w:r>
          </w:p>
        </w:tc>
      </w:tr>
    </w:tbl>
    <w:p>
      <w:pPr>
        <w:spacing w:line="240" w:lineRule="auto" w:before="6"/>
        <w:rPr>
          <w:rFonts w:ascii="宋体" w:hAnsi="宋体" w:cs="宋体" w:eastAsia="宋体" w:hint="default"/>
          <w:sz w:val="15"/>
          <w:szCs w:val="15"/>
        </w:rPr>
      </w:pPr>
    </w:p>
    <w:p>
      <w:pPr>
        <w:tabs>
          <w:tab w:pos="3532" w:val="left" w:leader="none"/>
          <w:tab w:pos="6996" w:val="left" w:leader="none"/>
        </w:tabs>
        <w:spacing w:before="35"/>
        <w:ind w:left="173"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财务负责人：孙岷</w:t>
        <w:tab/>
      </w:r>
      <w:r>
        <w:rPr>
          <w:rFonts w:ascii="宋体" w:hAnsi="宋体" w:cs="宋体" w:eastAsia="宋体" w:hint="default"/>
          <w:spacing w:val="-2"/>
          <w:sz w:val="21"/>
          <w:szCs w:val="21"/>
        </w:rPr>
        <w:t>会计机构负责人：甘朝晖</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28"/>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12" w:lineRule="exact" w:before="56"/>
        <w:ind w:left="3614" w:right="3619"/>
        <w:jc w:val="center"/>
        <w:rPr>
          <w:b w:val="0"/>
          <w:bCs w:val="0"/>
        </w:rPr>
      </w:pPr>
      <w:r>
        <w:rPr/>
        <w:t>同方股份有限公司</w:t>
      </w:r>
      <w:r>
        <w:rPr>
          <w:spacing w:val="1"/>
          <w:w w:val="99"/>
        </w:rPr>
        <w:t> </w:t>
      </w:r>
      <w:r>
        <w:rPr/>
        <w:t>母公司利润表</w:t>
      </w:r>
      <w:r>
        <w:rPr>
          <w:b w:val="0"/>
          <w:bCs w:val="0"/>
        </w:rPr>
      </w:r>
    </w:p>
    <w:p>
      <w:pPr>
        <w:spacing w:line="240" w:lineRule="auto" w:before="13"/>
        <w:rPr>
          <w:rFonts w:ascii="宋体" w:hAnsi="宋体" w:cs="宋体" w:eastAsia="宋体" w:hint="default"/>
          <w:b/>
          <w:bCs/>
          <w:sz w:val="15"/>
          <w:szCs w:val="15"/>
        </w:rPr>
      </w:pPr>
    </w:p>
    <w:p>
      <w:pPr>
        <w:spacing w:before="35"/>
        <w:ind w:left="0" w:right="242"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504"/>
        <w:gridCol w:w="2478"/>
        <w:gridCol w:w="2435"/>
      </w:tblGrid>
      <w:tr>
        <w:trPr>
          <w:trHeight w:val="334" w:hRule="exact"/>
        </w:trPr>
        <w:tc>
          <w:tcPr>
            <w:tcW w:w="4504"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78"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87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435" w:type="dxa"/>
            <w:tcBorders>
              <w:top w:val="single" w:sz="12" w:space="0" w:color="000000"/>
              <w:left w:val="single" w:sz="6" w:space="0" w:color="000000"/>
              <w:bottom w:val="single" w:sz="6" w:space="0" w:color="000000"/>
              <w:right w:val="single" w:sz="12" w:space="0" w:color="000000"/>
            </w:tcBorders>
          </w:tcPr>
          <w:p>
            <w:pPr>
              <w:pStyle w:val="TableParagraph"/>
              <w:spacing w:line="256" w:lineRule="exact"/>
              <w:ind w:left="85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28"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6,295,391,780.04</w:t>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6,537,268,995.55</w:t>
            </w:r>
          </w:p>
        </w:tc>
      </w:tr>
      <w:tr>
        <w:trPr>
          <w:trHeight w:val="326"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5,755,155,551.11</w:t>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6,059,901,398.98</w:t>
            </w:r>
          </w:p>
        </w:tc>
      </w:tr>
      <w:tr>
        <w:trPr>
          <w:trHeight w:val="328"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40,139,411.75</w:t>
            </w:r>
            <w:r>
              <w:rPr>
                <w:rFonts w:ascii="Times New Roman"/>
                <w:sz w:val="20"/>
              </w:rPr>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34,779,859.14</w:t>
            </w:r>
            <w:r>
              <w:rPr>
                <w:rFonts w:ascii="Times New Roman"/>
                <w:sz w:val="20"/>
              </w:rPr>
            </w:r>
          </w:p>
        </w:tc>
      </w:tr>
      <w:tr>
        <w:trPr>
          <w:trHeight w:val="326"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354,409,788.17</w:t>
            </w:r>
            <w:r>
              <w:rPr>
                <w:rFonts w:ascii="Times New Roman"/>
                <w:sz w:val="20"/>
              </w:rPr>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346,659,902.47</w:t>
            </w:r>
            <w:r>
              <w:rPr>
                <w:rFonts w:ascii="Times New Roman"/>
                <w:sz w:val="20"/>
              </w:rPr>
            </w:r>
          </w:p>
        </w:tc>
      </w:tr>
      <w:tr>
        <w:trPr>
          <w:trHeight w:val="328"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243,504,594.45</w:t>
            </w:r>
            <w:r>
              <w:rPr>
                <w:rFonts w:ascii="Times New Roman"/>
                <w:sz w:val="20"/>
              </w:rPr>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214,703,973.21</w:t>
            </w:r>
            <w:r>
              <w:rPr>
                <w:rFonts w:ascii="Times New Roman"/>
                <w:sz w:val="20"/>
              </w:rPr>
            </w:r>
          </w:p>
        </w:tc>
      </w:tr>
      <w:tr>
        <w:trPr>
          <w:trHeight w:val="326"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94,185,691.09</w:t>
            </w:r>
            <w:r>
              <w:rPr>
                <w:rFonts w:ascii="Times New Roman"/>
                <w:sz w:val="20"/>
              </w:rPr>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3"/>
              <w:jc w:val="right"/>
              <w:rPr>
                <w:rFonts w:ascii="Times New Roman" w:hAnsi="Times New Roman" w:cs="Times New Roman" w:eastAsia="Times New Roman" w:hint="default"/>
                <w:sz w:val="20"/>
                <w:szCs w:val="20"/>
              </w:rPr>
            </w:pPr>
            <w:r>
              <w:rPr>
                <w:rFonts w:ascii="Times New Roman"/>
                <w:spacing w:val="-1"/>
                <w:sz w:val="20"/>
              </w:rPr>
              <w:t>106,226,992.74</w:t>
            </w:r>
            <w:r>
              <w:rPr>
                <w:rFonts w:ascii="Times New Roman"/>
                <w:sz w:val="20"/>
              </w:rPr>
            </w:r>
          </w:p>
        </w:tc>
      </w:tr>
      <w:tr>
        <w:trPr>
          <w:trHeight w:val="328"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91,306,604.90</w:t>
            </w:r>
            <w:r>
              <w:rPr>
                <w:rFonts w:ascii="Times New Roman"/>
                <w:sz w:val="20"/>
              </w:rPr>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58,161,982.80</w:t>
            </w:r>
            <w:r>
              <w:rPr>
                <w:rFonts w:ascii="Times New Roman"/>
                <w:sz w:val="20"/>
              </w:rPr>
            </w:r>
          </w:p>
        </w:tc>
      </w:tr>
      <w:tr>
        <w:trPr>
          <w:trHeight w:val="326"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-15,001,857.17</w:t>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26,603,384.92</w:t>
            </w:r>
            <w:r>
              <w:rPr>
                <w:rFonts w:ascii="Times New Roman"/>
                <w:sz w:val="20"/>
              </w:rPr>
            </w:r>
          </w:p>
        </w:tc>
      </w:tr>
      <w:tr>
        <w:trPr>
          <w:trHeight w:val="328"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4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361,441,562.28</w:t>
            </w:r>
            <w:r>
              <w:rPr>
                <w:rFonts w:ascii="Times New Roman"/>
                <w:sz w:val="20"/>
              </w:rPr>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404,021,540.25</w:t>
            </w:r>
            <w:r>
              <w:rPr>
                <w:rFonts w:ascii="Times New Roman"/>
                <w:sz w:val="20"/>
              </w:rPr>
            </w:r>
          </w:p>
        </w:tc>
      </w:tr>
      <w:tr>
        <w:trPr>
          <w:trHeight w:val="326"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105,571,234.88</w:t>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38,628,191.78</w:t>
            </w:r>
          </w:p>
        </w:tc>
      </w:tr>
      <w:tr>
        <w:trPr>
          <w:trHeight w:val="328"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494" w:right="0"/>
              <w:jc w:val="left"/>
              <w:rPr>
                <w:rFonts w:ascii="宋体" w:hAnsi="宋体" w:cs="宋体" w:eastAsia="宋体" w:hint="default"/>
                <w:sz w:val="20"/>
                <w:szCs w:val="20"/>
              </w:rPr>
            </w:pPr>
            <w:r>
              <w:rPr>
                <w:rFonts w:ascii="宋体" w:hAnsi="宋体" w:cs="宋体" w:eastAsia="宋体" w:hint="default"/>
                <w:sz w:val="20"/>
                <w:szCs w:val="20"/>
              </w:rPr>
              <w:t>汇兑收益（损失以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0.00</w:t>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326"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二、营业利润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Times New Roman" w:hAnsi="Times New Roman" w:cs="Times New Roman" w:eastAsia="Times New Roman" w:hint="default"/>
                <w:sz w:val="20"/>
                <w:szCs w:val="20"/>
              </w:rPr>
            </w:pPr>
            <w:r>
              <w:rPr>
                <w:rFonts w:ascii="Times New Roman"/>
                <w:b/>
                <w:spacing w:val="-1"/>
                <w:sz w:val="20"/>
              </w:rPr>
              <w:t>63,129,843.68</w:t>
            </w:r>
            <w:r>
              <w:rPr>
                <w:rFonts w:ascii="Times New Roman"/>
                <w:sz w:val="20"/>
              </w:rPr>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b/>
                <w:spacing w:val="-1"/>
                <w:sz w:val="20"/>
              </w:rPr>
              <w:t>147,459,811.38</w:t>
            </w:r>
            <w:r>
              <w:rPr>
                <w:rFonts w:ascii="Times New Roman"/>
                <w:sz w:val="20"/>
              </w:rPr>
            </w:r>
          </w:p>
        </w:tc>
      </w:tr>
      <w:tr>
        <w:trPr>
          <w:trHeight w:val="328"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5,856,085.81</w:t>
            </w:r>
            <w:r>
              <w:rPr>
                <w:rFonts w:ascii="Times New Roman"/>
                <w:sz w:val="20"/>
              </w:rPr>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7,840,267.46</w:t>
            </w:r>
            <w:r>
              <w:rPr>
                <w:rFonts w:ascii="Times New Roman"/>
                <w:sz w:val="20"/>
              </w:rPr>
            </w:r>
          </w:p>
        </w:tc>
      </w:tr>
      <w:tr>
        <w:trPr>
          <w:trHeight w:val="326"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65,099,421.61</w:t>
            </w:r>
            <w:r>
              <w:rPr>
                <w:rFonts w:ascii="Times New Roman"/>
                <w:sz w:val="20"/>
              </w:rPr>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32,930,920.69</w:t>
            </w:r>
            <w:r>
              <w:rPr>
                <w:rFonts w:ascii="Times New Roman"/>
                <w:sz w:val="20"/>
              </w:rPr>
            </w:r>
          </w:p>
        </w:tc>
      </w:tr>
      <w:tr>
        <w:trPr>
          <w:trHeight w:val="328"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89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206,598.85</w:t>
            </w:r>
            <w:r>
              <w:rPr>
                <w:rFonts w:ascii="Times New Roman"/>
                <w:sz w:val="20"/>
              </w:rPr>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32,150,255.75</w:t>
            </w:r>
            <w:r>
              <w:rPr>
                <w:rFonts w:ascii="Times New Roman"/>
                <w:sz w:val="20"/>
              </w:rPr>
            </w:r>
          </w:p>
        </w:tc>
      </w:tr>
      <w:tr>
        <w:trPr>
          <w:trHeight w:val="326"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3,886,507.88</w:t>
            </w:r>
            <w:r>
              <w:rPr>
                <w:rFonts w:ascii="Times New Roman"/>
                <w:sz w:val="20"/>
              </w:rPr>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pacing w:val="-1"/>
                <w:sz w:val="20"/>
              </w:rPr>
              <w:t>122,369,158.15</w:t>
            </w:r>
            <w:r>
              <w:rPr>
                <w:rFonts w:ascii="Times New Roman"/>
                <w:sz w:val="20"/>
              </w:rPr>
            </w:r>
          </w:p>
        </w:tc>
      </w:tr>
      <w:tr>
        <w:trPr>
          <w:trHeight w:val="328" w:hRule="exact"/>
        </w:trPr>
        <w:tc>
          <w:tcPr>
            <w:tcW w:w="4504"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-16,447,243.81</w:t>
            </w:r>
          </w:p>
        </w:tc>
        <w:tc>
          <w:tcPr>
            <w:tcW w:w="24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-21,502,863.17</w:t>
            </w:r>
          </w:p>
        </w:tc>
      </w:tr>
      <w:tr>
        <w:trPr>
          <w:trHeight w:val="334" w:hRule="exact"/>
        </w:trPr>
        <w:tc>
          <w:tcPr>
            <w:tcW w:w="4504"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Times New Roman" w:hAnsi="Times New Roman" w:cs="Times New Roman" w:eastAsia="Times New Roman" w:hint="default"/>
                <w:sz w:val="20"/>
                <w:szCs w:val="20"/>
              </w:rPr>
            </w:pPr>
            <w:r>
              <w:rPr>
                <w:rFonts w:ascii="Times New Roman"/>
                <w:b/>
                <w:spacing w:val="-1"/>
                <w:sz w:val="20"/>
              </w:rPr>
              <w:t>20,333,751.69</w:t>
            </w:r>
            <w:r>
              <w:rPr>
                <w:rFonts w:ascii="Times New Roman"/>
                <w:sz w:val="20"/>
              </w:rPr>
            </w:r>
          </w:p>
        </w:tc>
        <w:tc>
          <w:tcPr>
            <w:tcW w:w="24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b/>
                <w:spacing w:val="-1"/>
                <w:sz w:val="20"/>
              </w:rPr>
              <w:t>143,872,021.32</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tabs>
          <w:tab w:pos="3632" w:val="left" w:leader="none"/>
          <w:tab w:pos="7096" w:val="left" w:leader="none"/>
        </w:tabs>
        <w:spacing w:before="35"/>
        <w:ind w:left="273" w:right="107"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财务负责人：孙岷</w:t>
        <w:tab/>
      </w:r>
      <w:r>
        <w:rPr>
          <w:rFonts w:ascii="宋体" w:hAnsi="宋体" w:cs="宋体" w:eastAsia="宋体" w:hint="default"/>
          <w:spacing w:val="-2"/>
          <w:sz w:val="21"/>
          <w:szCs w:val="21"/>
        </w:rPr>
        <w:t>会计机构负责人：甘朝晖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610" w:footer="764" w:top="1080" w:bottom="960" w:left="1180" w:right="1040"/>
        </w:sectPr>
      </w:pPr>
    </w:p>
    <w:p>
      <w:pPr>
        <w:spacing w:line="311" w:lineRule="exact" w:before="0"/>
        <w:ind w:left="0" w:right="0" w:firstLine="0"/>
        <w:jc w:val="right"/>
        <w:rPr>
          <w:rFonts w:ascii="宋体" w:hAnsi="宋体" w:cs="宋体" w:eastAsia="宋体" w:hint="default"/>
          <w:sz w:val="24"/>
          <w:szCs w:val="24"/>
        </w:rPr>
      </w:pPr>
      <w:r>
        <w:rPr>
          <w:rFonts w:ascii="宋体" w:hAnsi="宋体" w:cs="宋体" w:eastAsia="宋体" w:hint="default"/>
          <w:b/>
          <w:bCs/>
          <w:sz w:val="24"/>
          <w:szCs w:val="24"/>
        </w:rPr>
        <w:t>合并现金流量表</w:t>
      </w:r>
      <w:r>
        <w:rPr>
          <w:rFonts w:ascii="宋体" w:hAnsi="宋体" w:cs="宋体" w:eastAsia="宋体" w:hint="default"/>
          <w:sz w:val="24"/>
          <w:szCs w:val="24"/>
        </w:rPr>
      </w:r>
    </w:p>
    <w:p>
      <w:pPr>
        <w:spacing w:line="240" w:lineRule="auto" w:before="10"/>
        <w:rPr>
          <w:rFonts w:ascii="宋体" w:hAnsi="宋体" w:cs="宋体" w:eastAsia="宋体" w:hint="default"/>
          <w:b/>
          <w:bCs/>
          <w:sz w:val="23"/>
          <w:szCs w:val="23"/>
        </w:rPr>
      </w:pPr>
      <w:r>
        <w:rPr/>
        <w:br w:type="column"/>
      </w:r>
      <w:r>
        <w:rPr>
          <w:rFonts w:ascii="宋体"/>
          <w:b/>
          <w:sz w:val="23"/>
        </w:rPr>
      </w:r>
    </w:p>
    <w:p>
      <w:pPr>
        <w:spacing w:before="0"/>
        <w:ind w:left="2247"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headerReference w:type="default" r:id="rId29"/>
          <w:pgSz w:w="11910" w:h="16840"/>
          <w:pgMar w:header="610" w:footer="764" w:top="1960" w:bottom="960" w:left="1180" w:right="1040"/>
          <w:cols w:num="2" w:equalWidth="0">
            <w:col w:w="5683" w:space="40"/>
            <w:col w:w="3967"/>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5217"/>
        <w:gridCol w:w="2101"/>
        <w:gridCol w:w="2099"/>
      </w:tblGrid>
      <w:tr>
        <w:trPr>
          <w:trHeight w:val="307" w:hRule="exact"/>
        </w:trPr>
        <w:tc>
          <w:tcPr>
            <w:tcW w:w="5217"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1"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69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99"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69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101"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13,157,379,995.61</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14,448,276,607.42</w:t>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spacing w:val="-1"/>
                <w:sz w:val="20"/>
              </w:rPr>
              <w:t>166,902,899.17</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98,987,143.06</w:t>
            </w:r>
            <w:r>
              <w:rPr>
                <w:rFonts w:ascii="Times New Roman"/>
                <w:sz w:val="20"/>
              </w:rPr>
            </w:r>
          </w:p>
        </w:tc>
      </w:tr>
      <w:tr>
        <w:trPr>
          <w:trHeight w:val="300"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794,258,971.95</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910,773,882.05</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592"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14,118,541,866.73</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15,458,037,632.53</w:t>
            </w:r>
            <w:r>
              <w:rPr>
                <w:rFonts w:ascii="Times New Roman"/>
                <w:spacing w:val="-1"/>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10,839,271,070.71</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11,982,114,369.51</w:t>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1,145,422,810.06</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1,003,189,583.99</w:t>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459,314,035.30</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543,831,570.82</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1,626,957,958.66</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1,690,814,817.06</w:t>
            </w:r>
          </w:p>
        </w:tc>
      </w:tr>
      <w:tr>
        <w:trPr>
          <w:trHeight w:val="300"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592"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14,070,965,874.73</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15,219,950,341.38</w:t>
            </w:r>
            <w:r>
              <w:rPr>
                <w:rFonts w:ascii="Times New Roman"/>
                <w:spacing w:val="-1"/>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29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47,575,992.00</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3"/>
              <w:jc w:val="right"/>
              <w:rPr>
                <w:rFonts w:ascii="Times New Roman" w:hAnsi="Times New Roman" w:cs="Times New Roman" w:eastAsia="Times New Roman" w:hint="default"/>
                <w:sz w:val="20"/>
                <w:szCs w:val="20"/>
              </w:rPr>
            </w:pPr>
            <w:r>
              <w:rPr>
                <w:rFonts w:ascii="Times New Roman"/>
                <w:b/>
                <w:spacing w:val="-1"/>
                <w:sz w:val="20"/>
              </w:rPr>
              <w:t>238,087,291.15</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101"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275,049,561.99</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119,243,787.94</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13,983,579.82</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13,102,431.50</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45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20,250,126.01</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80,693,129.05</w:t>
            </w:r>
            <w:r>
              <w:rPr>
                <w:rFonts w:ascii="Times New Roman"/>
                <w:sz w:val="20"/>
              </w:rPr>
            </w:r>
          </w:p>
        </w:tc>
      </w:tr>
      <w:tr>
        <w:trPr>
          <w:trHeight w:val="300"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15,154,023.13</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232,123,678.83</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117,211.59</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44,231,108.55</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592"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b/>
                <w:spacing w:val="-1"/>
                <w:sz w:val="20"/>
              </w:rPr>
              <w:t>324,554,502.54</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489,394,135.87</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666,201,853.08</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869,521,120.52</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518,590,714.11</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142,080,895.85</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86,964,988.85</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53,481,083.24</w:t>
            </w:r>
            <w:r>
              <w:rPr>
                <w:rFonts w:ascii="Times New Roman"/>
                <w:sz w:val="20"/>
              </w:rPr>
            </w:r>
          </w:p>
        </w:tc>
      </w:tr>
      <w:tr>
        <w:trPr>
          <w:trHeight w:val="300"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584,699,265.27</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133,193,858.40</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592"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1,856,456,821.31</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1,198,276,958.01</w:t>
            </w:r>
            <w:r>
              <w:rPr>
                <w:rFonts w:ascii="Times New Roman"/>
                <w:spacing w:val="-1"/>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29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b/>
                <w:spacing w:val="-1"/>
                <w:sz w:val="20"/>
              </w:rPr>
              <w:t>-1,531,902,318.77</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-708,882,822.14</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101"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2,022,114,671.32</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1,299,740,105.20</w:t>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子公司吸收少数股东投资收到的现金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87,155,259.16</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67,732,105.20</w:t>
            </w:r>
            <w:r>
              <w:rPr>
                <w:rFonts w:ascii="Times New Roman"/>
                <w:sz w:val="20"/>
              </w:rPr>
            </w:r>
          </w:p>
        </w:tc>
      </w:tr>
      <w:tr>
        <w:trPr>
          <w:trHeight w:val="300"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5,335,210,978.07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3,957,060,706.93</w:t>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42,815,450.69</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22,634,950.21</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592"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7,400,141,100.08</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5,279,435,762.34</w:t>
            </w:r>
            <w:r>
              <w:rPr>
                <w:rFonts w:ascii="Times New Roman"/>
                <w:spacing w:val="-1"/>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5,144,733,975.73</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3,540,557,355.14</w:t>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362,870,805.78</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289,759,425.85</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子公司支付少数股东的股利、利润</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30,316,416.10</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35,026,388.78</w:t>
            </w:r>
            <w:r>
              <w:rPr>
                <w:rFonts w:ascii="Times New Roman"/>
                <w:sz w:val="20"/>
              </w:rPr>
            </w:r>
          </w:p>
        </w:tc>
      </w:tr>
      <w:tr>
        <w:trPr>
          <w:trHeight w:val="300"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64,965,468.74</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6,128,719.91</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592"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5,572,570,250.25</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3,836,445,500.90</w:t>
            </w:r>
            <w:r>
              <w:rPr>
                <w:rFonts w:ascii="Times New Roman"/>
                <w:spacing w:val="-1"/>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29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1,827,570,849.83</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1,442,990,261.44</w:t>
            </w:r>
            <w:r>
              <w:rPr>
                <w:rFonts w:ascii="Times New Roman"/>
                <w:spacing w:val="-1"/>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spacing w:val="-1"/>
                <w:sz w:val="20"/>
              </w:rPr>
              <w:t>-8,443,423.03</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-10,447,456.63</w:t>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b/>
                <w:spacing w:val="-1"/>
                <w:sz w:val="20"/>
              </w:rPr>
              <w:t>334,801,100.03</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961,747,273.82</w:t>
            </w:r>
            <w:r>
              <w:rPr>
                <w:rFonts w:ascii="Times New Roman"/>
                <w:sz w:val="20"/>
              </w:rPr>
            </w:r>
          </w:p>
        </w:tc>
      </w:tr>
      <w:tr>
        <w:trPr>
          <w:trHeight w:val="299"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2,906,518,008.44</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1,944,770,734.62</w:t>
            </w:r>
          </w:p>
        </w:tc>
      </w:tr>
      <w:tr>
        <w:trPr>
          <w:trHeight w:val="308" w:hRule="exact"/>
        </w:trPr>
        <w:tc>
          <w:tcPr>
            <w:tcW w:w="5217"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1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3,241,319,108.47</w:t>
            </w:r>
            <w:r>
              <w:rPr>
                <w:rFonts w:ascii="Times New Roman"/>
                <w:spacing w:val="-1"/>
                <w:sz w:val="20"/>
              </w:rPr>
            </w:r>
          </w:p>
        </w:tc>
        <w:tc>
          <w:tcPr>
            <w:tcW w:w="20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2,906,518,008.44</w:t>
            </w:r>
            <w:r>
              <w:rPr>
                <w:rFonts w:ascii="Times New Roman"/>
                <w:spacing w:val="-1"/>
                <w:sz w:val="20"/>
              </w:rPr>
            </w:r>
          </w:p>
        </w:tc>
      </w:tr>
    </w:tbl>
    <w:p>
      <w:pPr>
        <w:tabs>
          <w:tab w:pos="3632" w:val="left" w:leader="none"/>
          <w:tab w:pos="7096" w:val="left" w:leader="none"/>
        </w:tabs>
        <w:spacing w:line="240" w:lineRule="exact" w:before="0"/>
        <w:ind w:left="273" w:right="107"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财务负责人：孙岷</w:t>
        <w:tab/>
      </w:r>
      <w:r>
        <w:rPr>
          <w:rFonts w:ascii="宋体" w:hAnsi="宋体" w:cs="宋体" w:eastAsia="宋体" w:hint="default"/>
          <w:spacing w:val="-2"/>
          <w:sz w:val="21"/>
          <w:szCs w:val="21"/>
        </w:rPr>
        <w:t>会计机构负责人：甘朝晖</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type w:val="continuous"/>
          <w:pgSz w:w="11910" w:h="16840"/>
          <w:pgMar w:top="1600" w:bottom="280" w:left="1180" w:right="1040"/>
        </w:sectPr>
      </w:pPr>
    </w:p>
    <w:p>
      <w:pPr>
        <w:pStyle w:val="Heading3"/>
        <w:spacing w:line="311" w:lineRule="exact"/>
        <w:ind w:left="0" w:right="0"/>
        <w:jc w:val="right"/>
        <w:rPr>
          <w:b w:val="0"/>
          <w:bCs w:val="0"/>
        </w:rPr>
      </w:pPr>
      <w:r>
        <w:rPr/>
        <w:t>母公司现金流量表</w:t>
      </w:r>
      <w:r>
        <w:rPr>
          <w:b w:val="0"/>
          <w:bCs w:val="0"/>
        </w:rPr>
      </w:r>
    </w:p>
    <w:p>
      <w:pPr>
        <w:spacing w:line="240" w:lineRule="auto" w:before="10"/>
        <w:rPr>
          <w:rFonts w:ascii="宋体" w:hAnsi="宋体" w:cs="宋体" w:eastAsia="宋体" w:hint="default"/>
          <w:b/>
          <w:bCs/>
          <w:sz w:val="23"/>
          <w:szCs w:val="23"/>
        </w:rPr>
      </w:pPr>
      <w:r>
        <w:rPr/>
        <w:br w:type="column"/>
      </w:r>
      <w:r>
        <w:rPr>
          <w:rFonts w:ascii="宋体"/>
          <w:b/>
          <w:sz w:val="23"/>
        </w:rPr>
      </w:r>
    </w:p>
    <w:p>
      <w:pPr>
        <w:spacing w:before="0"/>
        <w:ind w:left="2127"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pgSz w:w="11910" w:h="16840"/>
          <w:pgMar w:header="610" w:footer="764" w:top="1960" w:bottom="960" w:left="1180" w:right="1040"/>
          <w:cols w:num="2" w:equalWidth="0">
            <w:col w:w="5803" w:space="40"/>
            <w:col w:w="3847"/>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972"/>
        <w:gridCol w:w="2242"/>
        <w:gridCol w:w="2204"/>
      </w:tblGrid>
      <w:tr>
        <w:trPr>
          <w:trHeight w:val="307" w:hRule="exact"/>
        </w:trPr>
        <w:tc>
          <w:tcPr>
            <w:tcW w:w="497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76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0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4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5,456,950,506.81</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5,885,811,282.44</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2,169,537.25</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7,925,783.44</w:t>
            </w:r>
            <w:r>
              <w:rPr>
                <w:rFonts w:ascii="Times New Roman"/>
                <w:sz w:val="20"/>
              </w:rPr>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292,389,027.61</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820,725,076.28</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5,751,509,071.67</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6,714,462,142.16</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5,068,816,746.26</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5,571,978,849.26</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223,987,473.54</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235,961,573.66</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67,723,809.81</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88,127,061.70</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spacing w:val="-1"/>
                <w:sz w:val="20"/>
              </w:rPr>
              <w:t>620,258,352.88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1,246,326,609.11</w:t>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5,980,786,382.49</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7,142,394,093.73</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171"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b/>
                <w:spacing w:val="-1"/>
                <w:sz w:val="20"/>
              </w:rPr>
              <w:t>-229,277,310.82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b/>
                <w:spacing w:val="-1"/>
                <w:sz w:val="20"/>
              </w:rPr>
              <w:t>-427,931,951.57</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48,524,726.94</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121,180,359.43</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54,910,777.96</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23,378,988.81</w:t>
            </w:r>
            <w:r>
              <w:rPr>
                <w:rFonts w:ascii="Times New Roman"/>
                <w:sz w:val="20"/>
              </w:rPr>
            </w:r>
          </w:p>
        </w:tc>
      </w:tr>
      <w:tr>
        <w:trPr>
          <w:trHeight w:val="496"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54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20"/>
                <w:szCs w:val="20"/>
              </w:rPr>
            </w:pPr>
            <w:r>
              <w:rPr>
                <w:rFonts w:ascii="Times New Roman"/>
                <w:spacing w:val="-1"/>
                <w:sz w:val="20"/>
              </w:rPr>
              <w:t>32,255,941.03</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6"/>
              <w:ind w:right="91"/>
              <w:jc w:val="right"/>
              <w:rPr>
                <w:rFonts w:ascii="Times New Roman" w:hAnsi="Times New Roman" w:cs="Times New Roman" w:eastAsia="Times New Roman" w:hint="default"/>
                <w:sz w:val="20"/>
                <w:szCs w:val="20"/>
              </w:rPr>
            </w:pPr>
            <w:r>
              <w:rPr>
                <w:rFonts w:ascii="Times New Roman"/>
                <w:spacing w:val="-1"/>
                <w:sz w:val="20"/>
              </w:rPr>
              <w:t>40,577,494.19</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1,152,000.00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226,802,332.00</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27,820,000.00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62,594,540.01</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b/>
                <w:spacing w:val="-1"/>
                <w:sz w:val="20"/>
              </w:rPr>
              <w:t>164,663,445.93</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474,533,714.44</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45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215,419,998.44</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166,530,514.82</w:t>
            </w:r>
            <w:r>
              <w:rPr>
                <w:rFonts w:ascii="Times New Roman"/>
                <w:sz w:val="20"/>
              </w:rPr>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spacing w:val="-1"/>
                <w:sz w:val="20"/>
              </w:rPr>
              <w:t>796,997,366.38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16,058,459.16</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39,543,500.00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20"/>
                <w:szCs w:val="20"/>
              </w:rPr>
            </w:pPr>
            <w:r>
              <w:rPr>
                <w:rFonts w:ascii="Times New Roman"/>
                <w:spacing w:val="-1"/>
                <w:sz w:val="20"/>
              </w:rPr>
              <w:t>496,351,248.00</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452,235,967.35</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374,494,540.00</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1,504,196,832.17</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1,053,434,761.98</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171"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b/>
                <w:spacing w:val="-1"/>
                <w:sz w:val="20"/>
              </w:rPr>
              <w:t>-1,339,533,386.24</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-578,901,047.54</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1,934,959,412.16</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1,232,008,000.00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3,408,176,500.00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2,053,976,330.00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619,927,376.66</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654,500,156.75</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5,963,063,288.82</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3,940,484,486.75</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spacing w:val="-1"/>
                <w:sz w:val="20"/>
              </w:rPr>
              <w:t>3,478,976,330.00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2,259,000,000.00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183,672,068.37</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163,438,696.29</w:t>
            </w:r>
            <w:r>
              <w:rPr>
                <w:rFonts w:ascii="Times New Roman"/>
                <w:sz w:val="20"/>
              </w:rPr>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0"/>
                <w:szCs w:val="20"/>
              </w:rPr>
            </w:pPr>
            <w:r>
              <w:rPr>
                <w:rFonts w:ascii="Times New Roman"/>
                <w:spacing w:val="-1"/>
                <w:sz w:val="20"/>
              </w:rPr>
              <w:t>665,497,183.01</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spacing w:val="-1"/>
                <w:sz w:val="20"/>
              </w:rPr>
              <w:t>62,973,691.57</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4,328,145,581.38</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2,485,412,387.86</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171"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1,634,917,707.44</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0"/>
                <w:szCs w:val="20"/>
              </w:rPr>
            </w:pPr>
            <w:r>
              <w:rPr>
                <w:rFonts w:ascii="Times New Roman"/>
                <w:b/>
                <w:spacing w:val="-1"/>
                <w:sz w:val="20"/>
              </w:rPr>
              <w:t>1,455,072,098.89</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5,050,130.58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-3,731,125.31</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0"/>
                <w:szCs w:val="20"/>
              </w:rPr>
            </w:pPr>
            <w:r>
              <w:rPr>
                <w:rFonts w:ascii="Times New Roman"/>
                <w:b/>
                <w:spacing w:val="-1"/>
                <w:sz w:val="20"/>
              </w:rPr>
              <w:t>71,157,140.96</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3"/>
              <w:jc w:val="right"/>
              <w:rPr>
                <w:rFonts w:ascii="Times New Roman" w:hAnsi="Times New Roman" w:cs="Times New Roman" w:eastAsia="Times New Roman" w:hint="default"/>
                <w:sz w:val="20"/>
                <w:szCs w:val="20"/>
              </w:rPr>
            </w:pPr>
            <w:r>
              <w:rPr>
                <w:rFonts w:ascii="Times New Roman"/>
                <w:b/>
                <w:spacing w:val="-1"/>
                <w:sz w:val="20"/>
              </w:rPr>
              <w:t>444,507,974.47</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spacing w:val="-1"/>
                <w:sz w:val="20"/>
              </w:rPr>
              <w:t>779,273,931.14</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spacing w:val="-1"/>
                <w:sz w:val="20"/>
              </w:rPr>
              <w:t>334,765,956.67</w:t>
            </w:r>
            <w:r>
              <w:rPr>
                <w:rFonts w:ascii="Times New Roman"/>
                <w:sz w:val="20"/>
              </w:rPr>
            </w:r>
          </w:p>
        </w:tc>
      </w:tr>
      <w:tr>
        <w:trPr>
          <w:trHeight w:val="308" w:hRule="exact"/>
        </w:trPr>
        <w:tc>
          <w:tcPr>
            <w:tcW w:w="4972"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0"/>
                <w:szCs w:val="20"/>
              </w:rPr>
            </w:pPr>
            <w:r>
              <w:rPr>
                <w:rFonts w:ascii="Times New Roman"/>
                <w:b/>
                <w:spacing w:val="-1"/>
                <w:sz w:val="20"/>
              </w:rPr>
              <w:t>850,431,072.10</w:t>
            </w:r>
            <w:r>
              <w:rPr>
                <w:rFonts w:ascii="Times New Roman"/>
                <w:sz w:val="20"/>
              </w:rPr>
            </w:r>
          </w:p>
        </w:tc>
        <w:tc>
          <w:tcPr>
            <w:tcW w:w="2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0"/>
                <w:szCs w:val="20"/>
              </w:rPr>
            </w:pPr>
            <w:r>
              <w:rPr>
                <w:rFonts w:ascii="Times New Roman"/>
                <w:b/>
                <w:spacing w:val="-1"/>
                <w:sz w:val="20"/>
              </w:rPr>
              <w:t>779,273,931.14</w:t>
            </w:r>
            <w:r>
              <w:rPr>
                <w:rFonts w:ascii="Times New Roman"/>
                <w:sz w:val="20"/>
              </w:rPr>
            </w:r>
          </w:p>
        </w:tc>
      </w:tr>
    </w:tbl>
    <w:p>
      <w:pPr>
        <w:spacing w:line="240" w:lineRule="auto" w:before="5"/>
        <w:rPr>
          <w:rFonts w:ascii="宋体" w:hAnsi="宋体" w:cs="宋体" w:eastAsia="宋体" w:hint="default"/>
          <w:sz w:val="18"/>
          <w:szCs w:val="18"/>
        </w:rPr>
      </w:pPr>
    </w:p>
    <w:p>
      <w:pPr>
        <w:tabs>
          <w:tab w:pos="3632" w:val="left" w:leader="none"/>
          <w:tab w:pos="7096" w:val="left" w:leader="none"/>
        </w:tabs>
        <w:spacing w:before="35"/>
        <w:ind w:left="273" w:right="107"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财务负责人：孙岷</w:t>
        <w:tab/>
      </w:r>
      <w:r>
        <w:rPr>
          <w:rFonts w:ascii="宋体" w:hAnsi="宋体" w:cs="宋体" w:eastAsia="宋体" w:hint="default"/>
          <w:spacing w:val="-2"/>
          <w:sz w:val="21"/>
          <w:szCs w:val="21"/>
        </w:rPr>
        <w:t>会计机构负责人：甘朝晖</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600" w:bottom="280" w:left="1180" w:right="1040"/>
        </w:sectPr>
      </w:pPr>
    </w:p>
    <w:tbl>
      <w:tblPr>
        <w:tblW w:w="0" w:type="auto"/>
        <w:jc w:val="left"/>
        <w:tblInd w:w="114" w:type="dxa"/>
        <w:tblLayout w:type="fixed"/>
        <w:tblCellMar>
          <w:top w:w="0" w:type="dxa"/>
          <w:left w:w="0" w:type="dxa"/>
          <w:bottom w:w="0" w:type="dxa"/>
          <w:right w:w="0" w:type="dxa"/>
        </w:tblCellMar>
        <w:tblLook w:val="01E0"/>
      </w:tblPr>
      <w:tblGrid>
        <w:gridCol w:w="1975"/>
        <w:gridCol w:w="1977"/>
        <w:gridCol w:w="1340"/>
        <w:gridCol w:w="1476"/>
        <w:gridCol w:w="578"/>
        <w:gridCol w:w="1340"/>
        <w:gridCol w:w="1476"/>
        <w:gridCol w:w="1312"/>
        <w:gridCol w:w="1476"/>
        <w:gridCol w:w="1475"/>
      </w:tblGrid>
      <w:tr>
        <w:trPr>
          <w:trHeight w:val="262" w:hRule="exact"/>
        </w:trPr>
        <w:tc>
          <w:tcPr>
            <w:tcW w:w="1975" w:type="dxa"/>
            <w:vMerge w:val="restart"/>
            <w:tcBorders>
              <w:top w:val="single" w:sz="12" w:space="0" w:color="000000"/>
              <w:left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977"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7523" w:type="dxa"/>
            <w:gridSpan w:val="6"/>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归属于母公司的股东权益</w:t>
            </w:r>
            <w:r>
              <w:rPr>
                <w:rFonts w:ascii="宋体" w:hAnsi="宋体" w:cs="宋体" w:eastAsia="宋体" w:hint="default"/>
                <w:sz w:val="18"/>
                <w:szCs w:val="18"/>
              </w:rPr>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475" w:type="dxa"/>
            <w:vMerge w:val="restart"/>
            <w:tcBorders>
              <w:top w:val="single" w:sz="12"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6" w:hRule="exact"/>
        </w:trPr>
        <w:tc>
          <w:tcPr>
            <w:tcW w:w="1975" w:type="dxa"/>
            <w:vMerge/>
            <w:tcBorders>
              <w:left w:val="single" w:sz="12" w:space="0" w:color="000000"/>
              <w:right w:val="nil" w:sz="6" w:space="0" w:color="auto"/>
            </w:tcBorders>
          </w:tcPr>
          <w:p>
            <w:pPr/>
          </w:p>
        </w:tc>
        <w:tc>
          <w:tcPr>
            <w:tcW w:w="1977" w:type="dxa"/>
            <w:vMerge/>
            <w:tcBorders>
              <w:left w:val="nil" w:sz="6" w:space="0" w:color="auto"/>
              <w:right w:val="single" w:sz="6" w:space="0" w:color="000000"/>
            </w:tcBorders>
          </w:tcPr>
          <w:p>
            <w:pP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78"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2" w:type="dxa"/>
            <w:tcBorders>
              <w:top w:val="single" w:sz="6" w:space="0" w:color="000000"/>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475" w:type="dxa"/>
            <w:vMerge/>
            <w:tcBorders>
              <w:left w:val="single" w:sz="6" w:space="0" w:color="000000"/>
              <w:right w:val="single" w:sz="12" w:space="0" w:color="000000"/>
            </w:tcBorders>
          </w:tcPr>
          <w:p>
            <w:pPr/>
          </w:p>
        </w:tc>
      </w:tr>
      <w:tr>
        <w:trPr>
          <w:trHeight w:val="240" w:hRule="exact"/>
        </w:trPr>
        <w:tc>
          <w:tcPr>
            <w:tcW w:w="1975" w:type="dxa"/>
            <w:vMerge/>
            <w:tcBorders>
              <w:left w:val="single" w:sz="12" w:space="0" w:color="000000"/>
              <w:right w:val="nil" w:sz="6" w:space="0" w:color="auto"/>
            </w:tcBorders>
          </w:tcPr>
          <w:p>
            <w:pPr/>
          </w:p>
        </w:tc>
        <w:tc>
          <w:tcPr>
            <w:tcW w:w="1977" w:type="dxa"/>
            <w:vMerge/>
            <w:tcBorders>
              <w:left w:val="nil" w:sz="6" w:space="0" w:color="auto"/>
              <w:right w:val="single" w:sz="6" w:space="0" w:color="000000"/>
            </w:tcBorders>
          </w:tcPr>
          <w:p>
            <w:pP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436" w:right="0"/>
              <w:jc w:val="left"/>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b/>
                <w:bCs/>
                <w:spacing w:val="-2"/>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sz w:val="18"/>
                <w:szCs w:val="18"/>
              </w:rPr>
            </w: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12"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vMerge/>
            <w:tcBorders>
              <w:left w:val="single" w:sz="6" w:space="0" w:color="000000"/>
              <w:right w:val="single" w:sz="6" w:space="0" w:color="000000"/>
            </w:tcBorders>
          </w:tcPr>
          <w:p>
            <w:pPr/>
          </w:p>
        </w:tc>
        <w:tc>
          <w:tcPr>
            <w:tcW w:w="1475" w:type="dxa"/>
            <w:vMerge/>
            <w:tcBorders>
              <w:left w:val="single" w:sz="6" w:space="0" w:color="000000"/>
              <w:right w:val="single" w:sz="12" w:space="0" w:color="000000"/>
            </w:tcBorders>
          </w:tcPr>
          <w:p>
            <w:pPr/>
          </w:p>
        </w:tc>
      </w:tr>
      <w:tr>
        <w:trPr>
          <w:trHeight w:val="240" w:hRule="exact"/>
        </w:trPr>
        <w:tc>
          <w:tcPr>
            <w:tcW w:w="1975" w:type="dxa"/>
            <w:vMerge/>
            <w:tcBorders>
              <w:left w:val="single" w:sz="12" w:space="0" w:color="000000"/>
              <w:bottom w:val="single" w:sz="6" w:space="0" w:color="000000"/>
              <w:right w:val="nil" w:sz="6" w:space="0" w:color="auto"/>
            </w:tcBorders>
          </w:tcPr>
          <w:p>
            <w:pPr/>
          </w:p>
        </w:tc>
        <w:tc>
          <w:tcPr>
            <w:tcW w:w="1977" w:type="dxa"/>
            <w:vMerge/>
            <w:tcBorders>
              <w:left w:val="nil" w:sz="6" w:space="0" w:color="auto"/>
              <w:bottom w:val="single" w:sz="6" w:space="0" w:color="000000"/>
              <w:right w:val="single" w:sz="6" w:space="0" w:color="000000"/>
            </w:tcBorders>
          </w:tcPr>
          <w:p>
            <w:pP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78"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2"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5" w:type="dxa"/>
            <w:vMerge/>
            <w:tcBorders>
              <w:left w:val="single" w:sz="6" w:space="0" w:color="000000"/>
              <w:bottom w:val="single" w:sz="6" w:space="0" w:color="000000"/>
              <w:right w:val="single" w:sz="12" w:space="0" w:color="000000"/>
            </w:tcBorders>
          </w:tcPr>
          <w:p>
            <w:pP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628,612,295.00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3,553,580,033.03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377,633,272.41</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1,007,811,569.76</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-7,167,943.59</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1,425,854,180.27</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6,986,323,406.88</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628,612,295.00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3,553,580,033.03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377,633,272.41</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1,007,811,569.76</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-7,167,943.59</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1,425,854,180.27</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6,986,323,406.88</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348,358,259.00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958,256,165.94</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25,142,682.07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166,162,877.80</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-12,261,184.97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Times New Roman" w:hAnsi="Times New Roman" w:cs="Times New Roman" w:eastAsia="Times New Roman" w:hint="default"/>
                <w:sz w:val="18"/>
                <w:szCs w:val="18"/>
              </w:rPr>
            </w:pPr>
            <w:r>
              <w:rPr>
                <w:rFonts w:ascii="Times New Roman"/>
                <w:b/>
                <w:spacing w:val="-1"/>
                <w:sz w:val="18"/>
              </w:rPr>
              <w:t>-32,059,597.53</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18"/>
                <w:szCs w:val="18"/>
              </w:rPr>
            </w:pPr>
            <w:r>
              <w:rPr>
                <w:rFonts w:ascii="Times New Roman"/>
                <w:b/>
                <w:spacing w:val="-1"/>
                <w:sz w:val="18"/>
              </w:rPr>
              <w:t>1,453,599,202.31</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251,426,820.71</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145,797,125.46</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397,223,946.17</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-612,815,238.71</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5"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-12,261,184.97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-142,617,117.13</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-767,693,540.81</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-21,262,456.16</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-21,262,456.16</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权益法下被投资单位其他股东权益变动的影响</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-595,681,380.40</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-104,873,129.08</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-700,554,509.48</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3,189,368.42</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3,189,368.42</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Times New Roman" w:hAnsi="Times New Roman" w:cs="Times New Roman" w:eastAsia="Times New Roman" w:hint="default"/>
                <w:sz w:val="18"/>
                <w:szCs w:val="18"/>
              </w:rPr>
            </w:pPr>
            <w:r>
              <w:rPr>
                <w:rFonts w:ascii="Times New Roman"/>
                <w:sz w:val="18"/>
              </w:rPr>
              <w:t>939,229.43</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-12,261,184.97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-37,743,988.05</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-49,065,943.59</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-612,815,238.71</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251,426,820.71</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-12,261,184.97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3,180,008.33</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-370,469,594.64</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122,903,516.00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1,796,526,147.65</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8,524,591.55</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18"/>
                <w:szCs w:val="18"/>
              </w:rPr>
            </w:pPr>
            <w:r>
              <w:rPr>
                <w:rFonts w:ascii="Times New Roman"/>
                <w:b/>
                <w:spacing w:val="-1"/>
                <w:sz w:val="18"/>
              </w:rPr>
              <w:t>1,927,954,255.20</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122,903,516.00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1,796,526,147.65</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162,760,618.47</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2,082,190,282.12</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-154,236,026.92</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-154,236,026.92</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25,142,682.07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-85,263,942.91</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-43,764,197.41</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-103,885,458.25</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25,142,682.07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-25,142,682.07</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-60,121,260.84</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-43,764,197.41</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-103,885,458.25</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225,454,743.00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-225,454,743.00</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225,454,743.00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-225,454,743.00</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63" w:hRule="exact"/>
        </w:trPr>
        <w:tc>
          <w:tcPr>
            <w:tcW w:w="3952"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4,511,836,198.97</w:t>
            </w:r>
            <w:r>
              <w:rPr>
                <w:rFonts w:ascii="Times New Roman"/>
                <w:spacing w:val="-1"/>
                <w:sz w:val="18"/>
              </w:rPr>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402,775,954.48</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1,173,974,447.56</w:t>
            </w:r>
            <w:r>
              <w:rPr>
                <w:rFonts w:ascii="Times New Roman"/>
                <w:spacing w:val="-1"/>
                <w:sz w:val="18"/>
              </w:rPr>
            </w:r>
          </w:p>
        </w:tc>
        <w:tc>
          <w:tcPr>
            <w:tcW w:w="1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-19,429,128.56</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1,393,794,582.74</w:t>
            </w:r>
            <w:r>
              <w:rPr>
                <w:rFonts w:ascii="Times New Roman"/>
                <w:spacing w:val="-1"/>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8,439,922,609.19</w:t>
            </w:r>
            <w:r>
              <w:rPr>
                <w:rFonts w:ascii="Times New Roman"/>
                <w:spacing w:val="-1"/>
                <w:sz w:val="18"/>
              </w:rPr>
            </w:r>
          </w:p>
        </w:tc>
      </w:tr>
    </w:tbl>
    <w:p>
      <w:pPr>
        <w:tabs>
          <w:tab w:pos="7259" w:val="left" w:leader="none"/>
          <w:tab w:pos="11653"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pacing w:val="-3"/>
          <w:sz w:val="21"/>
          <w:szCs w:val="21"/>
        </w:rPr>
        <w:t>法定代表人：荣泳霖</w:t>
        <w:tab/>
        <w:t>财务负责人：孙岷</w:t>
        <w:tab/>
      </w:r>
      <w:r>
        <w:rPr>
          <w:rFonts w:ascii="宋体" w:hAnsi="宋体" w:cs="宋体" w:eastAsia="宋体" w:hint="default"/>
          <w:sz w:val="21"/>
          <w:szCs w:val="21"/>
        </w:rPr>
        <w:t>会计机构负责人：甘朝晖</w:t>
      </w:r>
    </w:p>
    <w:p>
      <w:pPr>
        <w:spacing w:after="0" w:line="240" w:lineRule="exact"/>
        <w:jc w:val="left"/>
        <w:rPr>
          <w:rFonts w:ascii="宋体" w:hAnsi="宋体" w:cs="宋体" w:eastAsia="宋体" w:hint="default"/>
          <w:sz w:val="21"/>
          <w:szCs w:val="21"/>
        </w:rPr>
        <w:sectPr>
          <w:headerReference w:type="default" r:id="rId30"/>
          <w:footerReference w:type="default" r:id="rId31"/>
          <w:pgSz w:w="16840" w:h="11910" w:orient="landscape"/>
          <w:pgMar w:header="610" w:footer="780" w:top="2300" w:bottom="980" w:left="1180" w:right="960"/>
          <w:pgNumType w:start="76"/>
        </w:sectPr>
      </w:pPr>
    </w:p>
    <w:tbl>
      <w:tblPr>
        <w:tblW w:w="0" w:type="auto"/>
        <w:jc w:val="left"/>
        <w:tblInd w:w="114" w:type="dxa"/>
        <w:tblLayout w:type="fixed"/>
        <w:tblCellMar>
          <w:top w:w="0" w:type="dxa"/>
          <w:left w:w="0" w:type="dxa"/>
          <w:bottom w:w="0" w:type="dxa"/>
          <w:right w:w="0" w:type="dxa"/>
        </w:tblCellMar>
        <w:tblLook w:val="01E0"/>
      </w:tblPr>
      <w:tblGrid>
        <w:gridCol w:w="1975"/>
        <w:gridCol w:w="1977"/>
        <w:gridCol w:w="1340"/>
        <w:gridCol w:w="1476"/>
        <w:gridCol w:w="578"/>
        <w:gridCol w:w="1340"/>
        <w:gridCol w:w="1476"/>
        <w:gridCol w:w="1222"/>
        <w:gridCol w:w="1476"/>
        <w:gridCol w:w="1475"/>
      </w:tblGrid>
      <w:tr>
        <w:trPr>
          <w:trHeight w:val="262" w:hRule="exact"/>
        </w:trPr>
        <w:tc>
          <w:tcPr>
            <w:tcW w:w="1975" w:type="dxa"/>
            <w:vMerge w:val="restart"/>
            <w:tcBorders>
              <w:top w:val="single" w:sz="12" w:space="0" w:color="000000"/>
              <w:left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977"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7433" w:type="dxa"/>
            <w:gridSpan w:val="6"/>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归属于母公司的股东权益</w:t>
            </w:r>
            <w:r>
              <w:rPr>
                <w:rFonts w:ascii="宋体" w:hAnsi="宋体" w:cs="宋体" w:eastAsia="宋体" w:hint="default"/>
                <w:sz w:val="18"/>
                <w:szCs w:val="18"/>
              </w:rPr>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475" w:type="dxa"/>
            <w:vMerge w:val="restart"/>
            <w:tcBorders>
              <w:top w:val="single" w:sz="12"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6" w:hRule="exact"/>
        </w:trPr>
        <w:tc>
          <w:tcPr>
            <w:tcW w:w="1975" w:type="dxa"/>
            <w:vMerge/>
            <w:tcBorders>
              <w:left w:val="single" w:sz="12" w:space="0" w:color="000000"/>
              <w:right w:val="nil" w:sz="6" w:space="0" w:color="auto"/>
            </w:tcBorders>
          </w:tcPr>
          <w:p>
            <w:pPr/>
          </w:p>
        </w:tc>
        <w:tc>
          <w:tcPr>
            <w:tcW w:w="1977" w:type="dxa"/>
            <w:vMerge/>
            <w:tcBorders>
              <w:left w:val="nil" w:sz="6" w:space="0" w:color="auto"/>
              <w:right w:val="single" w:sz="6" w:space="0" w:color="000000"/>
            </w:tcBorders>
          </w:tcPr>
          <w:p>
            <w:pP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78"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222" w:type="dxa"/>
            <w:tcBorders>
              <w:top w:val="single" w:sz="6" w:space="0" w:color="000000"/>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475" w:type="dxa"/>
            <w:vMerge/>
            <w:tcBorders>
              <w:left w:val="single" w:sz="6" w:space="0" w:color="000000"/>
              <w:right w:val="single" w:sz="12" w:space="0" w:color="000000"/>
            </w:tcBorders>
          </w:tcPr>
          <w:p>
            <w:pPr/>
          </w:p>
        </w:tc>
      </w:tr>
      <w:tr>
        <w:trPr>
          <w:trHeight w:val="240" w:hRule="exact"/>
        </w:trPr>
        <w:tc>
          <w:tcPr>
            <w:tcW w:w="1975" w:type="dxa"/>
            <w:vMerge/>
            <w:tcBorders>
              <w:left w:val="single" w:sz="12" w:space="0" w:color="000000"/>
              <w:right w:val="nil" w:sz="6" w:space="0" w:color="auto"/>
            </w:tcBorders>
          </w:tcPr>
          <w:p>
            <w:pPr/>
          </w:p>
        </w:tc>
        <w:tc>
          <w:tcPr>
            <w:tcW w:w="1977" w:type="dxa"/>
            <w:vMerge/>
            <w:tcBorders>
              <w:left w:val="nil" w:sz="6" w:space="0" w:color="auto"/>
              <w:right w:val="single" w:sz="6" w:space="0" w:color="000000"/>
            </w:tcBorders>
          </w:tcPr>
          <w:p>
            <w:pP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436" w:right="0"/>
              <w:jc w:val="left"/>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b/>
                <w:bCs/>
                <w:spacing w:val="-2"/>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sz w:val="18"/>
                <w:szCs w:val="18"/>
              </w:rPr>
            </w: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222"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vMerge/>
            <w:tcBorders>
              <w:left w:val="single" w:sz="6" w:space="0" w:color="000000"/>
              <w:right w:val="single" w:sz="6" w:space="0" w:color="000000"/>
            </w:tcBorders>
          </w:tcPr>
          <w:p>
            <w:pPr/>
          </w:p>
        </w:tc>
        <w:tc>
          <w:tcPr>
            <w:tcW w:w="1475" w:type="dxa"/>
            <w:vMerge/>
            <w:tcBorders>
              <w:left w:val="single" w:sz="6" w:space="0" w:color="000000"/>
              <w:right w:val="single" w:sz="12" w:space="0" w:color="000000"/>
            </w:tcBorders>
          </w:tcPr>
          <w:p>
            <w:pPr/>
          </w:p>
        </w:tc>
      </w:tr>
      <w:tr>
        <w:trPr>
          <w:trHeight w:val="240" w:hRule="exact"/>
        </w:trPr>
        <w:tc>
          <w:tcPr>
            <w:tcW w:w="1975" w:type="dxa"/>
            <w:vMerge/>
            <w:tcBorders>
              <w:left w:val="single" w:sz="12" w:space="0" w:color="000000"/>
              <w:bottom w:val="single" w:sz="6" w:space="0" w:color="000000"/>
              <w:right w:val="nil" w:sz="6" w:space="0" w:color="auto"/>
            </w:tcBorders>
          </w:tcPr>
          <w:p>
            <w:pPr/>
          </w:p>
        </w:tc>
        <w:tc>
          <w:tcPr>
            <w:tcW w:w="1977" w:type="dxa"/>
            <w:vMerge/>
            <w:tcBorders>
              <w:left w:val="nil" w:sz="6" w:space="0" w:color="auto"/>
              <w:bottom w:val="single" w:sz="6" w:space="0" w:color="000000"/>
              <w:right w:val="single" w:sz="6" w:space="0" w:color="000000"/>
            </w:tcBorders>
          </w:tcPr>
          <w:p>
            <w:pP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78"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222"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5" w:type="dxa"/>
            <w:vMerge/>
            <w:tcBorders>
              <w:left w:val="single" w:sz="6" w:space="0" w:color="000000"/>
              <w:bottom w:val="single" w:sz="6" w:space="0" w:color="000000"/>
              <w:right w:val="single" w:sz="12" w:space="0" w:color="000000"/>
            </w:tcBorders>
          </w:tcPr>
          <w:p>
            <w:pP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574,612,295.00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1,641,431,719.06</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333,558,284.60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620,913,103.07</w:t>
            </w:r>
            <w:r>
              <w:rPr>
                <w:rFonts w:ascii="Times New Roman"/>
                <w:spacing w:val="-1"/>
                <w:sz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-2,265,695.74</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1,171,711,643.35</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4,339,961,349.34</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152,268,422.04</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47,684,805.86</w:t>
            </w:r>
          </w:p>
        </w:tc>
        <w:tc>
          <w:tcPr>
            <w:tcW w:w="122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15,784,217.44</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215,737,445.34</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574,612,295.00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1,793,700,141.10</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333,558,284.60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668,597,908.93</w:t>
            </w:r>
            <w:r>
              <w:rPr>
                <w:rFonts w:ascii="Times New Roman"/>
                <w:spacing w:val="-1"/>
                <w:sz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-2,265,695.74</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1,187,495,860.79</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4,555,698,794.68</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54,000,000.00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1,759,879,891.93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44,074,987.81</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339,213,660.83</w:t>
            </w:r>
            <w:r>
              <w:rPr>
                <w:rFonts w:ascii="Times New Roman"/>
                <w:spacing w:val="-1"/>
                <w:sz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-4,902,247.85</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238,358,319.48</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2,430,624,612.20</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5"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440,749,878.14</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196,430,476.43</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637,180,354.57</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585,079,891.93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-4,902,247.85</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24,729,549.48</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604,907,193.56</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权益法下被投资单位其他股东权益变动的影响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582,489,891.93</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5"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20,496,350.16</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602,986,242.09</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2,590,000.00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5"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-4,902,247.85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4,233,199.32</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1,920,951.47</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585,079,891.93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5"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Times New Roman" w:hAnsi="Times New Roman" w:cs="Times New Roman" w:eastAsia="Times New Roman" w:hint="default"/>
                <w:sz w:val="18"/>
                <w:szCs w:val="18"/>
              </w:rPr>
            </w:pPr>
            <w:r>
              <w:rPr>
                <w:rFonts w:ascii="Times New Roman"/>
                <w:b/>
                <w:spacing w:val="-1"/>
                <w:sz w:val="18"/>
              </w:rPr>
              <w:t>440,749,878.14</w:t>
            </w:r>
            <w:r>
              <w:rPr>
                <w:rFonts w:ascii="Times New Roman"/>
                <w:spacing w:val="-1"/>
                <w:sz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-4,902,247.85</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221,160,025.91</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18"/>
                <w:szCs w:val="18"/>
              </w:rPr>
            </w:pPr>
            <w:r>
              <w:rPr>
                <w:rFonts w:ascii="Times New Roman"/>
                <w:b/>
                <w:spacing w:val="-1"/>
                <w:sz w:val="18"/>
              </w:rPr>
              <w:t>1,242,087,548.13</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54,000,000.00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1,174,800,000.00</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74,284,682.35</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18"/>
                <w:szCs w:val="18"/>
              </w:rPr>
            </w:pPr>
            <w:r>
              <w:rPr>
                <w:rFonts w:ascii="Times New Roman"/>
                <w:b/>
                <w:spacing w:val="-1"/>
                <w:sz w:val="18"/>
              </w:rPr>
              <w:t>1,303,084,682.35</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54,000,000.00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1,174,800,000.00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35,260,859.33</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1,264,060,859.33</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39,023,823.02</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39,023,823.02</w:t>
            </w:r>
            <w:r>
              <w:rPr>
                <w:rFonts w:ascii="Times New Roman"/>
                <w:spacing w:val="-1"/>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44,074,987.81</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-101,536,217.31</w:t>
            </w:r>
            <w:r>
              <w:rPr>
                <w:rFonts w:ascii="Times New Roman"/>
                <w:spacing w:val="-1"/>
                <w:sz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-57,086,388.78</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-114,547,618.28</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44,074,987.81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-44,074,987.81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-57,461,229.50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-57,086,388.78</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-114,547,618.28</w:t>
            </w:r>
            <w:r>
              <w:rPr>
                <w:rFonts w:ascii="Times New Roman"/>
                <w:spacing w:val="-1"/>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5"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63" w:hRule="exact"/>
        </w:trPr>
        <w:tc>
          <w:tcPr>
            <w:tcW w:w="3952"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628,612,295.00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3,553,580,033.03</w:t>
            </w:r>
            <w:r>
              <w:rPr>
                <w:rFonts w:ascii="Times New Roman"/>
                <w:spacing w:val="-1"/>
                <w:sz w:val="18"/>
              </w:rPr>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377,633,272.41</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1,007,811,569.76</w:t>
            </w:r>
            <w:r>
              <w:rPr>
                <w:rFonts w:ascii="Times New Roman"/>
                <w:spacing w:val="-1"/>
                <w:sz w:val="18"/>
              </w:rPr>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-7,167,943.59</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1,425,854,180.27</w:t>
            </w:r>
            <w:r>
              <w:rPr>
                <w:rFonts w:ascii="Times New Roman"/>
                <w:spacing w:val="-1"/>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6,986,323,406.88</w:t>
            </w:r>
            <w:r>
              <w:rPr>
                <w:rFonts w:ascii="Times New Roman"/>
                <w:spacing w:val="-1"/>
                <w:sz w:val="18"/>
              </w:rPr>
            </w:r>
          </w:p>
        </w:tc>
      </w:tr>
    </w:tbl>
    <w:p>
      <w:pPr>
        <w:tabs>
          <w:tab w:pos="7259" w:val="left" w:leader="none"/>
          <w:tab w:pos="11653"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pacing w:val="-3"/>
          <w:sz w:val="21"/>
          <w:szCs w:val="21"/>
        </w:rPr>
        <w:t>法定代表人：荣泳霖</w:t>
        <w:tab/>
        <w:t>财务负责人：孙岷</w:t>
        <w:tab/>
      </w:r>
      <w:r>
        <w:rPr>
          <w:rFonts w:ascii="宋体" w:hAnsi="宋体" w:cs="宋体" w:eastAsia="宋体" w:hint="default"/>
          <w:sz w:val="21"/>
          <w:szCs w:val="21"/>
        </w:rPr>
        <w:t>会计机构负责人：甘朝晖</w:t>
      </w:r>
    </w:p>
    <w:p>
      <w:pPr>
        <w:spacing w:after="0" w:line="240" w:lineRule="exact"/>
        <w:jc w:val="left"/>
        <w:rPr>
          <w:rFonts w:ascii="宋体" w:hAnsi="宋体" w:cs="宋体" w:eastAsia="宋体" w:hint="default"/>
          <w:sz w:val="21"/>
          <w:szCs w:val="21"/>
        </w:rPr>
        <w:sectPr>
          <w:headerReference w:type="default" r:id="rId32"/>
          <w:pgSz w:w="16840" w:h="11910" w:orient="landscape"/>
          <w:pgMar w:header="610" w:footer="780" w:top="2300" w:bottom="980" w:left="1180" w:right="1060"/>
        </w:sectPr>
      </w:pPr>
    </w:p>
    <w:tbl>
      <w:tblPr>
        <w:tblW w:w="0" w:type="auto"/>
        <w:jc w:val="left"/>
        <w:tblInd w:w="114" w:type="dxa"/>
        <w:tblLayout w:type="fixed"/>
        <w:tblCellMar>
          <w:top w:w="0" w:type="dxa"/>
          <w:left w:w="0" w:type="dxa"/>
          <w:bottom w:w="0" w:type="dxa"/>
          <w:right w:w="0" w:type="dxa"/>
        </w:tblCellMar>
        <w:tblLook w:val="01E0"/>
      </w:tblPr>
      <w:tblGrid>
        <w:gridCol w:w="3952"/>
        <w:gridCol w:w="1458"/>
        <w:gridCol w:w="1476"/>
        <w:gridCol w:w="1194"/>
        <w:gridCol w:w="1459"/>
        <w:gridCol w:w="1460"/>
        <w:gridCol w:w="1460"/>
        <w:gridCol w:w="1475"/>
      </w:tblGrid>
      <w:tr>
        <w:trPr>
          <w:trHeight w:val="262" w:hRule="exact"/>
        </w:trPr>
        <w:tc>
          <w:tcPr>
            <w:tcW w:w="3952" w:type="dxa"/>
            <w:tcBorders>
              <w:top w:val="single" w:sz="12" w:space="0" w:color="000000"/>
              <w:left w:val="single" w:sz="12" w:space="0" w:color="000000"/>
              <w:bottom w:val="single" w:sz="6" w:space="0" w:color="000000"/>
              <w:right w:val="single" w:sz="6" w:space="0" w:color="000000"/>
            </w:tcBorders>
          </w:tcPr>
          <w:p>
            <w:pP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b/>
                <w:bCs/>
                <w:spacing w:val="-2"/>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94"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136"/>
              <w:jc w:val="right"/>
              <w:rPr>
                <w:rFonts w:ascii="宋体" w:hAnsi="宋体" w:cs="宋体" w:eastAsia="宋体" w:hint="default"/>
                <w:sz w:val="18"/>
                <w:szCs w:val="18"/>
              </w:rPr>
            </w:pPr>
            <w:r>
              <w:rPr>
                <w:rFonts w:ascii="宋体" w:hAnsi="宋体" w:cs="宋体" w:eastAsia="宋体" w:hint="default"/>
                <w:b/>
                <w:bCs/>
                <w:w w:val="95"/>
                <w:sz w:val="18"/>
                <w:szCs w:val="18"/>
              </w:rPr>
              <w:t>减：库存股</w:t>
            </w:r>
            <w:r>
              <w:rPr>
                <w:rFonts w:ascii="宋体" w:hAnsi="宋体" w:cs="宋体" w:eastAsia="宋体" w:hint="default"/>
                <w:sz w:val="18"/>
                <w:szCs w:val="18"/>
              </w:rPr>
            </w:r>
          </w:p>
        </w:tc>
        <w:tc>
          <w:tcPr>
            <w:tcW w:w="1459"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left="35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60"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left="269"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60"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5" w:type="dxa"/>
            <w:tcBorders>
              <w:top w:val="single" w:sz="12" w:space="0" w:color="000000"/>
              <w:left w:val="single" w:sz="6" w:space="0" w:color="000000"/>
              <w:bottom w:val="single" w:sz="6" w:space="0" w:color="000000"/>
              <w:right w:val="single" w:sz="12" w:space="0" w:color="000000"/>
            </w:tcBorders>
          </w:tcPr>
          <w:p>
            <w:pPr>
              <w:pStyle w:val="TableParagraph"/>
              <w:spacing w:line="217"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628,612,295.00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3,304,092,884.74</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377,633,272.41</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-185,584,787.21</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4,124,753,664.94</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628,612,295.00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3,304,092,884.74</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377,633,272.41</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-185,584,787.21</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4,124,753,664.94</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348,358,259.00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1,002,880,264.59</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25,142,682.07</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21,715,947.61</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1,398,097,153.27</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20,333,751.69</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20,333,751.69</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-568,191,140.06</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86,646,138.83</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-481,545,001.23</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-21,262,456.16</w:t>
            </w: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-21,262,456.16</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权益法下被投资单位其他股东权益变动的影响</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-563,553,899.04</w:t>
            </w: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-563,553,899.04</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3,189,368.42</w:t>
            </w: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3,189,368.42</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13,435,846.72</w:t>
            </w: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86,646,138.83</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100,081,985.55</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-568,191,140.06</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106,979,890.52</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-461,211,249.54</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122,903,516.00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1,796,526,147.65</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18"/>
                <w:szCs w:val="18"/>
              </w:rPr>
            </w:pPr>
            <w:r>
              <w:rPr>
                <w:rFonts w:ascii="Times New Roman"/>
                <w:b/>
                <w:spacing w:val="-1"/>
                <w:sz w:val="18"/>
              </w:rPr>
              <w:t>1,919,429,663.65</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122,903,516.00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1,796,526,147.65</w:t>
            </w: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18"/>
                <w:szCs w:val="18"/>
              </w:rPr>
            </w:pPr>
            <w:r>
              <w:rPr>
                <w:rFonts w:ascii="Times New Roman"/>
                <w:b/>
                <w:spacing w:val="-1"/>
                <w:sz w:val="18"/>
              </w:rPr>
              <w:t>1,919,429,663.65</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25,142,682.07</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-85,263,942.91</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18"/>
                <w:szCs w:val="18"/>
              </w:rPr>
            </w:pPr>
            <w:r>
              <w:rPr>
                <w:rFonts w:ascii="Times New Roman"/>
                <w:b/>
                <w:spacing w:val="-1"/>
                <w:sz w:val="18"/>
              </w:rPr>
              <w:t>-60,121,260.84</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25,142,682.07</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-25,142,682.07</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-60,121,260.84</w:t>
            </w: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-60,121,260.84</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225,454,743.00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-225,454,743.00</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225,454,743.00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-225,454,743.00</w:t>
            </w: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4,306,973,149.33</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402,775,954.48</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-163,868,839.60</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5,522,850,818.21</w:t>
            </w:r>
            <w:r>
              <w:rPr>
                <w:rFonts w:ascii="Times New Roman"/>
                <w:spacing w:val="-1"/>
                <w:sz w:val="18"/>
              </w:rPr>
            </w:r>
          </w:p>
        </w:tc>
      </w:tr>
      <w:tr>
        <w:trPr>
          <w:trHeight w:val="263" w:hRule="exact"/>
        </w:trPr>
        <w:tc>
          <w:tcPr>
            <w:tcW w:w="3952" w:type="dxa"/>
            <w:tcBorders>
              <w:top w:val="single" w:sz="6" w:space="0" w:color="000000"/>
              <w:left w:val="single" w:sz="12" w:space="0" w:color="000000"/>
              <w:bottom w:val="single" w:sz="12" w:space="0" w:color="000000"/>
              <w:right w:val="single" w:sz="6" w:space="0" w:color="000000"/>
            </w:tcBorders>
          </w:tcPr>
          <w:p>
            <w:pPr/>
          </w:p>
        </w:tc>
        <w:tc>
          <w:tcPr>
            <w:tcW w:w="1458"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1194" w:type="dxa"/>
            <w:tcBorders>
              <w:top w:val="single" w:sz="6" w:space="0" w:color="000000"/>
              <w:left w:val="single" w:sz="6" w:space="0" w:color="000000"/>
              <w:bottom w:val="single" w:sz="12" w:space="0" w:color="000000"/>
              <w:right w:val="single" w:sz="6" w:space="0" w:color="000000"/>
            </w:tcBorders>
          </w:tcPr>
          <w:p>
            <w:pPr/>
          </w:p>
        </w:tc>
        <w:tc>
          <w:tcPr>
            <w:tcW w:w="1459" w:type="dxa"/>
            <w:tcBorders>
              <w:top w:val="single" w:sz="6" w:space="0" w:color="000000"/>
              <w:left w:val="single" w:sz="6" w:space="0" w:color="000000"/>
              <w:bottom w:val="single" w:sz="12" w:space="0" w:color="000000"/>
              <w:right w:val="single" w:sz="6" w:space="0" w:color="000000"/>
            </w:tcBorders>
          </w:tcPr>
          <w:p>
            <w:pPr/>
          </w:p>
        </w:tc>
        <w:tc>
          <w:tcPr>
            <w:tcW w:w="1460" w:type="dxa"/>
            <w:tcBorders>
              <w:top w:val="single" w:sz="6" w:space="0" w:color="000000"/>
              <w:left w:val="single" w:sz="6" w:space="0" w:color="000000"/>
              <w:bottom w:val="single" w:sz="12" w:space="0" w:color="000000"/>
              <w:right w:val="single" w:sz="6" w:space="0" w:color="000000"/>
            </w:tcBorders>
          </w:tcPr>
          <w:p>
            <w:pPr/>
          </w:p>
        </w:tc>
        <w:tc>
          <w:tcPr>
            <w:tcW w:w="1460" w:type="dxa"/>
            <w:tcBorders>
              <w:top w:val="single" w:sz="6" w:space="0" w:color="000000"/>
              <w:left w:val="single" w:sz="6" w:space="0" w:color="000000"/>
              <w:bottom w:val="single" w:sz="12" w:space="0" w:color="000000"/>
              <w:right w:val="single" w:sz="6" w:space="0" w:color="000000"/>
            </w:tcBorders>
          </w:tcPr>
          <w:p>
            <w:pPr/>
          </w:p>
        </w:tc>
        <w:tc>
          <w:tcPr>
            <w:tcW w:w="1475"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sz w:val="15"/>
          <w:szCs w:val="15"/>
        </w:rPr>
      </w:pPr>
    </w:p>
    <w:p>
      <w:pPr>
        <w:tabs>
          <w:tab w:pos="7259" w:val="left" w:leader="none"/>
          <w:tab w:pos="11655" w:val="left" w:leader="none"/>
        </w:tabs>
        <w:spacing w:before="35"/>
        <w:ind w:left="238" w:right="0" w:firstLine="0"/>
        <w:jc w:val="left"/>
        <w:rPr>
          <w:rFonts w:ascii="宋体" w:hAnsi="宋体" w:cs="宋体" w:eastAsia="宋体" w:hint="default"/>
          <w:sz w:val="21"/>
          <w:szCs w:val="21"/>
        </w:rPr>
      </w:pPr>
      <w:r>
        <w:rPr>
          <w:rFonts w:ascii="宋体" w:hAnsi="宋体" w:cs="宋体" w:eastAsia="宋体" w:hint="default"/>
          <w:spacing w:val="-3"/>
          <w:sz w:val="21"/>
          <w:szCs w:val="21"/>
        </w:rPr>
        <w:t>法定代表人：荣泳霖</w:t>
        <w:tab/>
        <w:t>财务负责人：孙岷</w:t>
        <w:tab/>
      </w:r>
      <w:r>
        <w:rPr>
          <w:rFonts w:ascii="宋体" w:hAnsi="宋体" w:cs="宋体" w:eastAsia="宋体" w:hint="default"/>
          <w:sz w:val="21"/>
          <w:szCs w:val="21"/>
        </w:rPr>
        <w:t>会计机构负责人：甘朝晖</w:t>
      </w:r>
    </w:p>
    <w:p>
      <w:pPr>
        <w:spacing w:after="0"/>
        <w:jc w:val="left"/>
        <w:rPr>
          <w:rFonts w:ascii="宋体" w:hAnsi="宋体" w:cs="宋体" w:eastAsia="宋体" w:hint="default"/>
          <w:sz w:val="21"/>
          <w:szCs w:val="21"/>
        </w:rPr>
        <w:sectPr>
          <w:headerReference w:type="default" r:id="rId33"/>
          <w:pgSz w:w="16840" w:h="11910" w:orient="landscape"/>
          <w:pgMar w:header="610" w:footer="780" w:top="2300" w:bottom="980" w:left="1180" w:right="1460"/>
        </w:sectPr>
      </w:pPr>
    </w:p>
    <w:tbl>
      <w:tblPr>
        <w:tblW w:w="0" w:type="auto"/>
        <w:jc w:val="left"/>
        <w:tblInd w:w="114" w:type="dxa"/>
        <w:tblLayout w:type="fixed"/>
        <w:tblCellMar>
          <w:top w:w="0" w:type="dxa"/>
          <w:left w:w="0" w:type="dxa"/>
          <w:bottom w:w="0" w:type="dxa"/>
          <w:right w:w="0" w:type="dxa"/>
        </w:tblCellMar>
        <w:tblLook w:val="01E0"/>
      </w:tblPr>
      <w:tblGrid>
        <w:gridCol w:w="3952"/>
        <w:gridCol w:w="1458"/>
        <w:gridCol w:w="1476"/>
        <w:gridCol w:w="1194"/>
        <w:gridCol w:w="1459"/>
        <w:gridCol w:w="1460"/>
        <w:gridCol w:w="1460"/>
        <w:gridCol w:w="1475"/>
      </w:tblGrid>
      <w:tr>
        <w:trPr>
          <w:trHeight w:val="262" w:hRule="exact"/>
        </w:trPr>
        <w:tc>
          <w:tcPr>
            <w:tcW w:w="3952" w:type="dxa"/>
            <w:tcBorders>
              <w:top w:val="single" w:sz="12" w:space="0" w:color="000000"/>
              <w:left w:val="single" w:sz="12" w:space="0" w:color="000000"/>
              <w:bottom w:val="single" w:sz="6" w:space="0" w:color="000000"/>
              <w:right w:val="single" w:sz="6" w:space="0" w:color="000000"/>
            </w:tcBorders>
          </w:tcPr>
          <w:p>
            <w:pP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b/>
                <w:bCs/>
                <w:spacing w:val="-2"/>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94"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136"/>
              <w:jc w:val="right"/>
              <w:rPr>
                <w:rFonts w:ascii="宋体" w:hAnsi="宋体" w:cs="宋体" w:eastAsia="宋体" w:hint="default"/>
                <w:sz w:val="18"/>
                <w:szCs w:val="18"/>
              </w:rPr>
            </w:pPr>
            <w:r>
              <w:rPr>
                <w:rFonts w:ascii="宋体" w:hAnsi="宋体" w:cs="宋体" w:eastAsia="宋体" w:hint="default"/>
                <w:b/>
                <w:bCs/>
                <w:w w:val="95"/>
                <w:sz w:val="18"/>
                <w:szCs w:val="18"/>
              </w:rPr>
              <w:t>减：库存股</w:t>
            </w:r>
            <w:r>
              <w:rPr>
                <w:rFonts w:ascii="宋体" w:hAnsi="宋体" w:cs="宋体" w:eastAsia="宋体" w:hint="default"/>
                <w:sz w:val="18"/>
                <w:szCs w:val="18"/>
              </w:rPr>
            </w:r>
          </w:p>
        </w:tc>
        <w:tc>
          <w:tcPr>
            <w:tcW w:w="1459"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left="35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60"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left="269"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60"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5" w:type="dxa"/>
            <w:tcBorders>
              <w:top w:val="single" w:sz="12" w:space="0" w:color="000000"/>
              <w:left w:val="single" w:sz="6" w:space="0" w:color="000000"/>
              <w:bottom w:val="single" w:sz="6" w:space="0" w:color="000000"/>
              <w:right w:val="single" w:sz="12" w:space="0" w:color="000000"/>
            </w:tcBorders>
          </w:tcPr>
          <w:p>
            <w:pPr>
              <w:pStyle w:val="TableParagraph"/>
              <w:spacing w:line="217"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574,612,295.00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1,641,431,719.06</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333,558,284.60</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632,154,804.37</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3,181,757,103.03</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-100,469,755.97</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-860,075,395.59</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-960,545,151.56</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574,612,295.00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1,540,961,963.09</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333,558,284.60</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-227,920,591.22</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2,221,211,951.47</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54,000,000.00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1,763,130,921.65</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44,074,987.81</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42,335,804.01</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1,903,541,713.47</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143,872,021.32</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143,872,021.32</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588,661,896.34</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588,661,896.34</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26,162,291.49</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26,162,291.49</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权益法下被投资单位其他股东权益变动的影响</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563,833,948.57</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563,833,948.57</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-3,924,343.72</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-3,924,343.72</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2,590,000.00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2,590,000.00</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588,661,896.34</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143,872,021.32</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732,533,917.66</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54,000,000.00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1,174,469,025.31</w:t>
            </w:r>
            <w:r>
              <w:rPr>
                <w:rFonts w:ascii="Times New Roman"/>
                <w:spacing w:val="-1"/>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18"/>
                <w:szCs w:val="18"/>
              </w:rPr>
            </w:pPr>
            <w:r>
              <w:rPr>
                <w:rFonts w:ascii="Times New Roman"/>
                <w:b/>
                <w:spacing w:val="-1"/>
                <w:sz w:val="18"/>
              </w:rPr>
              <w:t>1,228,469,025.31</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54,000,000.00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1,174,800,000.00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18"/>
                <w:szCs w:val="18"/>
              </w:rPr>
            </w:pPr>
            <w:r>
              <w:rPr>
                <w:rFonts w:ascii="Times New Roman"/>
                <w:b/>
                <w:spacing w:val="-1"/>
                <w:sz w:val="18"/>
              </w:rPr>
              <w:t>1,228,800,000.00</w:t>
            </w:r>
            <w:r>
              <w:rPr>
                <w:rFonts w:ascii="Times New Roman"/>
                <w:spacing w:val="-1"/>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-330,974.69</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w w:val="95"/>
                <w:sz w:val="18"/>
              </w:rPr>
              <w:t>-330,974.69</w:t>
            </w:r>
            <w:r>
              <w:rPr>
                <w:rFonts w:ascii="Times New Roman"/>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44,074,987.81</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-101,536,217.31</w:t>
            </w:r>
            <w:r>
              <w:rPr>
                <w:rFonts w:ascii="Times New Roman"/>
                <w:spacing w:val="-1"/>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18"/>
                <w:szCs w:val="18"/>
              </w:rPr>
            </w:pPr>
            <w:r>
              <w:rPr>
                <w:rFonts w:ascii="Times New Roman"/>
                <w:b/>
                <w:spacing w:val="-1"/>
                <w:sz w:val="18"/>
              </w:rPr>
              <w:t>-57,461,229.50</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44,074,987.81</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-44,074,987.81</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-57,461,229.50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-57,461,229.50</w:t>
            </w:r>
            <w:r>
              <w:rPr>
                <w:rFonts w:ascii="Times New Roman"/>
                <w:spacing w:val="-1"/>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952"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62" w:hRule="exact"/>
        </w:trPr>
        <w:tc>
          <w:tcPr>
            <w:tcW w:w="3952"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628,612,295.00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3,304,092,884.74</w:t>
            </w:r>
            <w:r>
              <w:rPr>
                <w:rFonts w:ascii="Times New Roman"/>
                <w:spacing w:val="-1"/>
                <w:sz w:val="18"/>
              </w:rPr>
            </w:r>
          </w:p>
        </w:tc>
        <w:tc>
          <w:tcPr>
            <w:tcW w:w="1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377,633,272.41</w:t>
            </w:r>
            <w:r>
              <w:rPr>
                <w:rFonts w:ascii="Times New Roman"/>
                <w:spacing w:val="-1"/>
                <w:sz w:val="18"/>
              </w:rPr>
            </w:r>
          </w:p>
        </w:tc>
        <w:tc>
          <w:tcPr>
            <w:tcW w:w="1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-185,584,787.21</w:t>
            </w:r>
            <w:r>
              <w:rPr>
                <w:rFonts w:ascii="Times New Roman"/>
                <w:spacing w:val="-1"/>
                <w:sz w:val="18"/>
              </w:rPr>
            </w:r>
          </w:p>
        </w:tc>
        <w:tc>
          <w:tcPr>
            <w:tcW w:w="1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4,124,753,664.94</w:t>
            </w:r>
            <w:r>
              <w:rPr>
                <w:rFonts w:ascii="Times New Roman"/>
                <w:spacing w:val="-1"/>
                <w:sz w:val="18"/>
              </w:rPr>
            </w:r>
          </w:p>
        </w:tc>
      </w:tr>
    </w:tbl>
    <w:p>
      <w:pPr>
        <w:spacing w:line="240" w:lineRule="auto" w:before="6"/>
        <w:rPr>
          <w:rFonts w:ascii="宋体" w:hAnsi="宋体" w:cs="宋体" w:eastAsia="宋体" w:hint="default"/>
          <w:sz w:val="15"/>
          <w:szCs w:val="15"/>
        </w:rPr>
      </w:pPr>
    </w:p>
    <w:p>
      <w:pPr>
        <w:tabs>
          <w:tab w:pos="7259" w:val="left" w:leader="none"/>
          <w:tab w:pos="11653" w:val="left" w:leader="none"/>
        </w:tabs>
        <w:spacing w:before="35"/>
        <w:ind w:left="238" w:right="0" w:firstLine="0"/>
        <w:jc w:val="left"/>
        <w:rPr>
          <w:rFonts w:ascii="宋体" w:hAnsi="宋体" w:cs="宋体" w:eastAsia="宋体" w:hint="default"/>
          <w:sz w:val="21"/>
          <w:szCs w:val="21"/>
        </w:rPr>
      </w:pPr>
      <w:r>
        <w:rPr>
          <w:rFonts w:ascii="宋体" w:hAnsi="宋体" w:cs="宋体" w:eastAsia="宋体" w:hint="default"/>
          <w:spacing w:val="-3"/>
          <w:sz w:val="21"/>
          <w:szCs w:val="21"/>
        </w:rPr>
        <w:t>法定代表人：荣泳霖</w:t>
        <w:tab/>
        <w:t>财务负责人：孙岷</w:t>
        <w:tab/>
      </w:r>
      <w:r>
        <w:rPr>
          <w:rFonts w:ascii="宋体" w:hAnsi="宋体" w:cs="宋体" w:eastAsia="宋体" w:hint="default"/>
          <w:sz w:val="21"/>
          <w:szCs w:val="21"/>
        </w:rPr>
        <w:t>会计机构负责人：甘朝晖</w:t>
      </w:r>
    </w:p>
    <w:p>
      <w:pPr>
        <w:spacing w:after="0"/>
        <w:jc w:val="left"/>
        <w:rPr>
          <w:rFonts w:ascii="宋体" w:hAnsi="宋体" w:cs="宋体" w:eastAsia="宋体" w:hint="default"/>
          <w:sz w:val="21"/>
          <w:szCs w:val="21"/>
        </w:rPr>
        <w:sectPr>
          <w:headerReference w:type="default" r:id="rId34"/>
          <w:pgSz w:w="16840" w:h="11910" w:orient="landscape"/>
          <w:pgMar w:header="610" w:footer="780" w:top="2300" w:bottom="980" w:left="118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3"/>
        <w:ind w:right="0"/>
        <w:jc w:val="both"/>
        <w:rPr>
          <w:rFonts w:ascii="黑体" w:hAnsi="黑体" w:cs="黑体" w:eastAsia="黑体" w:hint="default"/>
        </w:rPr>
      </w:pPr>
      <w:r>
        <w:rPr>
          <w:rFonts w:ascii="黑体" w:hAnsi="黑体" w:cs="黑体" w:eastAsia="黑体" w:hint="default"/>
        </w:rPr>
        <w:t>财务报表附注</w:t>
      </w:r>
    </w:p>
    <w:p>
      <w:pPr>
        <w:pStyle w:val="Heading3"/>
        <w:spacing w:line="240" w:lineRule="auto" w:before="76"/>
        <w:ind w:left="618" w:right="6555"/>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一、</w:t>
      </w:r>
      <w:r>
        <w:rPr>
          <w:rFonts w:ascii="Microsoft JhengHei" w:hAnsi="Microsoft JhengHei" w:cs="Microsoft JhengHei" w:eastAsia="Microsoft JhengHei" w:hint="default"/>
          <w:spacing w:val="7"/>
        </w:rPr>
        <w:t> </w:t>
      </w:r>
      <w:r>
        <w:rPr>
          <w:rFonts w:ascii="Microsoft JhengHei" w:hAnsi="Microsoft JhengHei" w:cs="Microsoft JhengHei" w:eastAsia="Microsoft JhengHei" w:hint="default"/>
        </w:rPr>
        <w:t>公司的基本情况</w:t>
      </w:r>
      <w:r>
        <w:rPr>
          <w:rFonts w:ascii="Microsoft JhengHei" w:hAnsi="Microsoft JhengHei" w:cs="Microsoft JhengHei" w:eastAsia="Microsoft JhengHei" w:hint="default"/>
          <w:b w:val="0"/>
          <w:bCs w:val="0"/>
        </w:rPr>
      </w:r>
    </w:p>
    <w:p>
      <w:pPr>
        <w:spacing w:line="324" w:lineRule="auto" w:before="142"/>
        <w:ind w:left="138" w:right="143" w:firstLine="440"/>
        <w:jc w:val="both"/>
        <w:rPr>
          <w:rFonts w:ascii="楷体" w:hAnsi="楷体" w:cs="楷体" w:eastAsia="楷体" w:hint="default"/>
          <w:sz w:val="22"/>
          <w:szCs w:val="22"/>
        </w:rPr>
      </w:pPr>
      <w:r>
        <w:rPr>
          <w:rFonts w:ascii="楷体" w:hAnsi="楷体" w:cs="楷体" w:eastAsia="楷体" w:hint="default"/>
          <w:sz w:val="22"/>
          <w:szCs w:val="22"/>
        </w:rPr>
        <w:t>同方股份有限公司（原名“清华同方股份有限公司”，自</w:t>
      </w:r>
      <w:r>
        <w:rPr>
          <w:rFonts w:ascii="楷体" w:hAnsi="楷体" w:cs="楷体" w:eastAsia="楷体" w:hint="default"/>
          <w:spacing w:val="-64"/>
          <w:sz w:val="22"/>
          <w:szCs w:val="22"/>
        </w:rPr>
        <w:t> </w:t>
      </w:r>
      <w:r>
        <w:rPr>
          <w:rFonts w:ascii="楷体" w:hAnsi="楷体" w:cs="楷体" w:eastAsia="楷体" w:hint="default"/>
          <w:sz w:val="22"/>
          <w:szCs w:val="22"/>
        </w:rPr>
        <w:t>2006</w:t>
      </w:r>
      <w:r>
        <w:rPr>
          <w:rFonts w:ascii="楷体" w:hAnsi="楷体" w:cs="楷体" w:eastAsia="楷体" w:hint="default"/>
          <w:spacing w:val="-63"/>
          <w:sz w:val="22"/>
          <w:szCs w:val="22"/>
        </w:rPr>
        <w:t> </w:t>
      </w:r>
      <w:r>
        <w:rPr>
          <w:rFonts w:ascii="楷体" w:hAnsi="楷体" w:cs="楷体" w:eastAsia="楷体" w:hint="default"/>
          <w:sz w:val="22"/>
          <w:szCs w:val="22"/>
        </w:rPr>
        <w:t>年</w:t>
      </w:r>
      <w:r>
        <w:rPr>
          <w:rFonts w:ascii="楷体" w:hAnsi="楷体" w:cs="楷体" w:eastAsia="楷体" w:hint="default"/>
          <w:spacing w:val="-63"/>
          <w:sz w:val="22"/>
          <w:szCs w:val="22"/>
        </w:rPr>
        <w:t> </w:t>
      </w:r>
      <w:r>
        <w:rPr>
          <w:rFonts w:ascii="楷体" w:hAnsi="楷体" w:cs="楷体" w:eastAsia="楷体" w:hint="default"/>
          <w:sz w:val="22"/>
          <w:szCs w:val="22"/>
        </w:rPr>
        <w:t>5</w:t>
      </w:r>
      <w:r>
        <w:rPr>
          <w:rFonts w:ascii="楷体" w:hAnsi="楷体" w:cs="楷体" w:eastAsia="楷体" w:hint="default"/>
          <w:spacing w:val="-64"/>
          <w:sz w:val="22"/>
          <w:szCs w:val="22"/>
        </w:rPr>
        <w:t> </w:t>
      </w:r>
      <w:r>
        <w:rPr>
          <w:rFonts w:ascii="楷体" w:hAnsi="楷体" w:cs="楷体" w:eastAsia="楷体" w:hint="default"/>
          <w:sz w:val="22"/>
          <w:szCs w:val="22"/>
        </w:rPr>
        <w:t>月</w:t>
      </w:r>
      <w:r>
        <w:rPr>
          <w:rFonts w:ascii="楷体" w:hAnsi="楷体" w:cs="楷体" w:eastAsia="楷体" w:hint="default"/>
          <w:spacing w:val="-63"/>
          <w:sz w:val="22"/>
          <w:szCs w:val="22"/>
        </w:rPr>
        <w:t> </w:t>
      </w:r>
      <w:r>
        <w:rPr>
          <w:rFonts w:ascii="楷体" w:hAnsi="楷体" w:cs="楷体" w:eastAsia="楷体" w:hint="default"/>
          <w:sz w:val="22"/>
          <w:szCs w:val="22"/>
        </w:rPr>
        <w:t>30</w:t>
      </w:r>
      <w:r>
        <w:rPr>
          <w:rFonts w:ascii="楷体" w:hAnsi="楷体" w:cs="楷体" w:eastAsia="楷体" w:hint="default"/>
          <w:spacing w:val="-64"/>
          <w:sz w:val="22"/>
          <w:szCs w:val="22"/>
        </w:rPr>
        <w:t> </w:t>
      </w:r>
      <w:r>
        <w:rPr>
          <w:rFonts w:ascii="楷体" w:hAnsi="楷体" w:cs="楷体" w:eastAsia="楷体" w:hint="default"/>
          <w:sz w:val="22"/>
          <w:szCs w:val="22"/>
        </w:rPr>
        <w:t>日起更名为“同方</w:t>
      </w:r>
      <w:r>
        <w:rPr>
          <w:rFonts w:ascii="楷体" w:hAnsi="楷体" w:cs="楷体" w:eastAsia="楷体" w:hint="default"/>
          <w:w w:val="99"/>
          <w:sz w:val="22"/>
          <w:szCs w:val="22"/>
        </w:rPr>
        <w:t> </w:t>
      </w:r>
      <w:r>
        <w:rPr>
          <w:rFonts w:ascii="楷体" w:hAnsi="楷体" w:cs="楷体" w:eastAsia="楷体" w:hint="default"/>
          <w:spacing w:val="-1"/>
          <w:sz w:val="22"/>
          <w:szCs w:val="22"/>
        </w:rPr>
        <w:t>股份有限公司”，以下简称“公司”、“本公司”或“母公司”）是经国家体改委和国家教委批</w:t>
      </w:r>
      <w:r>
        <w:rPr>
          <w:rFonts w:ascii="楷体" w:hAnsi="楷体" w:cs="楷体" w:eastAsia="楷体" w:hint="default"/>
          <w:w w:val="99"/>
          <w:sz w:val="22"/>
          <w:szCs w:val="22"/>
        </w:rPr>
        <w:t> </w:t>
      </w:r>
      <w:r>
        <w:rPr>
          <w:rFonts w:ascii="楷体" w:hAnsi="楷体" w:cs="楷体" w:eastAsia="楷体" w:hint="default"/>
          <w:spacing w:val="-1"/>
          <w:sz w:val="22"/>
          <w:szCs w:val="22"/>
        </w:rPr>
        <w:t>准，由清华控股有限公司（原“北京清华大学企业集团”）作为主要发起人，以社会募集方式设</w:t>
      </w:r>
      <w:r>
        <w:rPr>
          <w:rFonts w:ascii="楷体" w:hAnsi="楷体" w:cs="楷体" w:eastAsia="楷体" w:hint="default"/>
          <w:w w:val="99"/>
          <w:sz w:val="22"/>
          <w:szCs w:val="22"/>
        </w:rPr>
        <w:t> </w:t>
      </w:r>
      <w:r>
        <w:rPr>
          <w:rFonts w:ascii="楷体" w:hAnsi="楷体" w:cs="楷体" w:eastAsia="楷体" w:hint="default"/>
          <w:spacing w:val="-4"/>
          <w:sz w:val="22"/>
          <w:szCs w:val="22"/>
        </w:rPr>
        <w:t>立的股份有限公司。公司于</w:t>
      </w:r>
      <w:r>
        <w:rPr>
          <w:rFonts w:ascii="楷体" w:hAnsi="楷体" w:cs="楷体" w:eastAsia="楷体" w:hint="default"/>
          <w:spacing w:val="-56"/>
          <w:sz w:val="22"/>
          <w:szCs w:val="22"/>
        </w:rPr>
        <w:t> </w:t>
      </w:r>
      <w:r>
        <w:rPr>
          <w:rFonts w:ascii="楷体" w:hAnsi="楷体" w:cs="楷体" w:eastAsia="楷体" w:hint="default"/>
          <w:sz w:val="22"/>
          <w:szCs w:val="22"/>
        </w:rPr>
        <w:t>1997</w:t>
      </w:r>
      <w:r>
        <w:rPr>
          <w:rFonts w:ascii="楷体" w:hAnsi="楷体" w:cs="楷体" w:eastAsia="楷体" w:hint="default"/>
          <w:spacing w:val="-58"/>
          <w:sz w:val="22"/>
          <w:szCs w:val="22"/>
        </w:rPr>
        <w:t> </w:t>
      </w:r>
      <w:r>
        <w:rPr>
          <w:rFonts w:ascii="楷体" w:hAnsi="楷体" w:cs="楷体" w:eastAsia="楷体" w:hint="default"/>
          <w:sz w:val="22"/>
          <w:szCs w:val="22"/>
        </w:rPr>
        <w:t>年</w:t>
      </w:r>
      <w:r>
        <w:rPr>
          <w:rFonts w:ascii="楷体" w:hAnsi="楷体" w:cs="楷体" w:eastAsia="楷体" w:hint="default"/>
          <w:spacing w:val="-56"/>
          <w:sz w:val="22"/>
          <w:szCs w:val="22"/>
        </w:rPr>
        <w:t> </w:t>
      </w:r>
      <w:r>
        <w:rPr>
          <w:rFonts w:ascii="楷体" w:hAnsi="楷体" w:cs="楷体" w:eastAsia="楷体" w:hint="default"/>
          <w:sz w:val="22"/>
          <w:szCs w:val="22"/>
        </w:rPr>
        <w:t>6</w:t>
      </w:r>
      <w:r>
        <w:rPr>
          <w:rFonts w:ascii="楷体" w:hAnsi="楷体" w:cs="楷体" w:eastAsia="楷体" w:hint="default"/>
          <w:spacing w:val="-58"/>
          <w:sz w:val="22"/>
          <w:szCs w:val="22"/>
        </w:rPr>
        <w:t> </w:t>
      </w:r>
      <w:r>
        <w:rPr>
          <w:rFonts w:ascii="楷体" w:hAnsi="楷体" w:cs="楷体" w:eastAsia="楷体" w:hint="default"/>
          <w:sz w:val="22"/>
          <w:szCs w:val="22"/>
        </w:rPr>
        <w:t>月</w:t>
      </w:r>
      <w:r>
        <w:rPr>
          <w:rFonts w:ascii="楷体" w:hAnsi="楷体" w:cs="楷体" w:eastAsia="楷体" w:hint="default"/>
          <w:spacing w:val="-57"/>
          <w:sz w:val="22"/>
          <w:szCs w:val="22"/>
        </w:rPr>
        <w:t> </w:t>
      </w:r>
      <w:r>
        <w:rPr>
          <w:rFonts w:ascii="楷体" w:hAnsi="楷体" w:cs="楷体" w:eastAsia="楷体" w:hint="default"/>
          <w:sz w:val="22"/>
          <w:szCs w:val="22"/>
        </w:rPr>
        <w:t>6</w:t>
      </w:r>
      <w:r>
        <w:rPr>
          <w:rFonts w:ascii="楷体" w:hAnsi="楷体" w:cs="楷体" w:eastAsia="楷体" w:hint="default"/>
          <w:spacing w:val="-57"/>
          <w:sz w:val="22"/>
          <w:szCs w:val="22"/>
        </w:rPr>
        <w:t> </w:t>
      </w:r>
      <w:r>
        <w:rPr>
          <w:rFonts w:ascii="楷体" w:hAnsi="楷体" w:cs="楷体" w:eastAsia="楷体" w:hint="default"/>
          <w:sz w:val="22"/>
          <w:szCs w:val="22"/>
        </w:rPr>
        <w:t>日经中国证监会证监发[1997]316</w:t>
      </w:r>
      <w:r>
        <w:rPr>
          <w:rFonts w:ascii="楷体" w:hAnsi="楷体" w:cs="楷体" w:eastAsia="楷体" w:hint="default"/>
          <w:spacing w:val="-58"/>
          <w:sz w:val="22"/>
          <w:szCs w:val="22"/>
        </w:rPr>
        <w:t> </w:t>
      </w:r>
      <w:r>
        <w:rPr>
          <w:rFonts w:ascii="楷体" w:hAnsi="楷体" w:cs="楷体" w:eastAsia="楷体" w:hint="default"/>
          <w:spacing w:val="-6"/>
          <w:sz w:val="22"/>
          <w:szCs w:val="22"/>
        </w:rPr>
        <w:t>号文批准，首次发行</w:t>
      </w:r>
    </w:p>
    <w:p>
      <w:pPr>
        <w:spacing w:before="25"/>
        <w:ind w:left="138" w:right="0" w:firstLine="0"/>
        <w:jc w:val="both"/>
        <w:rPr>
          <w:rFonts w:ascii="楷体" w:hAnsi="楷体" w:cs="楷体" w:eastAsia="楷体" w:hint="default"/>
          <w:sz w:val="22"/>
          <w:szCs w:val="22"/>
        </w:rPr>
      </w:pPr>
      <w:r>
        <w:rPr>
          <w:rFonts w:ascii="楷体" w:hAnsi="楷体" w:cs="楷体" w:eastAsia="楷体" w:hint="default"/>
          <w:sz w:val="22"/>
          <w:szCs w:val="22"/>
        </w:rPr>
        <w:t>人民币普通股</w:t>
      </w:r>
      <w:r>
        <w:rPr>
          <w:rFonts w:ascii="楷体" w:hAnsi="楷体" w:cs="楷体" w:eastAsia="楷体" w:hint="default"/>
          <w:spacing w:val="-54"/>
          <w:sz w:val="22"/>
          <w:szCs w:val="22"/>
        </w:rPr>
        <w:t> </w:t>
      </w:r>
      <w:r>
        <w:rPr>
          <w:rFonts w:ascii="楷体" w:hAnsi="楷体" w:cs="楷体" w:eastAsia="楷体" w:hint="default"/>
          <w:sz w:val="22"/>
          <w:szCs w:val="22"/>
        </w:rPr>
        <w:t>110,700,000</w:t>
      </w:r>
      <w:r>
        <w:rPr>
          <w:rFonts w:ascii="楷体" w:hAnsi="楷体" w:cs="楷体" w:eastAsia="楷体" w:hint="default"/>
          <w:spacing w:val="-54"/>
          <w:sz w:val="22"/>
          <w:szCs w:val="22"/>
        </w:rPr>
        <w:t> </w:t>
      </w:r>
      <w:r>
        <w:rPr>
          <w:rFonts w:ascii="楷体" w:hAnsi="楷体" w:cs="楷体" w:eastAsia="楷体" w:hint="default"/>
          <w:sz w:val="22"/>
          <w:szCs w:val="22"/>
        </w:rPr>
        <w:t>股，其中，发起人持有</w:t>
      </w:r>
      <w:r>
        <w:rPr>
          <w:rFonts w:ascii="楷体" w:hAnsi="楷体" w:cs="楷体" w:eastAsia="楷体" w:hint="default"/>
          <w:spacing w:val="-54"/>
          <w:sz w:val="22"/>
          <w:szCs w:val="22"/>
        </w:rPr>
        <w:t> </w:t>
      </w:r>
      <w:r>
        <w:rPr>
          <w:rFonts w:ascii="楷体" w:hAnsi="楷体" w:cs="楷体" w:eastAsia="楷体" w:hint="default"/>
          <w:sz w:val="22"/>
          <w:szCs w:val="22"/>
        </w:rPr>
        <w:t>68,700,000</w:t>
      </w:r>
      <w:r>
        <w:rPr>
          <w:rFonts w:ascii="楷体" w:hAnsi="楷体" w:cs="楷体" w:eastAsia="楷体" w:hint="default"/>
          <w:spacing w:val="-54"/>
          <w:sz w:val="22"/>
          <w:szCs w:val="22"/>
        </w:rPr>
        <w:t> </w:t>
      </w:r>
      <w:r>
        <w:rPr>
          <w:rFonts w:ascii="楷体" w:hAnsi="楷体" w:cs="楷体" w:eastAsia="楷体" w:hint="default"/>
          <w:sz w:val="22"/>
          <w:szCs w:val="22"/>
        </w:rPr>
        <w:t>股，占公司股份总数的</w:t>
      </w:r>
      <w:r>
        <w:rPr>
          <w:rFonts w:ascii="楷体" w:hAnsi="楷体" w:cs="楷体" w:eastAsia="楷体" w:hint="default"/>
          <w:spacing w:val="-52"/>
          <w:sz w:val="22"/>
          <w:szCs w:val="22"/>
        </w:rPr>
        <w:t> </w:t>
      </w:r>
      <w:r>
        <w:rPr>
          <w:rFonts w:ascii="楷体" w:hAnsi="楷体" w:cs="楷体" w:eastAsia="楷体" w:hint="default"/>
          <w:sz w:val="22"/>
          <w:szCs w:val="22"/>
        </w:rPr>
        <w:t>62.06%，</w:t>
      </w:r>
    </w:p>
    <w:p>
      <w:pPr>
        <w:spacing w:before="102"/>
        <w:ind w:left="138" w:right="0" w:firstLine="0"/>
        <w:jc w:val="both"/>
        <w:rPr>
          <w:rFonts w:ascii="楷体" w:hAnsi="楷体" w:cs="楷体" w:eastAsia="楷体" w:hint="default"/>
          <w:sz w:val="22"/>
          <w:szCs w:val="22"/>
        </w:rPr>
      </w:pPr>
      <w:r>
        <w:rPr>
          <w:rFonts w:ascii="楷体" w:hAnsi="楷体" w:cs="楷体" w:eastAsia="楷体" w:hint="default"/>
          <w:sz w:val="22"/>
          <w:szCs w:val="22"/>
        </w:rPr>
        <w:t>向境内社会公众发行</w:t>
      </w:r>
      <w:r>
        <w:rPr>
          <w:rFonts w:ascii="楷体" w:hAnsi="楷体" w:cs="楷体" w:eastAsia="楷体" w:hint="default"/>
          <w:spacing w:val="-57"/>
          <w:sz w:val="22"/>
          <w:szCs w:val="22"/>
        </w:rPr>
        <w:t> </w:t>
      </w:r>
      <w:r>
        <w:rPr>
          <w:rFonts w:ascii="楷体" w:hAnsi="楷体" w:cs="楷体" w:eastAsia="楷体" w:hint="default"/>
          <w:sz w:val="22"/>
          <w:szCs w:val="22"/>
        </w:rPr>
        <w:t>42,000,000</w:t>
      </w:r>
      <w:r>
        <w:rPr>
          <w:rFonts w:ascii="楷体" w:hAnsi="楷体" w:cs="楷体" w:eastAsia="楷体" w:hint="default"/>
          <w:spacing w:val="-58"/>
          <w:sz w:val="22"/>
          <w:szCs w:val="22"/>
        </w:rPr>
        <w:t> </w:t>
      </w:r>
      <w:r>
        <w:rPr>
          <w:rFonts w:ascii="楷体" w:hAnsi="楷体" w:cs="楷体" w:eastAsia="楷体" w:hint="default"/>
          <w:sz w:val="22"/>
          <w:szCs w:val="22"/>
        </w:rPr>
        <w:t>股，占公司股份总数的</w:t>
      </w:r>
      <w:r>
        <w:rPr>
          <w:rFonts w:ascii="楷体" w:hAnsi="楷体" w:cs="楷体" w:eastAsia="楷体" w:hint="default"/>
          <w:spacing w:val="-57"/>
          <w:sz w:val="22"/>
          <w:szCs w:val="22"/>
        </w:rPr>
        <w:t> </w:t>
      </w:r>
      <w:r>
        <w:rPr>
          <w:rFonts w:ascii="楷体" w:hAnsi="楷体" w:cs="楷体" w:eastAsia="楷体" w:hint="default"/>
          <w:sz w:val="22"/>
          <w:szCs w:val="22"/>
        </w:rPr>
        <w:t>37.94%。公司于</w:t>
      </w:r>
      <w:r>
        <w:rPr>
          <w:rFonts w:ascii="楷体" w:hAnsi="楷体" w:cs="楷体" w:eastAsia="楷体" w:hint="default"/>
          <w:spacing w:val="-56"/>
          <w:sz w:val="22"/>
          <w:szCs w:val="22"/>
        </w:rPr>
        <w:t> </w:t>
      </w:r>
      <w:r>
        <w:rPr>
          <w:rFonts w:ascii="楷体" w:hAnsi="楷体" w:cs="楷体" w:eastAsia="楷体" w:hint="default"/>
          <w:sz w:val="22"/>
          <w:szCs w:val="22"/>
        </w:rPr>
        <w:t>1997</w:t>
      </w:r>
      <w:r>
        <w:rPr>
          <w:rFonts w:ascii="楷体" w:hAnsi="楷体" w:cs="楷体" w:eastAsia="楷体" w:hint="default"/>
          <w:spacing w:val="-58"/>
          <w:sz w:val="22"/>
          <w:szCs w:val="22"/>
        </w:rPr>
        <w:t> </w:t>
      </w:r>
      <w:r>
        <w:rPr>
          <w:rFonts w:ascii="楷体" w:hAnsi="楷体" w:cs="楷体" w:eastAsia="楷体" w:hint="default"/>
          <w:sz w:val="22"/>
          <w:szCs w:val="22"/>
        </w:rPr>
        <w:t>年</w:t>
      </w:r>
      <w:r>
        <w:rPr>
          <w:rFonts w:ascii="楷体" w:hAnsi="楷体" w:cs="楷体" w:eastAsia="楷体" w:hint="default"/>
          <w:spacing w:val="-56"/>
          <w:sz w:val="22"/>
          <w:szCs w:val="22"/>
        </w:rPr>
        <w:t> </w:t>
      </w:r>
      <w:r>
        <w:rPr>
          <w:rFonts w:ascii="楷体" w:hAnsi="楷体" w:cs="楷体" w:eastAsia="楷体" w:hint="default"/>
          <w:sz w:val="22"/>
          <w:szCs w:val="22"/>
        </w:rPr>
        <w:t>6</w:t>
      </w:r>
      <w:r>
        <w:rPr>
          <w:rFonts w:ascii="楷体" w:hAnsi="楷体" w:cs="楷体" w:eastAsia="楷体" w:hint="default"/>
          <w:spacing w:val="-58"/>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楷体" w:hAnsi="楷体" w:cs="楷体" w:eastAsia="楷体" w:hint="default"/>
          <w:sz w:val="22"/>
          <w:szCs w:val="22"/>
        </w:rPr>
        <w:t>25</w:t>
      </w:r>
      <w:r>
        <w:rPr>
          <w:rFonts w:ascii="楷体" w:hAnsi="楷体" w:cs="楷体" w:eastAsia="楷体" w:hint="default"/>
          <w:spacing w:val="-56"/>
          <w:sz w:val="22"/>
          <w:szCs w:val="22"/>
        </w:rPr>
        <w:t> </w:t>
      </w:r>
      <w:r>
        <w:rPr>
          <w:rFonts w:ascii="楷体" w:hAnsi="楷体" w:cs="楷体" w:eastAsia="楷体" w:hint="default"/>
          <w:sz w:val="22"/>
          <w:szCs w:val="22"/>
        </w:rPr>
        <w:t>日在国</w:t>
      </w:r>
    </w:p>
    <w:p>
      <w:pPr>
        <w:spacing w:before="102"/>
        <w:ind w:left="138" w:right="0" w:firstLine="0"/>
        <w:jc w:val="both"/>
        <w:rPr>
          <w:rFonts w:ascii="楷体" w:hAnsi="楷体" w:cs="楷体" w:eastAsia="楷体" w:hint="default"/>
          <w:sz w:val="22"/>
          <w:szCs w:val="22"/>
        </w:rPr>
      </w:pPr>
      <w:r>
        <w:rPr>
          <w:rFonts w:ascii="楷体" w:hAnsi="楷体" w:cs="楷体" w:eastAsia="楷体" w:hint="default"/>
          <w:sz w:val="22"/>
          <w:szCs w:val="22"/>
        </w:rPr>
        <w:t>家工商行政管理局登记注册，设立时注册资本为人民币</w:t>
      </w:r>
      <w:r>
        <w:rPr>
          <w:rFonts w:ascii="楷体" w:hAnsi="楷体" w:cs="楷体" w:eastAsia="楷体" w:hint="default"/>
          <w:spacing w:val="-83"/>
          <w:sz w:val="22"/>
          <w:szCs w:val="22"/>
        </w:rPr>
        <w:t> </w:t>
      </w:r>
      <w:r>
        <w:rPr>
          <w:rFonts w:ascii="楷体" w:hAnsi="楷体" w:cs="楷体" w:eastAsia="楷体" w:hint="default"/>
          <w:sz w:val="22"/>
          <w:szCs w:val="22"/>
        </w:rPr>
        <w:t>110,700,000</w:t>
      </w:r>
      <w:r>
        <w:rPr>
          <w:rFonts w:ascii="楷体" w:hAnsi="楷体" w:cs="楷体" w:eastAsia="楷体" w:hint="default"/>
          <w:spacing w:val="-84"/>
          <w:sz w:val="22"/>
          <w:szCs w:val="22"/>
        </w:rPr>
        <w:t> </w:t>
      </w:r>
      <w:r>
        <w:rPr>
          <w:rFonts w:ascii="楷体" w:hAnsi="楷体" w:cs="楷体" w:eastAsia="楷体" w:hint="default"/>
          <w:sz w:val="22"/>
          <w:szCs w:val="22"/>
        </w:rPr>
        <w:t>元。公司首次发行的社会公</w:t>
      </w:r>
    </w:p>
    <w:p>
      <w:pPr>
        <w:spacing w:before="102"/>
        <w:ind w:left="138" w:right="0" w:firstLine="0"/>
        <w:jc w:val="both"/>
        <w:rPr>
          <w:rFonts w:ascii="楷体" w:hAnsi="楷体" w:cs="楷体" w:eastAsia="楷体" w:hint="default"/>
          <w:sz w:val="22"/>
          <w:szCs w:val="22"/>
        </w:rPr>
      </w:pPr>
      <w:r>
        <w:rPr>
          <w:rFonts w:ascii="楷体" w:hAnsi="楷体" w:cs="楷体" w:eastAsia="楷体" w:hint="default"/>
          <w:sz w:val="22"/>
          <w:szCs w:val="22"/>
        </w:rPr>
        <w:t>众股于</w:t>
      </w:r>
      <w:r>
        <w:rPr>
          <w:rFonts w:ascii="楷体" w:hAnsi="楷体" w:cs="楷体" w:eastAsia="楷体" w:hint="default"/>
          <w:spacing w:val="-56"/>
          <w:sz w:val="22"/>
          <w:szCs w:val="22"/>
        </w:rPr>
        <w:t> </w:t>
      </w:r>
      <w:r>
        <w:rPr>
          <w:rFonts w:ascii="楷体" w:hAnsi="楷体" w:cs="楷体" w:eastAsia="楷体" w:hint="default"/>
          <w:sz w:val="22"/>
          <w:szCs w:val="22"/>
        </w:rPr>
        <w:t>1997</w:t>
      </w:r>
      <w:r>
        <w:rPr>
          <w:rFonts w:ascii="楷体" w:hAnsi="楷体" w:cs="楷体" w:eastAsia="楷体" w:hint="default"/>
          <w:spacing w:val="-57"/>
          <w:sz w:val="22"/>
          <w:szCs w:val="22"/>
        </w:rPr>
        <w:t> </w:t>
      </w:r>
      <w:r>
        <w:rPr>
          <w:rFonts w:ascii="楷体" w:hAnsi="楷体" w:cs="楷体" w:eastAsia="楷体" w:hint="default"/>
          <w:sz w:val="22"/>
          <w:szCs w:val="22"/>
        </w:rPr>
        <w:t>年</w:t>
      </w:r>
      <w:r>
        <w:rPr>
          <w:rFonts w:ascii="楷体" w:hAnsi="楷体" w:cs="楷体" w:eastAsia="楷体" w:hint="default"/>
          <w:spacing w:val="-55"/>
          <w:sz w:val="22"/>
          <w:szCs w:val="22"/>
        </w:rPr>
        <w:t> </w:t>
      </w:r>
      <w:r>
        <w:rPr>
          <w:rFonts w:ascii="楷体" w:hAnsi="楷体" w:cs="楷体" w:eastAsia="楷体" w:hint="default"/>
          <w:sz w:val="22"/>
          <w:szCs w:val="22"/>
        </w:rPr>
        <w:t>6</w:t>
      </w:r>
      <w:r>
        <w:rPr>
          <w:rFonts w:ascii="楷体" w:hAnsi="楷体" w:cs="楷体" w:eastAsia="楷体" w:hint="default"/>
          <w:spacing w:val="-57"/>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楷体" w:hAnsi="楷体" w:cs="楷体" w:eastAsia="楷体" w:hint="default"/>
          <w:sz w:val="22"/>
          <w:szCs w:val="22"/>
        </w:rPr>
        <w:t>27</w:t>
      </w:r>
      <w:r>
        <w:rPr>
          <w:rFonts w:ascii="楷体" w:hAnsi="楷体" w:cs="楷体" w:eastAsia="楷体" w:hint="default"/>
          <w:spacing w:val="-57"/>
          <w:sz w:val="22"/>
          <w:szCs w:val="22"/>
        </w:rPr>
        <w:t> </w:t>
      </w:r>
      <w:r>
        <w:rPr>
          <w:rFonts w:ascii="楷体" w:hAnsi="楷体" w:cs="楷体" w:eastAsia="楷体" w:hint="default"/>
          <w:sz w:val="22"/>
          <w:szCs w:val="22"/>
        </w:rPr>
        <w:t>日在上海证券交易所挂牌交易。</w:t>
      </w:r>
    </w:p>
    <w:p>
      <w:pPr>
        <w:spacing w:before="180"/>
        <w:ind w:left="578" w:right="0" w:firstLine="0"/>
        <w:jc w:val="left"/>
        <w:rPr>
          <w:rFonts w:ascii="楷体" w:hAnsi="楷体" w:cs="楷体" w:eastAsia="楷体" w:hint="default"/>
          <w:sz w:val="22"/>
          <w:szCs w:val="22"/>
        </w:rPr>
      </w:pPr>
      <w:r>
        <w:rPr>
          <w:rFonts w:ascii="楷体" w:hAnsi="楷体" w:cs="楷体" w:eastAsia="楷体" w:hint="default"/>
          <w:sz w:val="22"/>
          <w:szCs w:val="22"/>
        </w:rPr>
        <w:t>公司于 1998 年 1 月 15 日以 10:5</w:t>
      </w:r>
      <w:r>
        <w:rPr>
          <w:rFonts w:ascii="楷体" w:hAnsi="楷体" w:cs="楷体" w:eastAsia="楷体" w:hint="default"/>
          <w:spacing w:val="7"/>
          <w:sz w:val="22"/>
          <w:szCs w:val="22"/>
        </w:rPr>
        <w:t> </w:t>
      </w:r>
      <w:r>
        <w:rPr>
          <w:rFonts w:ascii="楷体" w:hAnsi="楷体" w:cs="楷体" w:eastAsia="楷体" w:hint="default"/>
          <w:spacing w:val="2"/>
          <w:sz w:val="22"/>
          <w:szCs w:val="22"/>
        </w:rPr>
        <w:t>的比例实施资本公积金转增股本，致使股份总数增至</w:t>
      </w:r>
    </w:p>
    <w:p>
      <w:pPr>
        <w:spacing w:before="102"/>
        <w:ind w:left="138" w:right="0" w:firstLine="0"/>
        <w:jc w:val="both"/>
        <w:rPr>
          <w:rFonts w:ascii="楷体" w:hAnsi="楷体" w:cs="楷体" w:eastAsia="楷体" w:hint="default"/>
          <w:sz w:val="22"/>
          <w:szCs w:val="22"/>
        </w:rPr>
      </w:pPr>
      <w:r>
        <w:rPr>
          <w:rFonts w:ascii="楷体" w:hAnsi="楷体" w:cs="楷体" w:eastAsia="楷体" w:hint="default"/>
          <w:sz w:val="22"/>
          <w:szCs w:val="22"/>
        </w:rPr>
        <w:t>166,050,000</w:t>
      </w:r>
      <w:r>
        <w:rPr>
          <w:rFonts w:ascii="楷体" w:hAnsi="楷体" w:cs="楷体" w:eastAsia="楷体" w:hint="default"/>
          <w:spacing w:val="-35"/>
          <w:sz w:val="22"/>
          <w:szCs w:val="22"/>
        </w:rPr>
        <w:t> </w:t>
      </w:r>
      <w:r>
        <w:rPr>
          <w:rFonts w:ascii="楷体" w:hAnsi="楷体" w:cs="楷体" w:eastAsia="楷体" w:hint="default"/>
          <w:sz w:val="22"/>
          <w:szCs w:val="22"/>
        </w:rPr>
        <w:t>股，其中，发起人持有</w:t>
      </w:r>
      <w:r>
        <w:rPr>
          <w:rFonts w:ascii="楷体" w:hAnsi="楷体" w:cs="楷体" w:eastAsia="楷体" w:hint="default"/>
          <w:spacing w:val="-35"/>
          <w:sz w:val="22"/>
          <w:szCs w:val="22"/>
        </w:rPr>
        <w:t> </w:t>
      </w:r>
      <w:r>
        <w:rPr>
          <w:rFonts w:ascii="楷体" w:hAnsi="楷体" w:cs="楷体" w:eastAsia="楷体" w:hint="default"/>
          <w:sz w:val="22"/>
          <w:szCs w:val="22"/>
        </w:rPr>
        <w:t>103,050,000</w:t>
      </w:r>
      <w:r>
        <w:rPr>
          <w:rFonts w:ascii="楷体" w:hAnsi="楷体" w:cs="楷体" w:eastAsia="楷体" w:hint="default"/>
          <w:spacing w:val="-37"/>
          <w:sz w:val="22"/>
          <w:szCs w:val="22"/>
        </w:rPr>
        <w:t> </w:t>
      </w:r>
      <w:r>
        <w:rPr>
          <w:rFonts w:ascii="楷体" w:hAnsi="楷体" w:cs="楷体" w:eastAsia="楷体" w:hint="default"/>
          <w:sz w:val="22"/>
          <w:szCs w:val="22"/>
        </w:rPr>
        <w:t>股，占公司股份总数的</w:t>
      </w:r>
      <w:r>
        <w:rPr>
          <w:rFonts w:ascii="楷体" w:hAnsi="楷体" w:cs="楷体" w:eastAsia="楷体" w:hint="default"/>
          <w:spacing w:val="-35"/>
          <w:sz w:val="22"/>
          <w:szCs w:val="22"/>
        </w:rPr>
        <w:t> </w:t>
      </w:r>
      <w:r>
        <w:rPr>
          <w:rFonts w:ascii="楷体" w:hAnsi="楷体" w:cs="楷体" w:eastAsia="楷体" w:hint="default"/>
          <w:sz w:val="22"/>
          <w:szCs w:val="22"/>
        </w:rPr>
        <w:t>62.06%；公司于</w:t>
      </w:r>
      <w:r>
        <w:rPr>
          <w:rFonts w:ascii="楷体" w:hAnsi="楷体" w:cs="楷体" w:eastAsia="楷体" w:hint="default"/>
          <w:spacing w:val="-35"/>
          <w:sz w:val="22"/>
          <w:szCs w:val="22"/>
        </w:rPr>
        <w:t> </w:t>
      </w:r>
      <w:r>
        <w:rPr>
          <w:rFonts w:ascii="楷体" w:hAnsi="楷体" w:cs="楷体" w:eastAsia="楷体" w:hint="default"/>
          <w:sz w:val="22"/>
          <w:szCs w:val="22"/>
        </w:rPr>
        <w:t>1999</w:t>
      </w:r>
    </w:p>
    <w:p>
      <w:pPr>
        <w:spacing w:before="102"/>
        <w:ind w:left="138" w:right="0" w:firstLine="0"/>
        <w:jc w:val="both"/>
        <w:rPr>
          <w:rFonts w:ascii="楷体" w:hAnsi="楷体" w:cs="楷体" w:eastAsia="楷体" w:hint="default"/>
          <w:sz w:val="22"/>
          <w:szCs w:val="22"/>
        </w:rPr>
      </w:pPr>
      <w:r>
        <w:rPr>
          <w:rFonts w:ascii="楷体" w:hAnsi="楷体" w:cs="楷体" w:eastAsia="楷体" w:hint="default"/>
          <w:sz w:val="22"/>
          <w:szCs w:val="22"/>
        </w:rPr>
        <w:t>年 6 </w:t>
      </w:r>
      <w:r>
        <w:rPr>
          <w:rFonts w:ascii="楷体" w:hAnsi="楷体" w:cs="楷体" w:eastAsia="楷体" w:hint="default"/>
          <w:spacing w:val="3"/>
          <w:sz w:val="22"/>
          <w:szCs w:val="22"/>
        </w:rPr>
        <w:t>月以 </w:t>
      </w:r>
      <w:r>
        <w:rPr>
          <w:rFonts w:ascii="楷体" w:hAnsi="楷体" w:cs="楷体" w:eastAsia="楷体" w:hint="default"/>
          <w:sz w:val="22"/>
          <w:szCs w:val="22"/>
        </w:rPr>
        <w:t>10:3 </w:t>
      </w:r>
      <w:r>
        <w:rPr>
          <w:rFonts w:ascii="楷体" w:hAnsi="楷体" w:cs="楷体" w:eastAsia="楷体" w:hint="default"/>
          <w:spacing w:val="5"/>
          <w:sz w:val="22"/>
          <w:szCs w:val="22"/>
        </w:rPr>
        <w:t>的比例实施配股，配股后股份总数增至 </w:t>
      </w:r>
      <w:r>
        <w:rPr>
          <w:rFonts w:ascii="楷体" w:hAnsi="楷体" w:cs="楷体" w:eastAsia="楷体" w:hint="default"/>
          <w:sz w:val="22"/>
          <w:szCs w:val="22"/>
        </w:rPr>
        <w:t>189,800,000</w:t>
      </w:r>
      <w:r>
        <w:rPr>
          <w:rFonts w:ascii="楷体" w:hAnsi="楷体" w:cs="楷体" w:eastAsia="楷体" w:hint="default"/>
          <w:spacing w:val="20"/>
          <w:sz w:val="22"/>
          <w:szCs w:val="22"/>
        </w:rPr>
        <w:t> </w:t>
      </w:r>
      <w:r>
        <w:rPr>
          <w:rFonts w:ascii="楷体" w:hAnsi="楷体" w:cs="楷体" w:eastAsia="楷体" w:hint="default"/>
          <w:spacing w:val="5"/>
          <w:sz w:val="22"/>
          <w:szCs w:val="22"/>
        </w:rPr>
        <w:t>股，其中，发起人持有</w:t>
      </w:r>
    </w:p>
    <w:p>
      <w:pPr>
        <w:spacing w:line="324" w:lineRule="auto" w:before="102"/>
        <w:ind w:left="138" w:right="132" w:hanging="1"/>
        <w:jc w:val="both"/>
        <w:rPr>
          <w:rFonts w:ascii="楷体" w:hAnsi="楷体" w:cs="楷体" w:eastAsia="楷体" w:hint="default"/>
          <w:sz w:val="22"/>
          <w:szCs w:val="22"/>
        </w:rPr>
      </w:pPr>
      <w:r>
        <w:rPr>
          <w:rFonts w:ascii="楷体" w:hAnsi="楷体" w:cs="楷体" w:eastAsia="楷体" w:hint="default"/>
          <w:spacing w:val="-1"/>
          <w:w w:val="99"/>
          <w:sz w:val="22"/>
          <w:szCs w:val="22"/>
        </w:rPr>
        <w:t>107,900,000</w:t>
      </w:r>
      <w:r>
        <w:rPr>
          <w:rFonts w:ascii="楷体" w:hAnsi="楷体" w:cs="楷体" w:eastAsia="楷体" w:hint="default"/>
          <w:spacing w:val="-50"/>
          <w:w w:val="99"/>
          <w:sz w:val="22"/>
          <w:szCs w:val="22"/>
        </w:rPr>
        <w:t> </w:t>
      </w:r>
      <w:r>
        <w:rPr>
          <w:rFonts w:ascii="楷体" w:hAnsi="楷体" w:cs="楷体" w:eastAsia="楷体" w:hint="default"/>
          <w:spacing w:val="-10"/>
          <w:w w:val="99"/>
          <w:sz w:val="22"/>
          <w:szCs w:val="22"/>
        </w:rPr>
        <w:t>股，占公司股份总数的</w:t>
      </w:r>
      <w:r>
        <w:rPr>
          <w:rFonts w:ascii="楷体" w:hAnsi="楷体" w:cs="楷体" w:eastAsia="楷体" w:hint="default"/>
          <w:spacing w:val="-50"/>
          <w:w w:val="99"/>
          <w:sz w:val="22"/>
          <w:szCs w:val="22"/>
        </w:rPr>
        <w:t> </w:t>
      </w:r>
      <w:r>
        <w:rPr>
          <w:rFonts w:ascii="楷体" w:hAnsi="楷体" w:cs="楷体" w:eastAsia="楷体" w:hint="default"/>
          <w:spacing w:val="-10"/>
          <w:w w:val="99"/>
          <w:sz w:val="22"/>
          <w:szCs w:val="22"/>
        </w:rPr>
        <w:t>56.85%；公司于</w:t>
      </w:r>
      <w:r>
        <w:rPr>
          <w:rFonts w:ascii="楷体" w:hAnsi="楷体" w:cs="楷体" w:eastAsia="楷体" w:hint="default"/>
          <w:spacing w:val="-49"/>
          <w:w w:val="99"/>
          <w:sz w:val="22"/>
          <w:szCs w:val="22"/>
        </w:rPr>
        <w:t> </w:t>
      </w:r>
      <w:r>
        <w:rPr>
          <w:rFonts w:ascii="楷体" w:hAnsi="楷体" w:cs="楷体" w:eastAsia="楷体" w:hint="default"/>
          <w:w w:val="99"/>
          <w:sz w:val="22"/>
          <w:szCs w:val="22"/>
        </w:rPr>
        <w:t>1999</w:t>
      </w:r>
      <w:r>
        <w:rPr>
          <w:rFonts w:ascii="楷体" w:hAnsi="楷体" w:cs="楷体" w:eastAsia="楷体" w:hint="default"/>
          <w:spacing w:val="-51"/>
          <w:w w:val="99"/>
          <w:sz w:val="22"/>
          <w:szCs w:val="22"/>
        </w:rPr>
        <w:t> </w:t>
      </w:r>
      <w:r>
        <w:rPr>
          <w:rFonts w:ascii="楷体" w:hAnsi="楷体" w:cs="楷体" w:eastAsia="楷体" w:hint="default"/>
          <w:w w:val="99"/>
          <w:sz w:val="22"/>
          <w:szCs w:val="22"/>
        </w:rPr>
        <w:t>年</w:t>
      </w:r>
      <w:r>
        <w:rPr>
          <w:rFonts w:ascii="楷体" w:hAnsi="楷体" w:cs="楷体" w:eastAsia="楷体" w:hint="default"/>
          <w:spacing w:val="-50"/>
          <w:w w:val="99"/>
          <w:sz w:val="22"/>
          <w:szCs w:val="22"/>
        </w:rPr>
        <w:t> </w:t>
      </w:r>
      <w:r>
        <w:rPr>
          <w:rFonts w:ascii="楷体" w:hAnsi="楷体" w:cs="楷体" w:eastAsia="楷体" w:hint="default"/>
          <w:w w:val="99"/>
          <w:sz w:val="22"/>
          <w:szCs w:val="22"/>
        </w:rPr>
        <w:t>6</w:t>
      </w:r>
      <w:r>
        <w:rPr>
          <w:rFonts w:ascii="楷体" w:hAnsi="楷体" w:cs="楷体" w:eastAsia="楷体" w:hint="default"/>
          <w:spacing w:val="-51"/>
          <w:w w:val="99"/>
          <w:sz w:val="22"/>
          <w:szCs w:val="22"/>
        </w:rPr>
        <w:t> </w:t>
      </w:r>
      <w:r>
        <w:rPr>
          <w:rFonts w:ascii="楷体" w:hAnsi="楷体" w:cs="楷体" w:eastAsia="楷体" w:hint="default"/>
          <w:spacing w:val="-12"/>
          <w:w w:val="99"/>
          <w:sz w:val="22"/>
          <w:szCs w:val="22"/>
        </w:rPr>
        <w:t>月经中国证券监督管理委员会（“证</w:t>
      </w:r>
      <w:r>
        <w:rPr>
          <w:rFonts w:ascii="楷体" w:hAnsi="楷体" w:cs="楷体" w:eastAsia="楷体" w:hint="default"/>
          <w:spacing w:val="-107"/>
          <w:w w:val="99"/>
          <w:sz w:val="22"/>
          <w:szCs w:val="22"/>
        </w:rPr>
        <w:t> </w:t>
      </w:r>
      <w:r>
        <w:rPr>
          <w:rFonts w:ascii="楷体" w:hAnsi="楷体" w:cs="楷体" w:eastAsia="楷体" w:hint="default"/>
          <w:spacing w:val="-107"/>
          <w:w w:val="99"/>
          <w:sz w:val="22"/>
          <w:szCs w:val="22"/>
        </w:rPr>
      </w:r>
      <w:r>
        <w:rPr>
          <w:rFonts w:ascii="楷体" w:hAnsi="楷体" w:cs="楷体" w:eastAsia="楷体" w:hint="default"/>
          <w:spacing w:val="-3"/>
          <w:sz w:val="22"/>
          <w:szCs w:val="22"/>
        </w:rPr>
        <w:t>监会”）证监公司[1999]23</w:t>
      </w:r>
      <w:r>
        <w:rPr>
          <w:rFonts w:ascii="楷体" w:hAnsi="楷体" w:cs="楷体" w:eastAsia="楷体" w:hint="default"/>
          <w:spacing w:val="-91"/>
          <w:sz w:val="22"/>
          <w:szCs w:val="22"/>
        </w:rPr>
        <w:t> </w:t>
      </w:r>
      <w:r>
        <w:rPr>
          <w:rFonts w:ascii="楷体" w:hAnsi="楷体" w:cs="楷体" w:eastAsia="楷体" w:hint="default"/>
          <w:sz w:val="22"/>
          <w:szCs w:val="22"/>
        </w:rPr>
        <w:t>号文批准，以换股方式吸收合并山东鲁颖电子股份有限公司（吸收合</w:t>
      </w:r>
      <w:r>
        <w:rPr>
          <w:rFonts w:ascii="楷体" w:hAnsi="楷体" w:cs="楷体" w:eastAsia="楷体" w:hint="default"/>
          <w:w w:val="99"/>
          <w:sz w:val="22"/>
          <w:szCs w:val="22"/>
        </w:rPr>
        <w:t> </w:t>
      </w:r>
      <w:r>
        <w:rPr>
          <w:rFonts w:ascii="楷体" w:hAnsi="楷体" w:cs="楷体" w:eastAsia="楷体" w:hint="default"/>
          <w:spacing w:val="-1"/>
          <w:sz w:val="22"/>
          <w:szCs w:val="22"/>
        </w:rPr>
        <w:t>并后更名为“山东清华同方鲁颖电子有限公司”），向山东鲁颖电子股份有限公司全体股东定向</w:t>
      </w:r>
      <w:r>
        <w:rPr>
          <w:rFonts w:ascii="楷体" w:hAnsi="楷体" w:cs="楷体" w:eastAsia="楷体" w:hint="default"/>
          <w:w w:val="99"/>
          <w:sz w:val="22"/>
          <w:szCs w:val="22"/>
        </w:rPr>
        <w:t> </w:t>
      </w:r>
      <w:r>
        <w:rPr>
          <w:rFonts w:ascii="楷体" w:hAnsi="楷体" w:cs="楷体" w:eastAsia="楷体" w:hint="default"/>
          <w:spacing w:val="8"/>
          <w:sz w:val="22"/>
          <w:szCs w:val="22"/>
        </w:rPr>
        <w:t>增发人民币普通股 </w:t>
      </w:r>
      <w:r>
        <w:rPr>
          <w:rFonts w:ascii="楷体" w:hAnsi="楷体" w:cs="楷体" w:eastAsia="楷体" w:hint="default"/>
          <w:sz w:val="22"/>
          <w:szCs w:val="22"/>
        </w:rPr>
        <w:t>15,172,328 </w:t>
      </w:r>
      <w:r>
        <w:rPr>
          <w:rFonts w:ascii="楷体" w:hAnsi="楷体" w:cs="楷体" w:eastAsia="楷体" w:hint="default"/>
          <w:spacing w:val="8"/>
          <w:sz w:val="22"/>
          <w:szCs w:val="22"/>
        </w:rPr>
        <w:t>股，致使股份总数增至 </w:t>
      </w:r>
      <w:r>
        <w:rPr>
          <w:rFonts w:ascii="楷体" w:hAnsi="楷体" w:cs="楷体" w:eastAsia="楷体" w:hint="default"/>
          <w:sz w:val="22"/>
          <w:szCs w:val="22"/>
        </w:rPr>
        <w:t>204,972,328</w:t>
      </w:r>
      <w:r>
        <w:rPr>
          <w:rFonts w:ascii="楷体" w:hAnsi="楷体" w:cs="楷体" w:eastAsia="楷体" w:hint="default"/>
          <w:spacing w:val="20"/>
          <w:sz w:val="22"/>
          <w:szCs w:val="22"/>
        </w:rPr>
        <w:t> </w:t>
      </w:r>
      <w:r>
        <w:rPr>
          <w:rFonts w:ascii="楷体" w:hAnsi="楷体" w:cs="楷体" w:eastAsia="楷体" w:hint="default"/>
          <w:spacing w:val="9"/>
          <w:sz w:val="22"/>
          <w:szCs w:val="22"/>
        </w:rPr>
        <w:t>股，其中，发起人持有</w:t>
      </w:r>
      <w:r>
        <w:rPr>
          <w:rFonts w:ascii="楷体" w:hAnsi="楷体" w:cs="楷体" w:eastAsia="楷体" w:hint="default"/>
          <w:sz w:val="22"/>
          <w:szCs w:val="22"/>
        </w:rPr>
      </w:r>
    </w:p>
    <w:p>
      <w:pPr>
        <w:spacing w:before="25"/>
        <w:ind w:left="138" w:right="0" w:firstLine="0"/>
        <w:jc w:val="both"/>
        <w:rPr>
          <w:rFonts w:ascii="楷体" w:hAnsi="楷体" w:cs="楷体" w:eastAsia="楷体" w:hint="default"/>
          <w:sz w:val="22"/>
          <w:szCs w:val="22"/>
        </w:rPr>
      </w:pPr>
      <w:r>
        <w:rPr>
          <w:rFonts w:ascii="楷体" w:hAnsi="楷体" w:cs="楷体" w:eastAsia="楷体" w:hint="default"/>
          <w:sz w:val="22"/>
          <w:szCs w:val="22"/>
        </w:rPr>
        <w:t>113,504,444</w:t>
      </w:r>
      <w:r>
        <w:rPr>
          <w:rFonts w:ascii="楷体" w:hAnsi="楷体" w:cs="楷体" w:eastAsia="楷体" w:hint="default"/>
          <w:spacing w:val="-50"/>
          <w:sz w:val="22"/>
          <w:szCs w:val="22"/>
        </w:rPr>
        <w:t> </w:t>
      </w:r>
      <w:r>
        <w:rPr>
          <w:rFonts w:ascii="楷体" w:hAnsi="楷体" w:cs="楷体" w:eastAsia="楷体" w:hint="default"/>
          <w:sz w:val="22"/>
          <w:szCs w:val="22"/>
        </w:rPr>
        <w:t>股，占公司股份总数的</w:t>
      </w:r>
      <w:r>
        <w:rPr>
          <w:rFonts w:ascii="楷体" w:hAnsi="楷体" w:cs="楷体" w:eastAsia="楷体" w:hint="default"/>
          <w:spacing w:val="-50"/>
          <w:sz w:val="22"/>
          <w:szCs w:val="22"/>
        </w:rPr>
        <w:t> </w:t>
      </w:r>
      <w:r>
        <w:rPr>
          <w:rFonts w:ascii="楷体" w:hAnsi="楷体" w:cs="楷体" w:eastAsia="楷体" w:hint="default"/>
          <w:sz w:val="22"/>
          <w:szCs w:val="22"/>
        </w:rPr>
        <w:t>55.38%；公司于</w:t>
      </w:r>
      <w:r>
        <w:rPr>
          <w:rFonts w:ascii="楷体" w:hAnsi="楷体" w:cs="楷体" w:eastAsia="楷体" w:hint="default"/>
          <w:spacing w:val="-51"/>
          <w:sz w:val="22"/>
          <w:szCs w:val="22"/>
        </w:rPr>
        <w:t> </w:t>
      </w:r>
      <w:r>
        <w:rPr>
          <w:rFonts w:ascii="楷体" w:hAnsi="楷体" w:cs="楷体" w:eastAsia="楷体" w:hint="default"/>
          <w:sz w:val="22"/>
          <w:szCs w:val="22"/>
        </w:rPr>
        <w:t>1999</w:t>
      </w:r>
      <w:r>
        <w:rPr>
          <w:rFonts w:ascii="楷体" w:hAnsi="楷体" w:cs="楷体" w:eastAsia="楷体" w:hint="default"/>
          <w:spacing w:val="-52"/>
          <w:sz w:val="22"/>
          <w:szCs w:val="22"/>
        </w:rPr>
        <w:t> </w:t>
      </w:r>
      <w:r>
        <w:rPr>
          <w:rFonts w:ascii="楷体" w:hAnsi="楷体" w:cs="楷体" w:eastAsia="楷体" w:hint="default"/>
          <w:sz w:val="22"/>
          <w:szCs w:val="22"/>
        </w:rPr>
        <w:t>年</w:t>
      </w:r>
      <w:r>
        <w:rPr>
          <w:rFonts w:ascii="楷体" w:hAnsi="楷体" w:cs="楷体" w:eastAsia="楷体" w:hint="default"/>
          <w:spacing w:val="-51"/>
          <w:sz w:val="22"/>
          <w:szCs w:val="22"/>
        </w:rPr>
        <w:t> </w:t>
      </w:r>
      <w:r>
        <w:rPr>
          <w:rFonts w:ascii="楷体" w:hAnsi="楷体" w:cs="楷体" w:eastAsia="楷体" w:hint="default"/>
          <w:sz w:val="22"/>
          <w:szCs w:val="22"/>
        </w:rPr>
        <w:t>9</w:t>
      </w:r>
      <w:r>
        <w:rPr>
          <w:rFonts w:ascii="楷体" w:hAnsi="楷体" w:cs="楷体" w:eastAsia="楷体" w:hint="default"/>
          <w:spacing w:val="-50"/>
          <w:sz w:val="22"/>
          <w:szCs w:val="22"/>
        </w:rPr>
        <w:t> </w:t>
      </w:r>
      <w:r>
        <w:rPr>
          <w:rFonts w:ascii="楷体" w:hAnsi="楷体" w:cs="楷体" w:eastAsia="楷体" w:hint="default"/>
          <w:sz w:val="22"/>
          <w:szCs w:val="22"/>
        </w:rPr>
        <w:t>月</w:t>
      </w:r>
      <w:r>
        <w:rPr>
          <w:rFonts w:ascii="楷体" w:hAnsi="楷体" w:cs="楷体" w:eastAsia="楷体" w:hint="default"/>
          <w:spacing w:val="-51"/>
          <w:sz w:val="22"/>
          <w:szCs w:val="22"/>
        </w:rPr>
        <w:t> </w:t>
      </w:r>
      <w:r>
        <w:rPr>
          <w:rFonts w:ascii="楷体" w:hAnsi="楷体" w:cs="楷体" w:eastAsia="楷体" w:hint="default"/>
          <w:sz w:val="22"/>
          <w:szCs w:val="22"/>
        </w:rPr>
        <w:t>13</w:t>
      </w:r>
      <w:r>
        <w:rPr>
          <w:rFonts w:ascii="楷体" w:hAnsi="楷体" w:cs="楷体" w:eastAsia="楷体" w:hint="default"/>
          <w:spacing w:val="-52"/>
          <w:sz w:val="22"/>
          <w:szCs w:val="22"/>
        </w:rPr>
        <w:t> </w:t>
      </w:r>
      <w:r>
        <w:rPr>
          <w:rFonts w:ascii="楷体" w:hAnsi="楷体" w:cs="楷体" w:eastAsia="楷体" w:hint="default"/>
          <w:sz w:val="22"/>
          <w:szCs w:val="22"/>
        </w:rPr>
        <w:t>日以</w:t>
      </w:r>
      <w:r>
        <w:rPr>
          <w:rFonts w:ascii="楷体" w:hAnsi="楷体" w:cs="楷体" w:eastAsia="楷体" w:hint="default"/>
          <w:spacing w:val="-50"/>
          <w:sz w:val="22"/>
          <w:szCs w:val="22"/>
        </w:rPr>
        <w:t> </w:t>
      </w:r>
      <w:r>
        <w:rPr>
          <w:rFonts w:ascii="楷体" w:hAnsi="楷体" w:cs="楷体" w:eastAsia="楷体" w:hint="default"/>
          <w:sz w:val="22"/>
          <w:szCs w:val="22"/>
        </w:rPr>
        <w:t>10:3</w:t>
      </w:r>
      <w:r>
        <w:rPr>
          <w:rFonts w:ascii="楷体" w:hAnsi="楷体" w:cs="楷体" w:eastAsia="楷体" w:hint="default"/>
          <w:spacing w:val="-52"/>
          <w:sz w:val="22"/>
          <w:szCs w:val="22"/>
        </w:rPr>
        <w:t> </w:t>
      </w:r>
      <w:r>
        <w:rPr>
          <w:rFonts w:ascii="楷体" w:hAnsi="楷体" w:cs="楷体" w:eastAsia="楷体" w:hint="default"/>
          <w:sz w:val="22"/>
          <w:szCs w:val="22"/>
        </w:rPr>
        <w:t>的比例派送红股</w:t>
      </w:r>
    </w:p>
    <w:p>
      <w:pPr>
        <w:spacing w:before="102"/>
        <w:ind w:left="138" w:right="0" w:firstLine="0"/>
        <w:jc w:val="both"/>
        <w:rPr>
          <w:rFonts w:ascii="楷体" w:hAnsi="楷体" w:cs="楷体" w:eastAsia="楷体" w:hint="default"/>
          <w:sz w:val="22"/>
          <w:szCs w:val="22"/>
        </w:rPr>
      </w:pPr>
      <w:r>
        <w:rPr>
          <w:rFonts w:ascii="楷体" w:hAnsi="楷体" w:cs="楷体" w:eastAsia="楷体" w:hint="default"/>
          <w:sz w:val="22"/>
          <w:szCs w:val="22"/>
        </w:rPr>
        <w:t>54,366,696</w:t>
      </w:r>
      <w:r>
        <w:rPr>
          <w:rFonts w:ascii="楷体" w:hAnsi="楷体" w:cs="楷体" w:eastAsia="楷体" w:hint="default"/>
          <w:spacing w:val="-58"/>
          <w:sz w:val="22"/>
          <w:szCs w:val="22"/>
        </w:rPr>
        <w:t> </w:t>
      </w:r>
      <w:r>
        <w:rPr>
          <w:rFonts w:ascii="楷体" w:hAnsi="楷体" w:cs="楷体" w:eastAsia="楷体" w:hint="default"/>
          <w:spacing w:val="-3"/>
          <w:sz w:val="22"/>
          <w:szCs w:val="22"/>
        </w:rPr>
        <w:t>股，致使股份总数增至</w:t>
      </w:r>
      <w:r>
        <w:rPr>
          <w:rFonts w:ascii="楷体" w:hAnsi="楷体" w:cs="楷体" w:eastAsia="楷体" w:hint="default"/>
          <w:spacing w:val="-58"/>
          <w:sz w:val="22"/>
          <w:szCs w:val="22"/>
        </w:rPr>
        <w:t> </w:t>
      </w:r>
      <w:r>
        <w:rPr>
          <w:rFonts w:ascii="楷体" w:hAnsi="楷体" w:cs="楷体" w:eastAsia="楷体" w:hint="default"/>
          <w:sz w:val="22"/>
          <w:szCs w:val="22"/>
        </w:rPr>
        <w:t>259,339,024</w:t>
      </w:r>
      <w:r>
        <w:rPr>
          <w:rFonts w:ascii="楷体" w:hAnsi="楷体" w:cs="楷体" w:eastAsia="楷体" w:hint="default"/>
          <w:spacing w:val="-57"/>
          <w:sz w:val="22"/>
          <w:szCs w:val="22"/>
        </w:rPr>
        <w:t> </w:t>
      </w:r>
      <w:r>
        <w:rPr>
          <w:rFonts w:ascii="楷体" w:hAnsi="楷体" w:cs="楷体" w:eastAsia="楷体" w:hint="default"/>
          <w:spacing w:val="-5"/>
          <w:sz w:val="22"/>
          <w:szCs w:val="22"/>
        </w:rPr>
        <w:t>股，其中，发起人持有</w:t>
      </w:r>
      <w:r>
        <w:rPr>
          <w:rFonts w:ascii="楷体" w:hAnsi="楷体" w:cs="楷体" w:eastAsia="楷体" w:hint="default"/>
          <w:spacing w:val="-57"/>
          <w:sz w:val="22"/>
          <w:szCs w:val="22"/>
        </w:rPr>
        <w:t> </w:t>
      </w:r>
      <w:r>
        <w:rPr>
          <w:rFonts w:ascii="楷体" w:hAnsi="楷体" w:cs="楷体" w:eastAsia="楷体" w:hint="default"/>
          <w:sz w:val="22"/>
          <w:szCs w:val="22"/>
        </w:rPr>
        <w:t>143,610,199</w:t>
      </w:r>
      <w:r>
        <w:rPr>
          <w:rFonts w:ascii="楷体" w:hAnsi="楷体" w:cs="楷体" w:eastAsia="楷体" w:hint="default"/>
          <w:spacing w:val="-57"/>
          <w:sz w:val="22"/>
          <w:szCs w:val="22"/>
        </w:rPr>
        <w:t> </w:t>
      </w:r>
      <w:r>
        <w:rPr>
          <w:rFonts w:ascii="楷体" w:hAnsi="楷体" w:cs="楷体" w:eastAsia="楷体" w:hint="default"/>
          <w:spacing w:val="-5"/>
          <w:sz w:val="22"/>
          <w:szCs w:val="22"/>
        </w:rPr>
        <w:t>股，占公司</w:t>
      </w:r>
    </w:p>
    <w:p>
      <w:pPr>
        <w:spacing w:before="102"/>
        <w:ind w:left="138" w:right="0" w:firstLine="0"/>
        <w:jc w:val="both"/>
        <w:rPr>
          <w:rFonts w:ascii="楷体" w:hAnsi="楷体" w:cs="楷体" w:eastAsia="楷体" w:hint="default"/>
          <w:sz w:val="22"/>
          <w:szCs w:val="22"/>
        </w:rPr>
      </w:pPr>
      <w:r>
        <w:rPr>
          <w:rFonts w:ascii="楷体" w:hAnsi="楷体" w:cs="楷体" w:eastAsia="楷体" w:hint="default"/>
          <w:sz w:val="22"/>
          <w:szCs w:val="22"/>
        </w:rPr>
        <w:t>股份总数的</w:t>
      </w:r>
      <w:r>
        <w:rPr>
          <w:rFonts w:ascii="楷体" w:hAnsi="楷体" w:cs="楷体" w:eastAsia="楷体" w:hint="default"/>
          <w:spacing w:val="-57"/>
          <w:sz w:val="22"/>
          <w:szCs w:val="22"/>
        </w:rPr>
        <w:t> </w:t>
      </w:r>
      <w:r>
        <w:rPr>
          <w:rFonts w:ascii="楷体" w:hAnsi="楷体" w:cs="楷体" w:eastAsia="楷体" w:hint="default"/>
          <w:sz w:val="22"/>
          <w:szCs w:val="22"/>
        </w:rPr>
        <w:t>55.38%；公司于</w:t>
      </w:r>
      <w:r>
        <w:rPr>
          <w:rFonts w:ascii="楷体" w:hAnsi="楷体" w:cs="楷体" w:eastAsia="楷体" w:hint="default"/>
          <w:spacing w:val="-56"/>
          <w:sz w:val="22"/>
          <w:szCs w:val="22"/>
        </w:rPr>
        <w:t> </w:t>
      </w:r>
      <w:r>
        <w:rPr>
          <w:rFonts w:ascii="楷体" w:hAnsi="楷体" w:cs="楷体" w:eastAsia="楷体" w:hint="default"/>
          <w:sz w:val="22"/>
          <w:szCs w:val="22"/>
        </w:rPr>
        <w:t>2000</w:t>
      </w:r>
      <w:r>
        <w:rPr>
          <w:rFonts w:ascii="楷体" w:hAnsi="楷体" w:cs="楷体" w:eastAsia="楷体" w:hint="default"/>
          <w:spacing w:val="-58"/>
          <w:sz w:val="22"/>
          <w:szCs w:val="22"/>
        </w:rPr>
        <w:t> </w:t>
      </w:r>
      <w:r>
        <w:rPr>
          <w:rFonts w:ascii="楷体" w:hAnsi="楷体" w:cs="楷体" w:eastAsia="楷体" w:hint="default"/>
          <w:sz w:val="22"/>
          <w:szCs w:val="22"/>
        </w:rPr>
        <w:t>年</w:t>
      </w:r>
      <w:r>
        <w:rPr>
          <w:rFonts w:ascii="楷体" w:hAnsi="楷体" w:cs="楷体" w:eastAsia="楷体" w:hint="default"/>
          <w:spacing w:val="-56"/>
          <w:sz w:val="22"/>
          <w:szCs w:val="22"/>
        </w:rPr>
        <w:t> </w:t>
      </w:r>
      <w:r>
        <w:rPr>
          <w:rFonts w:ascii="楷体" w:hAnsi="楷体" w:cs="楷体" w:eastAsia="楷体" w:hint="default"/>
          <w:sz w:val="22"/>
          <w:szCs w:val="22"/>
        </w:rPr>
        <w:t>5</w:t>
      </w:r>
      <w:r>
        <w:rPr>
          <w:rFonts w:ascii="楷体" w:hAnsi="楷体" w:cs="楷体" w:eastAsia="楷体" w:hint="default"/>
          <w:spacing w:val="-56"/>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楷体" w:hAnsi="楷体" w:cs="楷体" w:eastAsia="楷体" w:hint="default"/>
          <w:sz w:val="22"/>
          <w:szCs w:val="22"/>
        </w:rPr>
        <w:t>12</w:t>
      </w:r>
      <w:r>
        <w:rPr>
          <w:rFonts w:ascii="楷体" w:hAnsi="楷体" w:cs="楷体" w:eastAsia="楷体" w:hint="default"/>
          <w:spacing w:val="-58"/>
          <w:sz w:val="22"/>
          <w:szCs w:val="22"/>
        </w:rPr>
        <w:t> </w:t>
      </w:r>
      <w:r>
        <w:rPr>
          <w:rFonts w:ascii="楷体" w:hAnsi="楷体" w:cs="楷体" w:eastAsia="楷体" w:hint="default"/>
          <w:sz w:val="22"/>
          <w:szCs w:val="22"/>
        </w:rPr>
        <w:t>日以</w:t>
      </w:r>
      <w:r>
        <w:rPr>
          <w:rFonts w:ascii="楷体" w:hAnsi="楷体" w:cs="楷体" w:eastAsia="楷体" w:hint="default"/>
          <w:spacing w:val="-56"/>
          <w:sz w:val="22"/>
          <w:szCs w:val="22"/>
        </w:rPr>
        <w:t> </w:t>
      </w:r>
      <w:r>
        <w:rPr>
          <w:rFonts w:ascii="楷体" w:hAnsi="楷体" w:cs="楷体" w:eastAsia="楷体" w:hint="default"/>
          <w:sz w:val="22"/>
          <w:szCs w:val="22"/>
        </w:rPr>
        <w:t>10:4</w:t>
      </w:r>
      <w:r>
        <w:rPr>
          <w:rFonts w:ascii="楷体" w:hAnsi="楷体" w:cs="楷体" w:eastAsia="楷体" w:hint="default"/>
          <w:spacing w:val="-58"/>
          <w:sz w:val="22"/>
          <w:szCs w:val="22"/>
        </w:rPr>
        <w:t> </w:t>
      </w:r>
      <w:r>
        <w:rPr>
          <w:rFonts w:ascii="楷体" w:hAnsi="楷体" w:cs="楷体" w:eastAsia="楷体" w:hint="default"/>
          <w:sz w:val="22"/>
          <w:szCs w:val="22"/>
        </w:rPr>
        <w:t>的比例实施资本公积金转增股本，致使股</w:t>
      </w:r>
    </w:p>
    <w:p>
      <w:pPr>
        <w:spacing w:before="102"/>
        <w:ind w:left="138" w:right="0" w:firstLine="0"/>
        <w:jc w:val="both"/>
        <w:rPr>
          <w:rFonts w:ascii="楷体" w:hAnsi="楷体" w:cs="楷体" w:eastAsia="楷体" w:hint="default"/>
          <w:sz w:val="22"/>
          <w:szCs w:val="22"/>
        </w:rPr>
      </w:pPr>
      <w:r>
        <w:rPr>
          <w:rFonts w:ascii="楷体" w:hAnsi="楷体" w:cs="楷体" w:eastAsia="楷体" w:hint="default"/>
          <w:sz w:val="22"/>
          <w:szCs w:val="22"/>
        </w:rPr>
        <w:t>份总数增至</w:t>
      </w:r>
      <w:r>
        <w:rPr>
          <w:rFonts w:ascii="楷体" w:hAnsi="楷体" w:cs="楷体" w:eastAsia="楷体" w:hint="default"/>
          <w:spacing w:val="-55"/>
          <w:sz w:val="22"/>
          <w:szCs w:val="22"/>
        </w:rPr>
        <w:t> </w:t>
      </w:r>
      <w:r>
        <w:rPr>
          <w:rFonts w:ascii="楷体" w:hAnsi="楷体" w:cs="楷体" w:eastAsia="楷体" w:hint="default"/>
          <w:sz w:val="22"/>
          <w:szCs w:val="22"/>
        </w:rPr>
        <w:t>363,074,634</w:t>
      </w:r>
      <w:r>
        <w:rPr>
          <w:rFonts w:ascii="楷体" w:hAnsi="楷体" w:cs="楷体" w:eastAsia="楷体" w:hint="default"/>
          <w:spacing w:val="-55"/>
          <w:sz w:val="22"/>
          <w:szCs w:val="22"/>
        </w:rPr>
        <w:t> </w:t>
      </w:r>
      <w:r>
        <w:rPr>
          <w:rFonts w:ascii="楷体" w:hAnsi="楷体" w:cs="楷体" w:eastAsia="楷体" w:hint="default"/>
          <w:spacing w:val="-4"/>
          <w:sz w:val="22"/>
          <w:szCs w:val="22"/>
        </w:rPr>
        <w:t>股，其中发起人持有</w:t>
      </w:r>
      <w:r>
        <w:rPr>
          <w:rFonts w:ascii="楷体" w:hAnsi="楷体" w:cs="楷体" w:eastAsia="楷体" w:hint="default"/>
          <w:spacing w:val="-55"/>
          <w:sz w:val="22"/>
          <w:szCs w:val="22"/>
        </w:rPr>
        <w:t> </w:t>
      </w:r>
      <w:r>
        <w:rPr>
          <w:rFonts w:ascii="楷体" w:hAnsi="楷体" w:cs="楷体" w:eastAsia="楷体" w:hint="default"/>
          <w:sz w:val="22"/>
          <w:szCs w:val="22"/>
        </w:rPr>
        <w:t>201,054,279</w:t>
      </w:r>
      <w:r>
        <w:rPr>
          <w:rFonts w:ascii="楷体" w:hAnsi="楷体" w:cs="楷体" w:eastAsia="楷体" w:hint="default"/>
          <w:spacing w:val="-55"/>
          <w:sz w:val="22"/>
          <w:szCs w:val="22"/>
        </w:rPr>
        <w:t> </w:t>
      </w:r>
      <w:r>
        <w:rPr>
          <w:rFonts w:ascii="楷体" w:hAnsi="楷体" w:cs="楷体" w:eastAsia="楷体" w:hint="default"/>
          <w:spacing w:val="-4"/>
          <w:sz w:val="22"/>
          <w:szCs w:val="22"/>
        </w:rPr>
        <w:t>股，占公司股份总数的</w:t>
      </w:r>
      <w:r>
        <w:rPr>
          <w:rFonts w:ascii="楷体" w:hAnsi="楷体" w:cs="楷体" w:eastAsia="楷体" w:hint="default"/>
          <w:spacing w:val="-54"/>
          <w:sz w:val="22"/>
          <w:szCs w:val="22"/>
        </w:rPr>
        <w:t> </w:t>
      </w:r>
      <w:r>
        <w:rPr>
          <w:rFonts w:ascii="楷体" w:hAnsi="楷体" w:cs="楷体" w:eastAsia="楷体" w:hint="default"/>
          <w:spacing w:val="-4"/>
          <w:sz w:val="22"/>
          <w:szCs w:val="22"/>
        </w:rPr>
        <w:t>55.38%；公司</w:t>
      </w:r>
    </w:p>
    <w:p>
      <w:pPr>
        <w:spacing w:before="102"/>
        <w:ind w:left="138" w:right="0" w:firstLine="0"/>
        <w:jc w:val="both"/>
        <w:rPr>
          <w:rFonts w:ascii="楷体" w:hAnsi="楷体" w:cs="楷体" w:eastAsia="楷体" w:hint="default"/>
          <w:sz w:val="22"/>
          <w:szCs w:val="22"/>
        </w:rPr>
      </w:pPr>
      <w:r>
        <w:rPr>
          <w:rFonts w:ascii="楷体" w:hAnsi="楷体" w:cs="楷体" w:eastAsia="楷体" w:hint="default"/>
          <w:sz w:val="22"/>
          <w:szCs w:val="22"/>
        </w:rPr>
        <w:t>于 2000 年 12 月 27 日向境内社会公众增发人民币普通股 20,000,000</w:t>
      </w:r>
      <w:r>
        <w:rPr>
          <w:rFonts w:ascii="楷体" w:hAnsi="楷体" w:cs="楷体" w:eastAsia="楷体" w:hint="default"/>
          <w:spacing w:val="-58"/>
          <w:sz w:val="22"/>
          <w:szCs w:val="22"/>
        </w:rPr>
        <w:t> </w:t>
      </w:r>
      <w:r>
        <w:rPr>
          <w:rFonts w:ascii="楷体" w:hAnsi="楷体" w:cs="楷体" w:eastAsia="楷体" w:hint="default"/>
          <w:sz w:val="22"/>
          <w:szCs w:val="22"/>
        </w:rPr>
        <w:t>股，致使股份总数增至</w:t>
      </w:r>
    </w:p>
    <w:p>
      <w:pPr>
        <w:spacing w:before="102"/>
        <w:ind w:left="138" w:right="0" w:firstLine="0"/>
        <w:jc w:val="both"/>
        <w:rPr>
          <w:rFonts w:ascii="楷体" w:hAnsi="楷体" w:cs="楷体" w:eastAsia="楷体" w:hint="default"/>
          <w:sz w:val="22"/>
          <w:szCs w:val="22"/>
        </w:rPr>
      </w:pPr>
      <w:r>
        <w:rPr>
          <w:rFonts w:ascii="楷体" w:hAnsi="楷体" w:cs="楷体" w:eastAsia="楷体" w:hint="default"/>
          <w:sz w:val="22"/>
          <w:szCs w:val="22"/>
        </w:rPr>
        <w:t>383,074,634</w:t>
      </w:r>
      <w:r>
        <w:rPr>
          <w:rFonts w:ascii="楷体" w:hAnsi="楷体" w:cs="楷体" w:eastAsia="楷体" w:hint="default"/>
          <w:spacing w:val="-35"/>
          <w:sz w:val="22"/>
          <w:szCs w:val="22"/>
        </w:rPr>
        <w:t> </w:t>
      </w:r>
      <w:r>
        <w:rPr>
          <w:rFonts w:ascii="楷体" w:hAnsi="楷体" w:cs="楷体" w:eastAsia="楷体" w:hint="default"/>
          <w:sz w:val="22"/>
          <w:szCs w:val="22"/>
        </w:rPr>
        <w:t>股，其中，发起人持有</w:t>
      </w:r>
      <w:r>
        <w:rPr>
          <w:rFonts w:ascii="楷体" w:hAnsi="楷体" w:cs="楷体" w:eastAsia="楷体" w:hint="default"/>
          <w:spacing w:val="-35"/>
          <w:sz w:val="22"/>
          <w:szCs w:val="22"/>
        </w:rPr>
        <w:t> </w:t>
      </w:r>
      <w:r>
        <w:rPr>
          <w:rFonts w:ascii="楷体" w:hAnsi="楷体" w:cs="楷体" w:eastAsia="楷体" w:hint="default"/>
          <w:sz w:val="22"/>
          <w:szCs w:val="22"/>
        </w:rPr>
        <w:t>201,054,279</w:t>
      </w:r>
      <w:r>
        <w:rPr>
          <w:rFonts w:ascii="楷体" w:hAnsi="楷体" w:cs="楷体" w:eastAsia="楷体" w:hint="default"/>
          <w:spacing w:val="-37"/>
          <w:sz w:val="22"/>
          <w:szCs w:val="22"/>
        </w:rPr>
        <w:t> </w:t>
      </w:r>
      <w:r>
        <w:rPr>
          <w:rFonts w:ascii="楷体" w:hAnsi="楷体" w:cs="楷体" w:eastAsia="楷体" w:hint="default"/>
          <w:sz w:val="22"/>
          <w:szCs w:val="22"/>
        </w:rPr>
        <w:t>股，占公司股份总数的</w:t>
      </w:r>
      <w:r>
        <w:rPr>
          <w:rFonts w:ascii="楷体" w:hAnsi="楷体" w:cs="楷体" w:eastAsia="楷体" w:hint="default"/>
          <w:spacing w:val="-35"/>
          <w:sz w:val="22"/>
          <w:szCs w:val="22"/>
        </w:rPr>
        <w:t> </w:t>
      </w:r>
      <w:r>
        <w:rPr>
          <w:rFonts w:ascii="楷体" w:hAnsi="楷体" w:cs="楷体" w:eastAsia="楷体" w:hint="default"/>
          <w:sz w:val="22"/>
          <w:szCs w:val="22"/>
        </w:rPr>
        <w:t>52.48%；公司于</w:t>
      </w:r>
      <w:r>
        <w:rPr>
          <w:rFonts w:ascii="楷体" w:hAnsi="楷体" w:cs="楷体" w:eastAsia="楷体" w:hint="default"/>
          <w:spacing w:val="-35"/>
          <w:sz w:val="22"/>
          <w:szCs w:val="22"/>
        </w:rPr>
        <w:t> </w:t>
      </w:r>
      <w:r>
        <w:rPr>
          <w:rFonts w:ascii="楷体" w:hAnsi="楷体" w:cs="楷体" w:eastAsia="楷体" w:hint="default"/>
          <w:sz w:val="22"/>
          <w:szCs w:val="22"/>
        </w:rPr>
        <w:t>2001</w:t>
      </w:r>
    </w:p>
    <w:p>
      <w:pPr>
        <w:spacing w:line="324" w:lineRule="auto" w:before="102"/>
        <w:ind w:left="138" w:right="104" w:firstLine="0"/>
        <w:jc w:val="both"/>
        <w:rPr>
          <w:rFonts w:ascii="楷体" w:hAnsi="楷体" w:cs="楷体" w:eastAsia="楷体" w:hint="default"/>
          <w:sz w:val="22"/>
          <w:szCs w:val="22"/>
        </w:rPr>
      </w:pPr>
      <w:r>
        <w:rPr>
          <w:rFonts w:ascii="楷体" w:hAnsi="楷体" w:cs="楷体" w:eastAsia="楷体" w:hint="default"/>
          <w:sz w:val="22"/>
          <w:szCs w:val="22"/>
        </w:rPr>
        <w:t>年</w:t>
      </w:r>
      <w:r>
        <w:rPr>
          <w:rFonts w:ascii="楷体" w:hAnsi="楷体" w:cs="楷体" w:eastAsia="楷体" w:hint="default"/>
          <w:spacing w:val="-57"/>
          <w:sz w:val="22"/>
          <w:szCs w:val="22"/>
        </w:rPr>
        <w:t> </w:t>
      </w:r>
      <w:r>
        <w:rPr>
          <w:rFonts w:ascii="楷体" w:hAnsi="楷体" w:cs="楷体" w:eastAsia="楷体" w:hint="default"/>
          <w:sz w:val="22"/>
          <w:szCs w:val="22"/>
        </w:rPr>
        <w:t>5</w:t>
      </w:r>
      <w:r>
        <w:rPr>
          <w:rFonts w:ascii="楷体" w:hAnsi="楷体" w:cs="楷体" w:eastAsia="楷体" w:hint="default"/>
          <w:spacing w:val="-58"/>
          <w:sz w:val="22"/>
          <w:szCs w:val="22"/>
        </w:rPr>
        <w:t> </w:t>
      </w:r>
      <w:r>
        <w:rPr>
          <w:rFonts w:ascii="楷体" w:hAnsi="楷体" w:cs="楷体" w:eastAsia="楷体" w:hint="default"/>
          <w:sz w:val="22"/>
          <w:szCs w:val="22"/>
        </w:rPr>
        <w:t>月</w:t>
      </w:r>
      <w:r>
        <w:rPr>
          <w:rFonts w:ascii="楷体" w:hAnsi="楷体" w:cs="楷体" w:eastAsia="楷体" w:hint="default"/>
          <w:spacing w:val="-57"/>
          <w:sz w:val="22"/>
          <w:szCs w:val="22"/>
        </w:rPr>
        <w:t> </w:t>
      </w:r>
      <w:r>
        <w:rPr>
          <w:rFonts w:ascii="楷体" w:hAnsi="楷体" w:cs="楷体" w:eastAsia="楷体" w:hint="default"/>
          <w:sz w:val="22"/>
          <w:szCs w:val="22"/>
        </w:rPr>
        <w:t>15</w:t>
      </w:r>
      <w:r>
        <w:rPr>
          <w:rFonts w:ascii="楷体" w:hAnsi="楷体" w:cs="楷体" w:eastAsia="楷体" w:hint="default"/>
          <w:spacing w:val="-58"/>
          <w:sz w:val="22"/>
          <w:szCs w:val="22"/>
        </w:rPr>
        <w:t> </w:t>
      </w:r>
      <w:r>
        <w:rPr>
          <w:rFonts w:ascii="楷体" w:hAnsi="楷体" w:cs="楷体" w:eastAsia="楷体" w:hint="default"/>
          <w:sz w:val="22"/>
          <w:szCs w:val="22"/>
        </w:rPr>
        <w:t>日以</w:t>
      </w:r>
      <w:r>
        <w:rPr>
          <w:rFonts w:ascii="楷体" w:hAnsi="楷体" w:cs="楷体" w:eastAsia="楷体" w:hint="default"/>
          <w:spacing w:val="-57"/>
          <w:sz w:val="22"/>
          <w:szCs w:val="22"/>
        </w:rPr>
        <w:t> </w:t>
      </w:r>
      <w:r>
        <w:rPr>
          <w:rFonts w:ascii="楷体" w:hAnsi="楷体" w:cs="楷体" w:eastAsia="楷体" w:hint="default"/>
          <w:sz w:val="22"/>
          <w:szCs w:val="22"/>
        </w:rPr>
        <w:t>10:5</w:t>
      </w:r>
      <w:r>
        <w:rPr>
          <w:rFonts w:ascii="楷体" w:hAnsi="楷体" w:cs="楷体" w:eastAsia="楷体" w:hint="default"/>
          <w:spacing w:val="-58"/>
          <w:sz w:val="22"/>
          <w:szCs w:val="22"/>
        </w:rPr>
        <w:t> </w:t>
      </w:r>
      <w:r>
        <w:rPr>
          <w:rFonts w:ascii="楷体" w:hAnsi="楷体" w:cs="楷体" w:eastAsia="楷体" w:hint="default"/>
          <w:sz w:val="22"/>
          <w:szCs w:val="22"/>
        </w:rPr>
        <w:t>的比例实施资本公积金转增股本，使股份总数增至</w:t>
      </w:r>
      <w:r>
        <w:rPr>
          <w:rFonts w:ascii="楷体" w:hAnsi="楷体" w:cs="楷体" w:eastAsia="楷体" w:hint="default"/>
          <w:spacing w:val="-57"/>
          <w:sz w:val="22"/>
          <w:szCs w:val="22"/>
        </w:rPr>
        <w:t> </w:t>
      </w:r>
      <w:r>
        <w:rPr>
          <w:rFonts w:ascii="楷体" w:hAnsi="楷体" w:cs="楷体" w:eastAsia="楷体" w:hint="default"/>
          <w:sz w:val="22"/>
          <w:szCs w:val="22"/>
        </w:rPr>
        <w:t>574,612,295</w:t>
      </w:r>
      <w:r>
        <w:rPr>
          <w:rFonts w:ascii="楷体" w:hAnsi="楷体" w:cs="楷体" w:eastAsia="楷体" w:hint="default"/>
          <w:spacing w:val="-57"/>
          <w:sz w:val="22"/>
          <w:szCs w:val="22"/>
        </w:rPr>
        <w:t> </w:t>
      </w:r>
      <w:r>
        <w:rPr>
          <w:rFonts w:ascii="楷体" w:hAnsi="楷体" w:cs="楷体" w:eastAsia="楷体" w:hint="default"/>
          <w:sz w:val="22"/>
          <w:szCs w:val="22"/>
        </w:rPr>
        <w:t>股，其中，</w:t>
      </w:r>
      <w:r>
        <w:rPr>
          <w:rFonts w:ascii="楷体" w:hAnsi="楷体" w:cs="楷体" w:eastAsia="楷体" w:hint="default"/>
          <w:w w:val="99"/>
          <w:sz w:val="22"/>
          <w:szCs w:val="22"/>
        </w:rPr>
        <w:t> </w:t>
      </w:r>
      <w:r>
        <w:rPr>
          <w:rFonts w:ascii="楷体" w:hAnsi="楷体" w:cs="楷体" w:eastAsia="楷体" w:hint="default"/>
          <w:sz w:val="22"/>
          <w:szCs w:val="22"/>
        </w:rPr>
        <w:t>发起人持有</w:t>
      </w:r>
      <w:r>
        <w:rPr>
          <w:rFonts w:ascii="楷体" w:hAnsi="楷体" w:cs="楷体" w:eastAsia="楷体" w:hint="default"/>
          <w:spacing w:val="-59"/>
          <w:sz w:val="22"/>
          <w:szCs w:val="22"/>
        </w:rPr>
        <w:t> </w:t>
      </w:r>
      <w:r>
        <w:rPr>
          <w:rFonts w:ascii="楷体" w:hAnsi="楷体" w:cs="楷体" w:eastAsia="楷体" w:hint="default"/>
          <w:sz w:val="22"/>
          <w:szCs w:val="22"/>
        </w:rPr>
        <w:t>301,581,762</w:t>
      </w:r>
      <w:r>
        <w:rPr>
          <w:rFonts w:ascii="楷体" w:hAnsi="楷体" w:cs="楷体" w:eastAsia="楷体" w:hint="default"/>
          <w:spacing w:val="-59"/>
          <w:sz w:val="22"/>
          <w:szCs w:val="22"/>
        </w:rPr>
        <w:t> </w:t>
      </w:r>
      <w:r>
        <w:rPr>
          <w:rFonts w:ascii="楷体" w:hAnsi="楷体" w:cs="楷体" w:eastAsia="楷体" w:hint="default"/>
          <w:sz w:val="22"/>
          <w:szCs w:val="22"/>
        </w:rPr>
        <w:t>股，仍占公司股份总数的</w:t>
      </w:r>
      <w:r>
        <w:rPr>
          <w:rFonts w:ascii="楷体" w:hAnsi="楷体" w:cs="楷体" w:eastAsia="楷体" w:hint="default"/>
          <w:spacing w:val="-58"/>
          <w:sz w:val="22"/>
          <w:szCs w:val="22"/>
        </w:rPr>
        <w:t> </w:t>
      </w:r>
      <w:r>
        <w:rPr>
          <w:rFonts w:ascii="楷体" w:hAnsi="楷体" w:cs="楷体" w:eastAsia="楷体" w:hint="default"/>
          <w:sz w:val="22"/>
          <w:szCs w:val="22"/>
        </w:rPr>
        <w:t>52.48%。</w:t>
      </w:r>
    </w:p>
    <w:p>
      <w:pPr>
        <w:spacing w:before="103"/>
        <w:ind w:left="579" w:right="0" w:firstLine="0"/>
        <w:jc w:val="left"/>
        <w:rPr>
          <w:rFonts w:ascii="楷体" w:hAnsi="楷体" w:cs="楷体" w:eastAsia="楷体" w:hint="default"/>
          <w:sz w:val="22"/>
          <w:szCs w:val="22"/>
        </w:rPr>
      </w:pPr>
      <w:r>
        <w:rPr>
          <w:rFonts w:ascii="楷体" w:hAnsi="楷体" w:cs="楷体" w:eastAsia="楷体" w:hint="default"/>
          <w:sz w:val="22"/>
          <w:szCs w:val="22"/>
        </w:rPr>
        <w:t>经国务院国有资产监督管理委员会批准，公司于</w:t>
      </w:r>
      <w:r>
        <w:rPr>
          <w:rFonts w:ascii="楷体" w:hAnsi="楷体" w:cs="楷体" w:eastAsia="楷体" w:hint="default"/>
          <w:spacing w:val="-62"/>
          <w:sz w:val="22"/>
          <w:szCs w:val="22"/>
        </w:rPr>
        <w:t> </w:t>
      </w:r>
      <w:r>
        <w:rPr>
          <w:rFonts w:ascii="楷体" w:hAnsi="楷体" w:cs="楷体" w:eastAsia="楷体" w:hint="default"/>
          <w:sz w:val="22"/>
          <w:szCs w:val="22"/>
        </w:rPr>
        <w:t>2006</w:t>
      </w:r>
      <w:r>
        <w:rPr>
          <w:rFonts w:ascii="楷体" w:hAnsi="楷体" w:cs="楷体" w:eastAsia="楷体" w:hint="default"/>
          <w:spacing w:val="-64"/>
          <w:sz w:val="22"/>
          <w:szCs w:val="22"/>
        </w:rPr>
        <w:t> </w:t>
      </w:r>
      <w:r>
        <w:rPr>
          <w:rFonts w:ascii="楷体" w:hAnsi="楷体" w:cs="楷体" w:eastAsia="楷体" w:hint="default"/>
          <w:sz w:val="22"/>
          <w:szCs w:val="22"/>
        </w:rPr>
        <w:t>年</w:t>
      </w:r>
      <w:r>
        <w:rPr>
          <w:rFonts w:ascii="楷体" w:hAnsi="楷体" w:cs="楷体" w:eastAsia="楷体" w:hint="default"/>
          <w:spacing w:val="-63"/>
          <w:sz w:val="22"/>
          <w:szCs w:val="22"/>
        </w:rPr>
        <w:t> </w:t>
      </w:r>
      <w:r>
        <w:rPr>
          <w:rFonts w:ascii="楷体" w:hAnsi="楷体" w:cs="楷体" w:eastAsia="楷体" w:hint="default"/>
          <w:sz w:val="22"/>
          <w:szCs w:val="22"/>
        </w:rPr>
        <w:t>2</w:t>
      </w:r>
      <w:r>
        <w:rPr>
          <w:rFonts w:ascii="楷体" w:hAnsi="楷体" w:cs="楷体" w:eastAsia="楷体" w:hint="default"/>
          <w:spacing w:val="-64"/>
          <w:sz w:val="22"/>
          <w:szCs w:val="22"/>
        </w:rPr>
        <w:t> </w:t>
      </w:r>
      <w:r>
        <w:rPr>
          <w:rFonts w:ascii="楷体" w:hAnsi="楷体" w:cs="楷体" w:eastAsia="楷体" w:hint="default"/>
          <w:sz w:val="22"/>
          <w:szCs w:val="22"/>
        </w:rPr>
        <w:t>月</w:t>
      </w:r>
      <w:r>
        <w:rPr>
          <w:rFonts w:ascii="楷体" w:hAnsi="楷体" w:cs="楷体" w:eastAsia="楷体" w:hint="default"/>
          <w:spacing w:val="-62"/>
          <w:sz w:val="22"/>
          <w:szCs w:val="22"/>
        </w:rPr>
        <w:t> </w:t>
      </w:r>
      <w:r>
        <w:rPr>
          <w:rFonts w:ascii="楷体" w:hAnsi="楷体" w:cs="楷体" w:eastAsia="楷体" w:hint="default"/>
          <w:sz w:val="22"/>
          <w:szCs w:val="22"/>
        </w:rPr>
        <w:t>10</w:t>
      </w:r>
      <w:r>
        <w:rPr>
          <w:rFonts w:ascii="楷体" w:hAnsi="楷体" w:cs="楷体" w:eastAsia="楷体" w:hint="default"/>
          <w:spacing w:val="-63"/>
          <w:sz w:val="22"/>
          <w:szCs w:val="22"/>
        </w:rPr>
        <w:t> </w:t>
      </w:r>
      <w:r>
        <w:rPr>
          <w:rFonts w:ascii="楷体" w:hAnsi="楷体" w:cs="楷体" w:eastAsia="楷体" w:hint="default"/>
          <w:sz w:val="22"/>
          <w:szCs w:val="22"/>
        </w:rPr>
        <w:t>日实施了股权分置改革，由</w:t>
      </w:r>
    </w:p>
    <w:p>
      <w:pPr>
        <w:spacing w:before="102"/>
        <w:ind w:left="138" w:right="0" w:firstLine="0"/>
        <w:jc w:val="both"/>
        <w:rPr>
          <w:rFonts w:ascii="楷体" w:hAnsi="楷体" w:cs="楷体" w:eastAsia="楷体" w:hint="default"/>
          <w:sz w:val="22"/>
          <w:szCs w:val="22"/>
        </w:rPr>
      </w:pPr>
      <w:r>
        <w:rPr>
          <w:rFonts w:ascii="楷体" w:hAnsi="楷体" w:cs="楷体" w:eastAsia="楷体" w:hint="default"/>
          <w:spacing w:val="16"/>
          <w:sz w:val="22"/>
          <w:szCs w:val="22"/>
        </w:rPr>
        <w:t>非流通股股东向流通股股东按 </w:t>
      </w:r>
      <w:r>
        <w:rPr>
          <w:rFonts w:ascii="楷体" w:hAnsi="楷体" w:cs="楷体" w:eastAsia="楷体" w:hint="default"/>
          <w:sz w:val="22"/>
          <w:szCs w:val="22"/>
        </w:rPr>
        <w:t>10:3.8</w:t>
      </w:r>
      <w:r>
        <w:rPr>
          <w:rFonts w:ascii="楷体" w:hAnsi="楷体" w:cs="楷体" w:eastAsia="楷体" w:hint="default"/>
          <w:spacing w:val="15"/>
          <w:sz w:val="22"/>
          <w:szCs w:val="22"/>
        </w:rPr>
        <w:t> </w:t>
      </w:r>
      <w:r>
        <w:rPr>
          <w:rFonts w:ascii="楷体" w:hAnsi="楷体" w:cs="楷体" w:eastAsia="楷体" w:hint="default"/>
          <w:spacing w:val="18"/>
          <w:sz w:val="22"/>
          <w:szCs w:val="22"/>
        </w:rPr>
        <w:t>的比例支付获取非流通股份上市流通权的对价共计</w:t>
      </w:r>
      <w:r>
        <w:rPr>
          <w:rFonts w:ascii="楷体" w:hAnsi="楷体" w:cs="楷体" w:eastAsia="楷体" w:hint="default"/>
          <w:sz w:val="22"/>
          <w:szCs w:val="22"/>
        </w:rPr>
      </w:r>
    </w:p>
    <w:p>
      <w:pPr>
        <w:spacing w:line="324" w:lineRule="auto" w:before="102"/>
        <w:ind w:left="138" w:right="142" w:hanging="1"/>
        <w:jc w:val="both"/>
        <w:rPr>
          <w:rFonts w:ascii="楷体" w:hAnsi="楷体" w:cs="楷体" w:eastAsia="楷体" w:hint="default"/>
          <w:sz w:val="22"/>
          <w:szCs w:val="22"/>
        </w:rPr>
      </w:pPr>
      <w:r>
        <w:rPr>
          <w:rFonts w:ascii="楷体" w:hAnsi="楷体" w:cs="楷体" w:eastAsia="楷体" w:hint="default"/>
          <w:spacing w:val="-1"/>
          <w:w w:val="99"/>
          <w:sz w:val="22"/>
          <w:szCs w:val="22"/>
        </w:rPr>
        <w:t>103,751,603</w:t>
      </w:r>
      <w:r>
        <w:rPr>
          <w:rFonts w:ascii="楷体" w:hAnsi="楷体" w:cs="楷体" w:eastAsia="楷体" w:hint="default"/>
          <w:spacing w:val="-45"/>
          <w:w w:val="99"/>
          <w:sz w:val="22"/>
          <w:szCs w:val="22"/>
        </w:rPr>
        <w:t> </w:t>
      </w:r>
      <w:r>
        <w:rPr>
          <w:rFonts w:ascii="楷体" w:hAnsi="楷体" w:cs="楷体" w:eastAsia="楷体" w:hint="default"/>
          <w:spacing w:val="-12"/>
          <w:w w:val="99"/>
          <w:sz w:val="22"/>
          <w:szCs w:val="22"/>
        </w:rPr>
        <w:t>股。股权分置改革后，公司股份总数不变，其中，发起人持有股份减少至</w:t>
      </w:r>
      <w:r>
        <w:rPr>
          <w:rFonts w:ascii="楷体" w:hAnsi="楷体" w:cs="楷体" w:eastAsia="楷体" w:hint="default"/>
          <w:spacing w:val="-45"/>
          <w:w w:val="99"/>
          <w:sz w:val="22"/>
          <w:szCs w:val="22"/>
        </w:rPr>
        <w:t> </w:t>
      </w:r>
      <w:r>
        <w:rPr>
          <w:rFonts w:ascii="楷体" w:hAnsi="楷体" w:cs="楷体" w:eastAsia="楷体" w:hint="default"/>
          <w:w w:val="99"/>
          <w:sz w:val="22"/>
          <w:szCs w:val="22"/>
        </w:rPr>
        <w:t>197,830,159</w:t>
      </w:r>
      <w:r>
        <w:rPr>
          <w:rFonts w:ascii="楷体" w:hAnsi="楷体" w:cs="楷体" w:eastAsia="楷体" w:hint="default"/>
          <w:spacing w:val="-105"/>
          <w:w w:val="99"/>
          <w:sz w:val="22"/>
          <w:szCs w:val="22"/>
        </w:rPr>
        <w:t> </w:t>
      </w:r>
      <w:r>
        <w:rPr>
          <w:rFonts w:ascii="楷体" w:hAnsi="楷体" w:cs="楷体" w:eastAsia="楷体" w:hint="default"/>
          <w:spacing w:val="-105"/>
          <w:w w:val="99"/>
          <w:sz w:val="22"/>
          <w:szCs w:val="22"/>
        </w:rPr>
      </w:r>
      <w:r>
        <w:rPr>
          <w:rFonts w:ascii="楷体" w:hAnsi="楷体" w:cs="楷体" w:eastAsia="楷体" w:hint="default"/>
          <w:sz w:val="22"/>
          <w:szCs w:val="22"/>
        </w:rPr>
        <w:t>股，占公司股份总数的</w:t>
      </w:r>
      <w:r>
        <w:rPr>
          <w:rFonts w:ascii="楷体" w:hAnsi="楷体" w:cs="楷体" w:eastAsia="楷体" w:hint="default"/>
          <w:spacing w:val="-61"/>
          <w:sz w:val="22"/>
          <w:szCs w:val="22"/>
        </w:rPr>
        <w:t> </w:t>
      </w:r>
      <w:r>
        <w:rPr>
          <w:rFonts w:ascii="楷体" w:hAnsi="楷体" w:cs="楷体" w:eastAsia="楷体" w:hint="default"/>
          <w:sz w:val="22"/>
          <w:szCs w:val="22"/>
        </w:rPr>
        <w:t>34.43%。</w:t>
      </w:r>
    </w:p>
    <w:p>
      <w:pPr>
        <w:spacing w:line="324" w:lineRule="auto" w:before="103"/>
        <w:ind w:left="138" w:right="143" w:firstLine="440"/>
        <w:jc w:val="both"/>
        <w:rPr>
          <w:rFonts w:ascii="楷体" w:hAnsi="楷体" w:cs="楷体" w:eastAsia="楷体" w:hint="default"/>
          <w:sz w:val="22"/>
          <w:szCs w:val="22"/>
        </w:rPr>
      </w:pPr>
      <w:r>
        <w:rPr>
          <w:rFonts w:ascii="楷体" w:hAnsi="楷体" w:cs="楷体" w:eastAsia="楷体" w:hint="default"/>
          <w:sz w:val="22"/>
          <w:szCs w:val="22"/>
        </w:rPr>
        <w:t>2007</w:t>
      </w:r>
      <w:r>
        <w:rPr>
          <w:rFonts w:ascii="楷体" w:hAnsi="楷体" w:cs="楷体" w:eastAsia="楷体" w:hint="default"/>
          <w:spacing w:val="-54"/>
          <w:sz w:val="22"/>
          <w:szCs w:val="22"/>
        </w:rPr>
        <w:t> </w:t>
      </w:r>
      <w:r>
        <w:rPr>
          <w:rFonts w:ascii="楷体" w:hAnsi="楷体" w:cs="楷体" w:eastAsia="楷体" w:hint="default"/>
          <w:sz w:val="22"/>
          <w:szCs w:val="22"/>
        </w:rPr>
        <w:t>年</w:t>
      </w:r>
      <w:r>
        <w:rPr>
          <w:rFonts w:ascii="楷体" w:hAnsi="楷体" w:cs="楷体" w:eastAsia="楷体" w:hint="default"/>
          <w:spacing w:val="-54"/>
          <w:sz w:val="22"/>
          <w:szCs w:val="22"/>
        </w:rPr>
        <w:t> </w:t>
      </w:r>
      <w:r>
        <w:rPr>
          <w:rFonts w:ascii="楷体" w:hAnsi="楷体" w:cs="楷体" w:eastAsia="楷体" w:hint="default"/>
          <w:sz w:val="22"/>
          <w:szCs w:val="22"/>
        </w:rPr>
        <w:t>7</w:t>
      </w:r>
      <w:r>
        <w:rPr>
          <w:rFonts w:ascii="楷体" w:hAnsi="楷体" w:cs="楷体" w:eastAsia="楷体" w:hint="default"/>
          <w:spacing w:val="-55"/>
          <w:sz w:val="22"/>
          <w:szCs w:val="22"/>
        </w:rPr>
        <w:t> </w:t>
      </w:r>
      <w:r>
        <w:rPr>
          <w:rFonts w:ascii="楷体" w:hAnsi="楷体" w:cs="楷体" w:eastAsia="楷体" w:hint="default"/>
          <w:sz w:val="22"/>
          <w:szCs w:val="22"/>
        </w:rPr>
        <w:t>月</w:t>
      </w:r>
      <w:r>
        <w:rPr>
          <w:rFonts w:ascii="楷体" w:hAnsi="楷体" w:cs="楷体" w:eastAsia="楷体" w:hint="default"/>
          <w:spacing w:val="-54"/>
          <w:sz w:val="22"/>
          <w:szCs w:val="22"/>
        </w:rPr>
        <w:t> </w:t>
      </w:r>
      <w:r>
        <w:rPr>
          <w:rFonts w:ascii="楷体" w:hAnsi="楷体" w:cs="楷体" w:eastAsia="楷体" w:hint="default"/>
          <w:sz w:val="22"/>
          <w:szCs w:val="22"/>
        </w:rPr>
        <w:t>27</w:t>
      </w:r>
      <w:r>
        <w:rPr>
          <w:rFonts w:ascii="楷体" w:hAnsi="楷体" w:cs="楷体" w:eastAsia="楷体" w:hint="default"/>
          <w:spacing w:val="-55"/>
          <w:sz w:val="22"/>
          <w:szCs w:val="22"/>
        </w:rPr>
        <w:t> </w:t>
      </w:r>
      <w:r>
        <w:rPr>
          <w:rFonts w:ascii="楷体" w:hAnsi="楷体" w:cs="楷体" w:eastAsia="楷体" w:hint="default"/>
          <w:spacing w:val="-3"/>
          <w:sz w:val="22"/>
          <w:szCs w:val="22"/>
        </w:rPr>
        <w:t>日，公司向特定对象非公开发行人民币普通股</w:t>
      </w:r>
      <w:r>
        <w:rPr>
          <w:rFonts w:ascii="楷体" w:hAnsi="楷体" w:cs="楷体" w:eastAsia="楷体" w:hint="default"/>
          <w:spacing w:val="-53"/>
          <w:sz w:val="22"/>
          <w:szCs w:val="22"/>
        </w:rPr>
        <w:t> </w:t>
      </w:r>
      <w:r>
        <w:rPr>
          <w:rFonts w:ascii="楷体" w:hAnsi="楷体" w:cs="楷体" w:eastAsia="楷体" w:hint="default"/>
          <w:sz w:val="22"/>
          <w:szCs w:val="22"/>
        </w:rPr>
        <w:t>54,000,000</w:t>
      </w:r>
      <w:r>
        <w:rPr>
          <w:rFonts w:ascii="楷体" w:hAnsi="楷体" w:cs="楷体" w:eastAsia="楷体" w:hint="default"/>
          <w:spacing w:val="-55"/>
          <w:sz w:val="22"/>
          <w:szCs w:val="22"/>
        </w:rPr>
        <w:t> </w:t>
      </w:r>
      <w:r>
        <w:rPr>
          <w:rFonts w:ascii="楷体" w:hAnsi="楷体" w:cs="楷体" w:eastAsia="楷体" w:hint="default"/>
          <w:spacing w:val="-6"/>
          <w:sz w:val="22"/>
          <w:szCs w:val="22"/>
        </w:rPr>
        <w:t>股，致使股份总数</w:t>
      </w:r>
      <w:r>
        <w:rPr>
          <w:rFonts w:ascii="楷体" w:hAnsi="楷体" w:cs="楷体" w:eastAsia="楷体" w:hint="default"/>
          <w:w w:val="99"/>
          <w:sz w:val="22"/>
          <w:szCs w:val="22"/>
        </w:rPr>
        <w:t> </w:t>
      </w:r>
      <w:r>
        <w:rPr>
          <w:rFonts w:ascii="楷体" w:hAnsi="楷体" w:cs="楷体" w:eastAsia="楷体" w:hint="default"/>
          <w:spacing w:val="7"/>
          <w:sz w:val="22"/>
          <w:szCs w:val="22"/>
        </w:rPr>
        <w:t>增至 </w:t>
      </w:r>
      <w:r>
        <w:rPr>
          <w:rFonts w:ascii="楷体" w:hAnsi="楷体" w:cs="楷体" w:eastAsia="楷体" w:hint="default"/>
          <w:sz w:val="22"/>
          <w:szCs w:val="22"/>
        </w:rPr>
        <w:t>628,612,295 </w:t>
      </w:r>
      <w:r>
        <w:rPr>
          <w:rFonts w:ascii="楷体" w:hAnsi="楷体" w:cs="楷体" w:eastAsia="楷体" w:hint="default"/>
          <w:spacing w:val="13"/>
          <w:sz w:val="22"/>
          <w:szCs w:val="22"/>
        </w:rPr>
        <w:t>股，其中：有限售条件的流通股 </w:t>
      </w:r>
      <w:r>
        <w:rPr>
          <w:rFonts w:ascii="楷体" w:hAnsi="楷体" w:cs="楷体" w:eastAsia="楷体" w:hint="default"/>
          <w:sz w:val="22"/>
          <w:szCs w:val="22"/>
        </w:rPr>
        <w:t>243,986,980</w:t>
      </w:r>
      <w:r>
        <w:rPr>
          <w:rFonts w:ascii="楷体" w:hAnsi="楷体" w:cs="楷体" w:eastAsia="楷体" w:hint="default"/>
          <w:spacing w:val="19"/>
          <w:sz w:val="22"/>
          <w:szCs w:val="22"/>
        </w:rPr>
        <w:t> </w:t>
      </w:r>
      <w:r>
        <w:rPr>
          <w:rFonts w:ascii="楷体" w:hAnsi="楷体" w:cs="楷体" w:eastAsia="楷体" w:hint="default"/>
          <w:spacing w:val="13"/>
          <w:sz w:val="22"/>
          <w:szCs w:val="22"/>
        </w:rPr>
        <w:t>股，无限售条件的流通股</w:t>
      </w:r>
      <w:r>
        <w:rPr>
          <w:rFonts w:ascii="楷体" w:hAnsi="楷体" w:cs="楷体" w:eastAsia="楷体" w:hint="default"/>
          <w:w w:val="99"/>
          <w:sz w:val="22"/>
          <w:szCs w:val="22"/>
        </w:rPr>
        <w:t> </w:t>
      </w:r>
      <w:r>
        <w:rPr>
          <w:rFonts w:ascii="楷体" w:hAnsi="楷体" w:cs="楷体" w:eastAsia="楷体" w:hint="default"/>
          <w:sz w:val="22"/>
          <w:szCs w:val="22"/>
        </w:rPr>
        <w:t>384,625,315</w:t>
      </w:r>
      <w:r>
        <w:rPr>
          <w:rFonts w:ascii="楷体" w:hAnsi="楷体" w:cs="楷体" w:eastAsia="楷体" w:hint="default"/>
          <w:spacing w:val="-61"/>
          <w:sz w:val="22"/>
          <w:szCs w:val="22"/>
        </w:rPr>
        <w:t> </w:t>
      </w:r>
      <w:r>
        <w:rPr>
          <w:rFonts w:ascii="楷体" w:hAnsi="楷体" w:cs="楷体" w:eastAsia="楷体" w:hint="default"/>
          <w:sz w:val="22"/>
          <w:szCs w:val="22"/>
        </w:rPr>
        <w:t>股。</w:t>
      </w:r>
    </w:p>
    <w:p>
      <w:pPr>
        <w:spacing w:before="103"/>
        <w:ind w:left="579" w:right="0" w:firstLine="0"/>
        <w:jc w:val="left"/>
        <w:rPr>
          <w:rFonts w:ascii="楷体" w:hAnsi="楷体" w:cs="楷体" w:eastAsia="楷体" w:hint="default"/>
          <w:sz w:val="22"/>
          <w:szCs w:val="22"/>
        </w:rPr>
      </w:pPr>
      <w:r>
        <w:rPr>
          <w:rFonts w:ascii="楷体" w:hAnsi="楷体" w:cs="楷体" w:eastAsia="楷体" w:hint="default"/>
          <w:sz w:val="22"/>
          <w:szCs w:val="22"/>
        </w:rPr>
        <w:t>2008年5月22日，公司以10:2的比例实施配股，配股后股份总数增至751,515,811股，其中：</w:t>
      </w:r>
    </w:p>
    <w:p>
      <w:pPr>
        <w:spacing w:after="0"/>
        <w:jc w:val="left"/>
        <w:rPr>
          <w:rFonts w:ascii="楷体" w:hAnsi="楷体" w:cs="楷体" w:eastAsia="楷体" w:hint="default"/>
          <w:sz w:val="22"/>
          <w:szCs w:val="22"/>
        </w:rPr>
        <w:sectPr>
          <w:headerReference w:type="default" r:id="rId35"/>
          <w:footerReference w:type="default" r:id="rId36"/>
          <w:pgSz w:w="11910" w:h="16840"/>
          <w:pgMar w:header="610" w:footer="784" w:top="1080" w:bottom="980" w:left="1280" w:right="1140"/>
          <w:pgNumType w:start="8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138" w:right="0" w:firstLine="0"/>
        <w:jc w:val="both"/>
        <w:rPr>
          <w:rFonts w:ascii="楷体" w:hAnsi="楷体" w:cs="楷体" w:eastAsia="楷体" w:hint="default"/>
          <w:sz w:val="22"/>
          <w:szCs w:val="22"/>
        </w:rPr>
      </w:pPr>
      <w:r>
        <w:rPr>
          <w:rFonts w:ascii="楷体" w:hAnsi="楷体" w:cs="楷体" w:eastAsia="楷体" w:hint="default"/>
          <w:sz w:val="22"/>
          <w:szCs w:val="22"/>
        </w:rPr>
        <w:t>有限售条件的流通股243,986,980股，无限售条件的流通股507,528,831股。</w:t>
      </w:r>
    </w:p>
    <w:p>
      <w:pPr>
        <w:spacing w:before="179"/>
        <w:ind w:left="578" w:right="206" w:firstLine="0"/>
        <w:jc w:val="left"/>
        <w:rPr>
          <w:rFonts w:ascii="楷体" w:hAnsi="楷体" w:cs="楷体" w:eastAsia="楷体" w:hint="default"/>
          <w:sz w:val="22"/>
          <w:szCs w:val="22"/>
        </w:rPr>
      </w:pPr>
      <w:r>
        <w:rPr>
          <w:rFonts w:ascii="楷体" w:hAnsi="楷体" w:cs="楷体" w:eastAsia="楷体" w:hint="default"/>
          <w:sz w:val="22"/>
          <w:szCs w:val="22"/>
        </w:rPr>
        <w:t>2008</w:t>
      </w:r>
      <w:r>
        <w:rPr>
          <w:rFonts w:ascii="楷体" w:hAnsi="楷体" w:cs="楷体" w:eastAsia="楷体" w:hint="default"/>
          <w:spacing w:val="-16"/>
          <w:sz w:val="22"/>
          <w:szCs w:val="22"/>
        </w:rPr>
        <w:t> </w:t>
      </w:r>
      <w:r>
        <w:rPr>
          <w:rFonts w:ascii="楷体" w:hAnsi="楷体" w:cs="楷体" w:eastAsia="楷体" w:hint="default"/>
          <w:sz w:val="22"/>
          <w:szCs w:val="22"/>
        </w:rPr>
        <w:t>年</w:t>
      </w:r>
      <w:r>
        <w:rPr>
          <w:rFonts w:ascii="楷体" w:hAnsi="楷体" w:cs="楷体" w:eastAsia="楷体" w:hint="default"/>
          <w:spacing w:val="-15"/>
          <w:sz w:val="22"/>
          <w:szCs w:val="22"/>
        </w:rPr>
        <w:t> </w:t>
      </w:r>
      <w:r>
        <w:rPr>
          <w:rFonts w:ascii="楷体" w:hAnsi="楷体" w:cs="楷体" w:eastAsia="楷体" w:hint="default"/>
          <w:sz w:val="22"/>
          <w:szCs w:val="22"/>
        </w:rPr>
        <w:t>8</w:t>
      </w:r>
      <w:r>
        <w:rPr>
          <w:rFonts w:ascii="楷体" w:hAnsi="楷体" w:cs="楷体" w:eastAsia="楷体" w:hint="default"/>
          <w:spacing w:val="-17"/>
          <w:sz w:val="22"/>
          <w:szCs w:val="22"/>
        </w:rPr>
        <w:t> </w:t>
      </w:r>
      <w:r>
        <w:rPr>
          <w:rFonts w:ascii="楷体" w:hAnsi="楷体" w:cs="楷体" w:eastAsia="楷体" w:hint="default"/>
          <w:sz w:val="22"/>
          <w:szCs w:val="22"/>
        </w:rPr>
        <w:t>月</w:t>
      </w:r>
      <w:r>
        <w:rPr>
          <w:rFonts w:ascii="楷体" w:hAnsi="楷体" w:cs="楷体" w:eastAsia="楷体" w:hint="default"/>
          <w:spacing w:val="-15"/>
          <w:sz w:val="22"/>
          <w:szCs w:val="22"/>
        </w:rPr>
        <w:t> </w:t>
      </w:r>
      <w:r>
        <w:rPr>
          <w:rFonts w:ascii="楷体" w:hAnsi="楷体" w:cs="楷体" w:eastAsia="楷体" w:hint="default"/>
          <w:sz w:val="22"/>
          <w:szCs w:val="22"/>
        </w:rPr>
        <w:t>15</w:t>
      </w:r>
      <w:r>
        <w:rPr>
          <w:rFonts w:ascii="楷体" w:hAnsi="楷体" w:cs="楷体" w:eastAsia="楷体" w:hint="default"/>
          <w:spacing w:val="-16"/>
          <w:sz w:val="22"/>
          <w:szCs w:val="22"/>
        </w:rPr>
        <w:t> </w:t>
      </w:r>
      <w:r>
        <w:rPr>
          <w:rFonts w:ascii="楷体" w:hAnsi="楷体" w:cs="楷体" w:eastAsia="楷体" w:hint="default"/>
          <w:sz w:val="22"/>
          <w:szCs w:val="22"/>
        </w:rPr>
        <w:t>日，公司完成资本公积金转增股本，以公司</w:t>
      </w:r>
      <w:r>
        <w:rPr>
          <w:rFonts w:ascii="楷体" w:hAnsi="楷体" w:cs="楷体" w:eastAsia="楷体" w:hint="default"/>
          <w:spacing w:val="-15"/>
          <w:sz w:val="22"/>
          <w:szCs w:val="22"/>
        </w:rPr>
        <w:t> </w:t>
      </w:r>
      <w:r>
        <w:rPr>
          <w:rFonts w:ascii="楷体" w:hAnsi="楷体" w:cs="楷体" w:eastAsia="楷体" w:hint="default"/>
          <w:sz w:val="22"/>
          <w:szCs w:val="22"/>
        </w:rPr>
        <w:t>2008</w:t>
      </w:r>
      <w:r>
        <w:rPr>
          <w:rFonts w:ascii="楷体" w:hAnsi="楷体" w:cs="楷体" w:eastAsia="楷体" w:hint="default"/>
          <w:spacing w:val="-17"/>
          <w:sz w:val="22"/>
          <w:szCs w:val="22"/>
        </w:rPr>
        <w:t> </w:t>
      </w:r>
      <w:r>
        <w:rPr>
          <w:rFonts w:ascii="楷体" w:hAnsi="楷体" w:cs="楷体" w:eastAsia="楷体" w:hint="default"/>
          <w:sz w:val="22"/>
          <w:szCs w:val="22"/>
        </w:rPr>
        <w:t>年</w:t>
      </w:r>
      <w:r>
        <w:rPr>
          <w:rFonts w:ascii="楷体" w:hAnsi="楷体" w:cs="楷体" w:eastAsia="楷体" w:hint="default"/>
          <w:spacing w:val="-15"/>
          <w:sz w:val="22"/>
          <w:szCs w:val="22"/>
        </w:rPr>
        <w:t> </w:t>
      </w:r>
      <w:r>
        <w:rPr>
          <w:rFonts w:ascii="楷体" w:hAnsi="楷体" w:cs="楷体" w:eastAsia="楷体" w:hint="default"/>
          <w:sz w:val="22"/>
          <w:szCs w:val="22"/>
        </w:rPr>
        <w:t>5</w:t>
      </w:r>
      <w:r>
        <w:rPr>
          <w:rFonts w:ascii="楷体" w:hAnsi="楷体" w:cs="楷体" w:eastAsia="楷体" w:hint="default"/>
          <w:spacing w:val="-16"/>
          <w:sz w:val="22"/>
          <w:szCs w:val="22"/>
        </w:rPr>
        <w:t> </w:t>
      </w:r>
      <w:r>
        <w:rPr>
          <w:rFonts w:ascii="楷体" w:hAnsi="楷体" w:cs="楷体" w:eastAsia="楷体" w:hint="default"/>
          <w:sz w:val="22"/>
          <w:szCs w:val="22"/>
        </w:rPr>
        <w:t>月</w:t>
      </w:r>
      <w:r>
        <w:rPr>
          <w:rFonts w:ascii="楷体" w:hAnsi="楷体" w:cs="楷体" w:eastAsia="楷体" w:hint="default"/>
          <w:spacing w:val="-15"/>
          <w:sz w:val="22"/>
          <w:szCs w:val="22"/>
        </w:rPr>
        <w:t> </w:t>
      </w:r>
      <w:r>
        <w:rPr>
          <w:rFonts w:ascii="楷体" w:hAnsi="楷体" w:cs="楷体" w:eastAsia="楷体" w:hint="default"/>
          <w:sz w:val="22"/>
          <w:szCs w:val="22"/>
        </w:rPr>
        <w:t>30</w:t>
      </w:r>
      <w:r>
        <w:rPr>
          <w:rFonts w:ascii="楷体" w:hAnsi="楷体" w:cs="楷体" w:eastAsia="楷体" w:hint="default"/>
          <w:spacing w:val="-17"/>
          <w:sz w:val="22"/>
          <w:szCs w:val="22"/>
        </w:rPr>
        <w:t> </w:t>
      </w:r>
      <w:r>
        <w:rPr>
          <w:rFonts w:ascii="楷体" w:hAnsi="楷体" w:cs="楷体" w:eastAsia="楷体" w:hint="default"/>
          <w:sz w:val="22"/>
          <w:szCs w:val="22"/>
        </w:rPr>
        <w:t>日的总股本</w:t>
      </w:r>
    </w:p>
    <w:p>
      <w:pPr>
        <w:spacing w:line="324" w:lineRule="auto" w:before="102"/>
        <w:ind w:left="138" w:right="220" w:firstLine="0"/>
        <w:jc w:val="both"/>
        <w:rPr>
          <w:rFonts w:ascii="楷体" w:hAnsi="楷体" w:cs="楷体" w:eastAsia="楷体" w:hint="default"/>
          <w:sz w:val="22"/>
          <w:szCs w:val="22"/>
        </w:rPr>
      </w:pPr>
      <w:r>
        <w:rPr>
          <w:rFonts w:ascii="楷体" w:hAnsi="楷体" w:cs="楷体" w:eastAsia="楷体" w:hint="default"/>
          <w:sz w:val="22"/>
          <w:szCs w:val="22"/>
        </w:rPr>
        <w:t>751,515,811</w:t>
      </w:r>
      <w:r>
        <w:rPr>
          <w:rFonts w:ascii="楷体" w:hAnsi="楷体" w:cs="楷体" w:eastAsia="楷体" w:hint="default"/>
          <w:spacing w:val="-58"/>
          <w:sz w:val="22"/>
          <w:szCs w:val="22"/>
        </w:rPr>
        <w:t> </w:t>
      </w:r>
      <w:r>
        <w:rPr>
          <w:rFonts w:ascii="楷体" w:hAnsi="楷体" w:cs="楷体" w:eastAsia="楷体" w:hint="default"/>
          <w:spacing w:val="-4"/>
          <w:sz w:val="22"/>
          <w:szCs w:val="22"/>
        </w:rPr>
        <w:t>为基数，向全体股东以</w:t>
      </w:r>
      <w:r>
        <w:rPr>
          <w:rFonts w:ascii="楷体" w:hAnsi="楷体" w:cs="楷体" w:eastAsia="楷体" w:hint="default"/>
          <w:spacing w:val="-57"/>
          <w:sz w:val="22"/>
          <w:szCs w:val="22"/>
        </w:rPr>
        <w:t> </w:t>
      </w:r>
      <w:r>
        <w:rPr>
          <w:rFonts w:ascii="楷体" w:hAnsi="楷体" w:cs="楷体" w:eastAsia="楷体" w:hint="default"/>
          <w:sz w:val="22"/>
          <w:szCs w:val="22"/>
        </w:rPr>
        <w:t>10:3</w:t>
      </w:r>
      <w:r>
        <w:rPr>
          <w:rFonts w:ascii="楷体" w:hAnsi="楷体" w:cs="楷体" w:eastAsia="楷体" w:hint="default"/>
          <w:spacing w:val="-59"/>
          <w:sz w:val="22"/>
          <w:szCs w:val="22"/>
        </w:rPr>
        <w:t> </w:t>
      </w:r>
      <w:r>
        <w:rPr>
          <w:rFonts w:ascii="楷体" w:hAnsi="楷体" w:cs="楷体" w:eastAsia="楷体" w:hint="default"/>
          <w:sz w:val="22"/>
          <w:szCs w:val="22"/>
        </w:rPr>
        <w:t>的比例转增</w:t>
      </w:r>
      <w:r>
        <w:rPr>
          <w:rFonts w:ascii="楷体" w:hAnsi="楷体" w:cs="楷体" w:eastAsia="楷体" w:hint="default"/>
          <w:spacing w:val="-58"/>
          <w:sz w:val="22"/>
          <w:szCs w:val="22"/>
        </w:rPr>
        <w:t> </w:t>
      </w:r>
      <w:r>
        <w:rPr>
          <w:rFonts w:ascii="楷体" w:hAnsi="楷体" w:cs="楷体" w:eastAsia="楷体" w:hint="default"/>
          <w:sz w:val="22"/>
          <w:szCs w:val="22"/>
        </w:rPr>
        <w:t>225,454,743</w:t>
      </w:r>
      <w:r>
        <w:rPr>
          <w:rFonts w:ascii="楷体" w:hAnsi="楷体" w:cs="楷体" w:eastAsia="楷体" w:hint="default"/>
          <w:spacing w:val="-58"/>
          <w:sz w:val="22"/>
          <w:szCs w:val="22"/>
        </w:rPr>
        <w:t> </w:t>
      </w:r>
      <w:r>
        <w:rPr>
          <w:rFonts w:ascii="楷体" w:hAnsi="楷体" w:cs="楷体" w:eastAsia="楷体" w:hint="default"/>
          <w:spacing w:val="-5"/>
          <w:sz w:val="22"/>
          <w:szCs w:val="22"/>
        </w:rPr>
        <w:t>股，转增完成后，公司总股本</w:t>
      </w:r>
      <w:r>
        <w:rPr>
          <w:rFonts w:ascii="楷体" w:hAnsi="楷体" w:cs="楷体" w:eastAsia="楷体" w:hint="default"/>
          <w:w w:val="99"/>
          <w:sz w:val="22"/>
          <w:szCs w:val="22"/>
        </w:rPr>
        <w:t> </w:t>
      </w:r>
      <w:r>
        <w:rPr>
          <w:rFonts w:ascii="楷体" w:hAnsi="楷体" w:cs="楷体" w:eastAsia="楷体" w:hint="default"/>
          <w:spacing w:val="7"/>
          <w:sz w:val="22"/>
          <w:szCs w:val="22"/>
        </w:rPr>
        <w:t>增至 </w:t>
      </w:r>
      <w:r>
        <w:rPr>
          <w:rFonts w:ascii="楷体" w:hAnsi="楷体" w:cs="楷体" w:eastAsia="楷体" w:hint="default"/>
          <w:sz w:val="22"/>
          <w:szCs w:val="22"/>
        </w:rPr>
        <w:t>976,970,554 </w:t>
      </w:r>
      <w:r>
        <w:rPr>
          <w:rFonts w:ascii="楷体" w:hAnsi="楷体" w:cs="楷体" w:eastAsia="楷体" w:hint="default"/>
          <w:spacing w:val="13"/>
          <w:sz w:val="22"/>
          <w:szCs w:val="22"/>
        </w:rPr>
        <w:t>股，其中：有限售条件的流通股 </w:t>
      </w:r>
      <w:r>
        <w:rPr>
          <w:rFonts w:ascii="楷体" w:hAnsi="楷体" w:cs="楷体" w:eastAsia="楷体" w:hint="default"/>
          <w:sz w:val="22"/>
          <w:szCs w:val="22"/>
        </w:rPr>
        <w:t>246,983,074</w:t>
      </w:r>
      <w:r>
        <w:rPr>
          <w:rFonts w:ascii="楷体" w:hAnsi="楷体" w:cs="楷体" w:eastAsia="楷体" w:hint="default"/>
          <w:spacing w:val="19"/>
          <w:sz w:val="22"/>
          <w:szCs w:val="22"/>
        </w:rPr>
        <w:t> </w:t>
      </w:r>
      <w:r>
        <w:rPr>
          <w:rFonts w:ascii="楷体" w:hAnsi="楷体" w:cs="楷体" w:eastAsia="楷体" w:hint="default"/>
          <w:spacing w:val="13"/>
          <w:sz w:val="22"/>
          <w:szCs w:val="22"/>
        </w:rPr>
        <w:t>股，无限售条件的流通股</w:t>
      </w:r>
      <w:r>
        <w:rPr>
          <w:rFonts w:ascii="楷体" w:hAnsi="楷体" w:cs="楷体" w:eastAsia="楷体" w:hint="default"/>
          <w:w w:val="99"/>
          <w:sz w:val="22"/>
          <w:szCs w:val="22"/>
        </w:rPr>
        <w:t> </w:t>
      </w:r>
      <w:r>
        <w:rPr>
          <w:rFonts w:ascii="楷体" w:hAnsi="楷体" w:cs="楷体" w:eastAsia="楷体" w:hint="default"/>
          <w:sz w:val="22"/>
          <w:szCs w:val="22"/>
        </w:rPr>
        <w:t>729,987,480</w:t>
      </w:r>
      <w:r>
        <w:rPr>
          <w:rFonts w:ascii="楷体" w:hAnsi="楷体" w:cs="楷体" w:eastAsia="楷体" w:hint="default"/>
          <w:spacing w:val="-61"/>
          <w:sz w:val="22"/>
          <w:szCs w:val="22"/>
        </w:rPr>
        <w:t> </w:t>
      </w:r>
      <w:r>
        <w:rPr>
          <w:rFonts w:ascii="楷体" w:hAnsi="楷体" w:cs="楷体" w:eastAsia="楷体" w:hint="default"/>
          <w:sz w:val="22"/>
          <w:szCs w:val="22"/>
        </w:rPr>
        <w:t>股。</w:t>
      </w:r>
    </w:p>
    <w:p>
      <w:pPr>
        <w:spacing w:line="324" w:lineRule="auto" w:before="103"/>
        <w:ind w:left="138" w:right="86" w:firstLine="440"/>
        <w:jc w:val="left"/>
        <w:rPr>
          <w:rFonts w:ascii="楷体" w:hAnsi="楷体" w:cs="楷体" w:eastAsia="楷体" w:hint="default"/>
          <w:sz w:val="22"/>
          <w:szCs w:val="22"/>
        </w:rPr>
      </w:pPr>
      <w:r>
        <w:rPr>
          <w:rFonts w:ascii="楷体" w:hAnsi="楷体" w:cs="楷体" w:eastAsia="楷体" w:hint="default"/>
          <w:sz w:val="22"/>
          <w:szCs w:val="22"/>
        </w:rPr>
        <w:t>公司主要经营范围包括：互联网信息服务业务（不含新闻、出版、医疗保健、药品和医疗器</w:t>
      </w:r>
      <w:r>
        <w:rPr>
          <w:rFonts w:ascii="楷体" w:hAnsi="楷体" w:cs="楷体" w:eastAsia="楷体" w:hint="default"/>
          <w:w w:val="99"/>
          <w:sz w:val="22"/>
          <w:szCs w:val="22"/>
        </w:rPr>
        <w:t> </w:t>
      </w:r>
      <w:r>
        <w:rPr>
          <w:rFonts w:ascii="楷体" w:hAnsi="楷体" w:cs="楷体" w:eastAsia="楷体" w:hint="default"/>
          <w:sz w:val="22"/>
          <w:szCs w:val="22"/>
        </w:rPr>
        <w:t>械等内容）；对外派遣实施与出口自产成套设备相关的境外工程所需的劳务人员；商用密码产品</w:t>
      </w:r>
      <w:r>
        <w:rPr>
          <w:rFonts w:ascii="楷体" w:hAnsi="楷体" w:cs="楷体" w:eastAsia="楷体" w:hint="default"/>
          <w:w w:val="99"/>
          <w:sz w:val="22"/>
          <w:szCs w:val="22"/>
        </w:rPr>
        <w:t> </w:t>
      </w:r>
      <w:r>
        <w:rPr>
          <w:rFonts w:ascii="楷体" w:hAnsi="楷体" w:cs="楷体" w:eastAsia="楷体" w:hint="default"/>
          <w:sz w:val="22"/>
          <w:szCs w:val="22"/>
        </w:rPr>
        <w:t>生产、销售；计算机及周边设备的生产、销售、技术服务和维修；社会公共安全设备、交通工程</w:t>
      </w:r>
      <w:r>
        <w:rPr>
          <w:rFonts w:ascii="楷体" w:hAnsi="楷体" w:cs="楷体" w:eastAsia="楷体" w:hint="default"/>
          <w:w w:val="99"/>
          <w:sz w:val="22"/>
          <w:szCs w:val="22"/>
        </w:rPr>
        <w:t> </w:t>
      </w:r>
      <w:r>
        <w:rPr>
          <w:rFonts w:ascii="楷体" w:hAnsi="楷体" w:cs="楷体" w:eastAsia="楷体" w:hint="default"/>
          <w:sz w:val="22"/>
          <w:szCs w:val="22"/>
        </w:rPr>
        <w:t>设备、建筑智能化及市政工程机电设备、电力工程机电设备、节能、大气与工业污染控制、废弃</w:t>
      </w:r>
      <w:r>
        <w:rPr>
          <w:rFonts w:ascii="楷体" w:hAnsi="楷体" w:cs="楷体" w:eastAsia="楷体" w:hint="default"/>
          <w:w w:val="99"/>
          <w:sz w:val="22"/>
          <w:szCs w:val="22"/>
        </w:rPr>
        <w:t> </w:t>
      </w:r>
      <w:r>
        <w:rPr>
          <w:rFonts w:ascii="楷体" w:hAnsi="楷体" w:cs="楷体" w:eastAsia="楷体" w:hint="default"/>
          <w:sz w:val="22"/>
          <w:szCs w:val="22"/>
        </w:rPr>
        <w:t>物处理与综合利用的工程和设备的设计、生产、销售、承接工程安装、技术开发与服务；工业废</w:t>
      </w:r>
      <w:r>
        <w:rPr>
          <w:rFonts w:ascii="楷体" w:hAnsi="楷体" w:cs="楷体" w:eastAsia="楷体" w:hint="default"/>
          <w:w w:val="99"/>
          <w:sz w:val="22"/>
          <w:szCs w:val="22"/>
        </w:rPr>
        <w:t> </w:t>
      </w:r>
      <w:r>
        <w:rPr>
          <w:rFonts w:ascii="楷体" w:hAnsi="楷体" w:cs="楷体" w:eastAsia="楷体" w:hint="default"/>
          <w:sz w:val="22"/>
          <w:szCs w:val="22"/>
        </w:rPr>
        <w:t>水、生活污水、生活垃圾的处理；除尘脱硫；人工环境控制设备、通信电子产品、微电子集成电</w:t>
      </w:r>
      <w:r>
        <w:rPr>
          <w:rFonts w:ascii="楷体" w:hAnsi="楷体" w:cs="楷体" w:eastAsia="楷体" w:hint="default"/>
          <w:w w:val="99"/>
          <w:sz w:val="22"/>
          <w:szCs w:val="22"/>
        </w:rPr>
        <w:t> </w:t>
      </w:r>
      <w:r>
        <w:rPr>
          <w:rFonts w:ascii="楷体" w:hAnsi="楷体" w:cs="楷体" w:eastAsia="楷体" w:hint="default"/>
          <w:sz w:val="22"/>
          <w:szCs w:val="22"/>
        </w:rPr>
        <w:t>路、办公设备的生产、销售及工程安装；仪器仪表、光机电一体化设备的开发、生产、销售；消</w:t>
      </w:r>
      <w:r>
        <w:rPr>
          <w:rFonts w:ascii="楷体" w:hAnsi="楷体" w:cs="楷体" w:eastAsia="楷体" w:hint="default"/>
          <w:w w:val="99"/>
          <w:sz w:val="22"/>
          <w:szCs w:val="22"/>
        </w:rPr>
        <w:t> </w:t>
      </w:r>
      <w:r>
        <w:rPr>
          <w:rFonts w:ascii="楷体" w:hAnsi="楷体" w:cs="楷体" w:eastAsia="楷体" w:hint="default"/>
          <w:sz w:val="22"/>
          <w:szCs w:val="22"/>
        </w:rPr>
        <w:t>防产品的销售；高科技项目的咨询、高新技术的转让与服务；物业管理；进出口业务；机电安装</w:t>
      </w:r>
      <w:r>
        <w:rPr>
          <w:rFonts w:ascii="楷体" w:hAnsi="楷体" w:cs="楷体" w:eastAsia="楷体" w:hint="default"/>
          <w:w w:val="99"/>
          <w:sz w:val="22"/>
          <w:szCs w:val="22"/>
        </w:rPr>
        <w:t> </w:t>
      </w:r>
      <w:r>
        <w:rPr>
          <w:rFonts w:ascii="楷体" w:hAnsi="楷体" w:cs="楷体" w:eastAsia="楷体" w:hint="default"/>
          <w:spacing w:val="-4"/>
          <w:sz w:val="22"/>
          <w:szCs w:val="22"/>
        </w:rPr>
        <w:t>工程施工总承包；建筑智能化、城市及道路照明、环保、电子工程转业承包；室内空气净化工程；</w:t>
      </w:r>
      <w:r>
        <w:rPr>
          <w:rFonts w:ascii="楷体" w:hAnsi="楷体" w:cs="楷体" w:eastAsia="楷体" w:hint="default"/>
          <w:spacing w:val="-92"/>
          <w:sz w:val="22"/>
          <w:szCs w:val="22"/>
        </w:rPr>
        <w:t> </w:t>
      </w:r>
      <w:r>
        <w:rPr>
          <w:rFonts w:ascii="楷体" w:hAnsi="楷体" w:cs="楷体" w:eastAsia="楷体" w:hint="default"/>
          <w:spacing w:val="-92"/>
          <w:sz w:val="22"/>
          <w:szCs w:val="22"/>
        </w:rPr>
      </w:r>
      <w:r>
        <w:rPr>
          <w:rFonts w:ascii="楷体" w:hAnsi="楷体" w:cs="楷体" w:eastAsia="楷体" w:hint="default"/>
          <w:sz w:val="22"/>
          <w:szCs w:val="22"/>
        </w:rPr>
        <w:t>计算机系统集成；建筑智能化系统集成（不含消防子系统）专项工程设计；环境工程（废水）专</w:t>
      </w:r>
      <w:r>
        <w:rPr>
          <w:rFonts w:ascii="楷体" w:hAnsi="楷体" w:cs="楷体" w:eastAsia="楷体" w:hint="default"/>
          <w:w w:val="99"/>
          <w:sz w:val="22"/>
          <w:szCs w:val="22"/>
        </w:rPr>
        <w:t> </w:t>
      </w:r>
      <w:r>
        <w:rPr>
          <w:rFonts w:ascii="楷体" w:hAnsi="楷体" w:cs="楷体" w:eastAsia="楷体" w:hint="default"/>
          <w:spacing w:val="-4"/>
          <w:sz w:val="22"/>
          <w:szCs w:val="22"/>
        </w:rPr>
        <w:t>项工程设计、咨询；工业废水、生活污水环境保护设施运营；水景喷泉设计、制造、安装、调试；</w:t>
      </w:r>
      <w:r>
        <w:rPr>
          <w:rFonts w:ascii="楷体" w:hAnsi="楷体" w:cs="楷体" w:eastAsia="楷体" w:hint="default"/>
          <w:spacing w:val="-93"/>
          <w:sz w:val="22"/>
          <w:szCs w:val="22"/>
        </w:rPr>
        <w:t> </w:t>
      </w:r>
      <w:r>
        <w:rPr>
          <w:rFonts w:ascii="楷体" w:hAnsi="楷体" w:cs="楷体" w:eastAsia="楷体" w:hint="default"/>
          <w:spacing w:val="-93"/>
          <w:sz w:val="22"/>
          <w:szCs w:val="22"/>
        </w:rPr>
      </w:r>
      <w:r>
        <w:rPr>
          <w:rFonts w:ascii="楷体" w:hAnsi="楷体" w:cs="楷体" w:eastAsia="楷体" w:hint="default"/>
          <w:sz w:val="22"/>
          <w:szCs w:val="22"/>
        </w:rPr>
        <w:t>安防工程（设计、施工）；有线电视共用天线设计安装；广告发布与代理。</w:t>
      </w:r>
    </w:p>
    <w:p>
      <w:pPr>
        <w:spacing w:line="316" w:lineRule="auto" w:before="10"/>
        <w:ind w:left="578" w:right="4786" w:firstLine="42"/>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w:t>
      </w:r>
      <w:r>
        <w:rPr>
          <w:rFonts w:ascii="Microsoft JhengHei" w:hAnsi="Microsoft JhengHei" w:cs="Microsoft JhengHei" w:eastAsia="Microsoft JhengHei" w:hint="default"/>
          <w:b/>
          <w:bCs/>
          <w:spacing w:val="-3"/>
          <w:sz w:val="24"/>
          <w:szCs w:val="24"/>
        </w:rPr>
        <w:t> </w:t>
      </w:r>
      <w:r>
        <w:rPr>
          <w:rFonts w:ascii="Microsoft JhengHei" w:hAnsi="Microsoft JhengHei" w:cs="Microsoft JhengHei" w:eastAsia="Microsoft JhengHei" w:hint="default"/>
          <w:b/>
          <w:bCs/>
          <w:sz w:val="24"/>
          <w:szCs w:val="24"/>
        </w:rPr>
        <w:t>财务报表的编制基础</w:t>
      </w:r>
      <w:r>
        <w:rPr>
          <w:rFonts w:ascii="Microsoft JhengHei" w:hAnsi="Microsoft JhengHei" w:cs="Microsoft JhengHei" w:eastAsia="Microsoft JhengHei" w:hint="default"/>
          <w:b/>
          <w:bCs/>
          <w:spacing w:val="1"/>
          <w:sz w:val="24"/>
          <w:szCs w:val="24"/>
        </w:rPr>
        <w:t> </w:t>
      </w:r>
      <w:r>
        <w:rPr>
          <w:rFonts w:ascii="楷体" w:hAnsi="楷体" w:cs="楷体" w:eastAsia="楷体" w:hint="default"/>
          <w:sz w:val="22"/>
          <w:szCs w:val="22"/>
        </w:rPr>
        <w:t>本财务报表以本公司持续经营为基础编制。</w:t>
      </w:r>
      <w:r>
        <w:rPr>
          <w:rFonts w:ascii="楷体" w:hAnsi="楷体" w:cs="楷体" w:eastAsia="楷体" w:hint="default"/>
          <w:w w:val="99"/>
          <w:sz w:val="22"/>
          <w:szCs w:val="22"/>
        </w:rPr>
        <w:t> </w:t>
      </w:r>
      <w:r>
        <w:rPr>
          <w:rFonts w:ascii="Microsoft JhengHei" w:hAnsi="Microsoft JhengHei" w:cs="Microsoft JhengHei" w:eastAsia="Microsoft JhengHei" w:hint="default"/>
          <w:b/>
          <w:bCs/>
          <w:sz w:val="24"/>
          <w:szCs w:val="24"/>
        </w:rPr>
        <w:t>三、</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遵循企业会计准则的声明</w:t>
      </w:r>
      <w:r>
        <w:rPr>
          <w:rFonts w:ascii="Microsoft JhengHei" w:hAnsi="Microsoft JhengHei" w:cs="Microsoft JhengHei" w:eastAsia="Microsoft JhengHei" w:hint="default"/>
          <w:sz w:val="24"/>
          <w:szCs w:val="24"/>
        </w:rPr>
      </w:r>
    </w:p>
    <w:p>
      <w:pPr>
        <w:spacing w:line="324" w:lineRule="auto" w:before="40"/>
        <w:ind w:left="138" w:right="220" w:firstLine="440"/>
        <w:jc w:val="both"/>
        <w:rPr>
          <w:rFonts w:ascii="楷体" w:hAnsi="楷体" w:cs="楷体" w:eastAsia="楷体" w:hint="default"/>
          <w:sz w:val="22"/>
          <w:szCs w:val="22"/>
        </w:rPr>
      </w:pPr>
      <w:r>
        <w:rPr>
          <w:rFonts w:ascii="楷体" w:hAnsi="楷体" w:cs="楷体" w:eastAsia="楷体" w:hint="default"/>
          <w:sz w:val="22"/>
          <w:szCs w:val="22"/>
        </w:rPr>
        <w:t>本公司</w:t>
      </w:r>
      <w:r>
        <w:rPr>
          <w:rFonts w:ascii="楷体" w:hAnsi="楷体" w:cs="楷体" w:eastAsia="楷体" w:hint="default"/>
          <w:spacing w:val="-57"/>
          <w:sz w:val="22"/>
          <w:szCs w:val="22"/>
        </w:rPr>
        <w:t> </w:t>
      </w:r>
      <w:r>
        <w:rPr>
          <w:rFonts w:ascii="楷体" w:hAnsi="楷体" w:cs="楷体" w:eastAsia="楷体" w:hint="default"/>
          <w:sz w:val="22"/>
          <w:szCs w:val="22"/>
        </w:rPr>
        <w:t>2008</w:t>
      </w:r>
      <w:r>
        <w:rPr>
          <w:rFonts w:ascii="楷体" w:hAnsi="楷体" w:cs="楷体" w:eastAsia="楷体" w:hint="default"/>
          <w:spacing w:val="-58"/>
          <w:sz w:val="22"/>
          <w:szCs w:val="22"/>
        </w:rPr>
        <w:t> </w:t>
      </w:r>
      <w:r>
        <w:rPr>
          <w:rFonts w:ascii="楷体" w:hAnsi="楷体" w:cs="楷体" w:eastAsia="楷体" w:hint="default"/>
          <w:spacing w:val="-3"/>
          <w:sz w:val="22"/>
          <w:szCs w:val="22"/>
        </w:rPr>
        <w:t>年度财务报表符合企业会计准则的要求，真实、完整地反映了本公司</w:t>
      </w:r>
      <w:r>
        <w:rPr>
          <w:rFonts w:ascii="楷体" w:hAnsi="楷体" w:cs="楷体" w:eastAsia="楷体" w:hint="default"/>
          <w:spacing w:val="-56"/>
          <w:sz w:val="22"/>
          <w:szCs w:val="22"/>
        </w:rPr>
        <w:t> </w:t>
      </w:r>
      <w:r>
        <w:rPr>
          <w:rFonts w:ascii="楷体" w:hAnsi="楷体" w:cs="楷体" w:eastAsia="楷体" w:hint="default"/>
          <w:sz w:val="22"/>
          <w:szCs w:val="22"/>
        </w:rPr>
        <w:t>2008</w:t>
      </w:r>
      <w:r>
        <w:rPr>
          <w:rFonts w:ascii="楷体" w:hAnsi="楷体" w:cs="楷体" w:eastAsia="楷体" w:hint="default"/>
          <w:spacing w:val="-58"/>
          <w:sz w:val="22"/>
          <w:szCs w:val="22"/>
        </w:rPr>
        <w:t> </w:t>
      </w:r>
      <w:r>
        <w:rPr>
          <w:rFonts w:ascii="楷体" w:hAnsi="楷体" w:cs="楷体" w:eastAsia="楷体" w:hint="default"/>
          <w:sz w:val="22"/>
          <w:szCs w:val="22"/>
        </w:rPr>
        <w:t>年</w:t>
      </w:r>
      <w:r>
        <w:rPr>
          <w:rFonts w:ascii="楷体" w:hAnsi="楷体" w:cs="楷体" w:eastAsia="楷体" w:hint="default"/>
          <w:spacing w:val="-56"/>
          <w:sz w:val="22"/>
          <w:szCs w:val="22"/>
        </w:rPr>
        <w:t> </w:t>
      </w:r>
      <w:r>
        <w:rPr>
          <w:rFonts w:ascii="楷体" w:hAnsi="楷体" w:cs="楷体" w:eastAsia="楷体" w:hint="default"/>
          <w:sz w:val="22"/>
          <w:szCs w:val="22"/>
        </w:rPr>
        <w:t>12</w:t>
      </w:r>
      <w:r>
        <w:rPr>
          <w:rFonts w:ascii="楷体" w:hAnsi="楷体" w:cs="楷体" w:eastAsia="楷体" w:hint="default"/>
          <w:w w:val="99"/>
          <w:sz w:val="22"/>
          <w:szCs w:val="22"/>
        </w:rPr>
        <w:t> </w:t>
      </w:r>
      <w:r>
        <w:rPr>
          <w:rFonts w:ascii="楷体" w:hAnsi="楷体" w:cs="楷体" w:eastAsia="楷体" w:hint="default"/>
          <w:sz w:val="22"/>
          <w:szCs w:val="22"/>
        </w:rPr>
        <w:t>月</w:t>
      </w:r>
      <w:r>
        <w:rPr>
          <w:rFonts w:ascii="楷体" w:hAnsi="楷体" w:cs="楷体" w:eastAsia="楷体" w:hint="default"/>
          <w:spacing w:val="-51"/>
          <w:sz w:val="22"/>
          <w:szCs w:val="22"/>
        </w:rPr>
        <w:t> </w:t>
      </w:r>
      <w:r>
        <w:rPr>
          <w:rFonts w:ascii="楷体" w:hAnsi="楷体" w:cs="楷体" w:eastAsia="楷体" w:hint="default"/>
          <w:sz w:val="22"/>
          <w:szCs w:val="22"/>
        </w:rPr>
        <w:t>31</w:t>
      </w:r>
      <w:r>
        <w:rPr>
          <w:rFonts w:ascii="楷体" w:hAnsi="楷体" w:cs="楷体" w:eastAsia="楷体" w:hint="default"/>
          <w:spacing w:val="-52"/>
          <w:sz w:val="22"/>
          <w:szCs w:val="22"/>
        </w:rPr>
        <w:t> </w:t>
      </w:r>
      <w:r>
        <w:rPr>
          <w:rFonts w:ascii="楷体" w:hAnsi="楷体" w:cs="楷体" w:eastAsia="楷体" w:hint="default"/>
          <w:sz w:val="22"/>
          <w:szCs w:val="22"/>
        </w:rPr>
        <w:t>日合并财务状况和财务状况、2008</w:t>
      </w:r>
      <w:r>
        <w:rPr>
          <w:rFonts w:ascii="楷体" w:hAnsi="楷体" w:cs="楷体" w:eastAsia="楷体" w:hint="default"/>
          <w:spacing w:val="-52"/>
          <w:sz w:val="22"/>
          <w:szCs w:val="22"/>
        </w:rPr>
        <w:t> </w:t>
      </w:r>
      <w:r>
        <w:rPr>
          <w:rFonts w:ascii="楷体" w:hAnsi="楷体" w:cs="楷体" w:eastAsia="楷体" w:hint="default"/>
          <w:sz w:val="22"/>
          <w:szCs w:val="22"/>
        </w:rPr>
        <w:t>年度的合并经营成果和经营成果以及合并现金流量和现</w:t>
      </w:r>
      <w:r>
        <w:rPr>
          <w:rFonts w:ascii="楷体" w:hAnsi="楷体" w:cs="楷体" w:eastAsia="楷体" w:hint="default"/>
          <w:w w:val="99"/>
          <w:sz w:val="22"/>
          <w:szCs w:val="22"/>
        </w:rPr>
        <w:t> </w:t>
      </w:r>
      <w:r>
        <w:rPr>
          <w:rFonts w:ascii="楷体" w:hAnsi="楷体" w:cs="楷体" w:eastAsia="楷体" w:hint="default"/>
          <w:sz w:val="22"/>
          <w:szCs w:val="22"/>
        </w:rPr>
        <w:t>金流量等有关信息。</w:t>
      </w:r>
    </w:p>
    <w:p>
      <w:pPr>
        <w:pStyle w:val="Heading3"/>
        <w:spacing w:line="240" w:lineRule="auto" w:before="10"/>
        <w:ind w:left="620" w:right="213"/>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四、</w:t>
      </w:r>
      <w:r>
        <w:rPr>
          <w:rFonts w:ascii="Microsoft JhengHei" w:hAnsi="Microsoft JhengHei" w:cs="Microsoft JhengHei" w:eastAsia="Microsoft JhengHei" w:hint="default"/>
          <w:spacing w:val="20"/>
        </w:rPr>
        <w:t> </w:t>
      </w:r>
      <w:r>
        <w:rPr>
          <w:rFonts w:ascii="Microsoft JhengHei" w:hAnsi="Microsoft JhengHei" w:cs="Microsoft JhengHei" w:eastAsia="Microsoft JhengHei" w:hint="default"/>
        </w:rPr>
        <w:t>重要会计政策、会计估计和合并财务报表的编制方法</w:t>
      </w:r>
      <w:r>
        <w:rPr>
          <w:rFonts w:ascii="Microsoft JhengHei" w:hAnsi="Microsoft JhengHei" w:cs="Microsoft JhengHei" w:eastAsia="Microsoft JhengHei" w:hint="default"/>
          <w:b w:val="0"/>
          <w:bCs w:val="0"/>
        </w:rPr>
      </w:r>
    </w:p>
    <w:p>
      <w:pPr>
        <w:spacing w:before="142"/>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黑体" w:hAnsi="黑体" w:cs="黑体" w:eastAsia="黑体" w:hint="default"/>
          <w:sz w:val="22"/>
          <w:szCs w:val="22"/>
        </w:rPr>
        <w:t>会计期间</w:t>
      </w:r>
    </w:p>
    <w:p>
      <w:pPr>
        <w:spacing w:before="163"/>
        <w:ind w:left="578" w:right="213" w:firstLine="0"/>
        <w:jc w:val="left"/>
        <w:rPr>
          <w:rFonts w:ascii="楷体" w:hAnsi="楷体" w:cs="楷体" w:eastAsia="楷体" w:hint="default"/>
          <w:sz w:val="22"/>
          <w:szCs w:val="22"/>
        </w:rPr>
      </w:pPr>
      <w:r>
        <w:rPr>
          <w:rFonts w:ascii="楷体" w:hAnsi="楷体" w:cs="楷体" w:eastAsia="楷体" w:hint="default"/>
          <w:sz w:val="22"/>
          <w:szCs w:val="22"/>
        </w:rPr>
        <w:t>本公司的会计期间为公历</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日至</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日。</w:t>
      </w:r>
    </w:p>
    <w:p>
      <w:pPr>
        <w:spacing w:line="379" w:lineRule="auto" w:before="163"/>
        <w:ind w:left="579" w:right="5885" w:firstLine="13"/>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黑体" w:hAnsi="黑体" w:cs="黑体" w:eastAsia="黑体" w:hint="default"/>
          <w:sz w:val="22"/>
          <w:szCs w:val="22"/>
        </w:rPr>
        <w:t>记账本位币</w:t>
      </w:r>
      <w:r>
        <w:rPr>
          <w:rFonts w:ascii="黑体" w:hAnsi="黑体" w:cs="黑体" w:eastAsia="黑体" w:hint="default"/>
          <w:w w:val="99"/>
          <w:sz w:val="22"/>
          <w:szCs w:val="22"/>
        </w:rPr>
        <w:t> </w:t>
      </w:r>
      <w:r>
        <w:rPr>
          <w:rFonts w:ascii="楷体" w:hAnsi="楷体" w:cs="楷体" w:eastAsia="楷体" w:hint="default"/>
          <w:sz w:val="22"/>
          <w:szCs w:val="22"/>
        </w:rPr>
        <w:t>本公司以人民币为记账本位币。</w:t>
      </w:r>
      <w:r>
        <w:rPr>
          <w:rFonts w:ascii="楷体" w:hAnsi="楷体" w:cs="楷体" w:eastAsia="楷体" w:hint="default"/>
          <w:w w:val="99"/>
          <w:sz w:val="22"/>
          <w:szCs w:val="22"/>
        </w:rPr>
        <w:t> </w:t>
      </w: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黑体" w:hAnsi="黑体" w:cs="黑体" w:eastAsia="黑体" w:hint="default"/>
          <w:sz w:val="22"/>
          <w:szCs w:val="22"/>
        </w:rPr>
        <w:t>记账基础和计量属性</w:t>
      </w:r>
    </w:p>
    <w:p>
      <w:pPr>
        <w:spacing w:line="324" w:lineRule="auto" w:before="22"/>
        <w:ind w:left="138" w:right="184" w:firstLine="440"/>
        <w:jc w:val="both"/>
        <w:rPr>
          <w:rFonts w:ascii="楷体" w:hAnsi="楷体" w:cs="楷体" w:eastAsia="楷体" w:hint="default"/>
          <w:sz w:val="22"/>
          <w:szCs w:val="22"/>
        </w:rPr>
      </w:pPr>
      <w:r>
        <w:rPr>
          <w:rFonts w:ascii="楷体" w:hAnsi="楷体" w:cs="楷体" w:eastAsia="楷体" w:hint="default"/>
          <w:w w:val="95"/>
          <w:sz w:val="22"/>
          <w:szCs w:val="22"/>
        </w:rPr>
        <w:t>本公司会计核算以权责发生制为记账基础，除交易性金融资产、可供出售金融资产、符合条</w:t>
      </w:r>
      <w:r>
        <w:rPr>
          <w:rFonts w:ascii="楷体" w:hAnsi="楷体" w:cs="楷体" w:eastAsia="楷体" w:hint="default"/>
          <w:w w:val="99"/>
          <w:sz w:val="22"/>
          <w:szCs w:val="22"/>
        </w:rPr>
        <w:t> </w:t>
      </w:r>
      <w:r>
        <w:rPr>
          <w:rFonts w:ascii="楷体" w:hAnsi="楷体" w:cs="楷体" w:eastAsia="楷体" w:hint="default"/>
          <w:sz w:val="22"/>
          <w:szCs w:val="22"/>
        </w:rPr>
        <w:t>件的投资性房地产、非同一控制下的企业合并、具有商业目的的非货币性资产交换、债务重组、</w:t>
      </w:r>
      <w:r>
        <w:rPr>
          <w:rFonts w:ascii="楷体" w:hAnsi="楷体" w:cs="楷体" w:eastAsia="楷体" w:hint="default"/>
          <w:w w:val="99"/>
          <w:sz w:val="22"/>
          <w:szCs w:val="22"/>
        </w:rPr>
        <w:t> </w:t>
      </w:r>
      <w:r>
        <w:rPr>
          <w:rFonts w:ascii="楷体" w:hAnsi="楷体" w:cs="楷体" w:eastAsia="楷体" w:hint="default"/>
          <w:w w:val="95"/>
          <w:sz w:val="22"/>
          <w:szCs w:val="22"/>
        </w:rPr>
        <w:t>投资者投入的非货币资产、交易性金融负债、衍生工具等以公允价值计量外，均以历史成本为计</w:t>
      </w:r>
      <w:r>
        <w:rPr>
          <w:rFonts w:ascii="楷体" w:hAnsi="楷体" w:cs="楷体" w:eastAsia="楷体" w:hint="default"/>
          <w:sz w:val="22"/>
          <w:szCs w:val="22"/>
        </w:rPr>
      </w:r>
    </w:p>
    <w:p>
      <w:pPr>
        <w:spacing w:after="0" w:line="324" w:lineRule="auto"/>
        <w:jc w:val="both"/>
        <w:rPr>
          <w:rFonts w:ascii="楷体" w:hAnsi="楷体" w:cs="楷体" w:eastAsia="楷体" w:hint="default"/>
          <w:sz w:val="22"/>
          <w:szCs w:val="22"/>
        </w:rPr>
        <w:sectPr>
          <w:pgSz w:w="11910" w:h="16840"/>
          <w:pgMar w:header="610" w:footer="784" w:top="1080" w:bottom="980" w:left="1280" w:right="106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138" w:right="213" w:firstLine="0"/>
        <w:jc w:val="left"/>
        <w:rPr>
          <w:rFonts w:ascii="楷体" w:hAnsi="楷体" w:cs="楷体" w:eastAsia="楷体" w:hint="default"/>
          <w:sz w:val="22"/>
          <w:szCs w:val="22"/>
        </w:rPr>
      </w:pPr>
      <w:r>
        <w:rPr>
          <w:rFonts w:ascii="楷体" w:hAnsi="楷体" w:cs="楷体" w:eastAsia="楷体" w:hint="default"/>
          <w:sz w:val="22"/>
          <w:szCs w:val="22"/>
        </w:rPr>
        <w:t>价原则。</w:t>
      </w:r>
    </w:p>
    <w:p>
      <w:pPr>
        <w:spacing w:before="179"/>
        <w:ind w:left="592"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现金及现金等价物</w:t>
      </w:r>
    </w:p>
    <w:p>
      <w:pPr>
        <w:spacing w:line="324" w:lineRule="auto" w:before="163"/>
        <w:ind w:left="138" w:right="221" w:firstLine="440"/>
        <w:jc w:val="both"/>
        <w:rPr>
          <w:rFonts w:ascii="楷体" w:hAnsi="楷体" w:cs="楷体" w:eastAsia="楷体" w:hint="default"/>
          <w:sz w:val="22"/>
          <w:szCs w:val="22"/>
        </w:rPr>
      </w:pPr>
      <w:r>
        <w:rPr>
          <w:rFonts w:ascii="楷体" w:hAnsi="楷体" w:cs="楷体" w:eastAsia="楷体" w:hint="default"/>
          <w:spacing w:val="-1"/>
          <w:sz w:val="22"/>
          <w:szCs w:val="22"/>
        </w:rPr>
        <w:t>本公司现金流量表之现金指库存现金以及可以随时用于支付的存款。现金等价物指持有期限</w:t>
      </w:r>
      <w:r>
        <w:rPr>
          <w:rFonts w:ascii="楷体" w:hAnsi="楷体" w:cs="楷体" w:eastAsia="楷体" w:hint="default"/>
          <w:w w:val="99"/>
          <w:sz w:val="22"/>
          <w:szCs w:val="22"/>
        </w:rPr>
        <w:t> </w:t>
      </w:r>
      <w:r>
        <w:rPr>
          <w:rFonts w:ascii="楷体" w:hAnsi="楷体" w:cs="楷体" w:eastAsia="楷体" w:hint="default"/>
          <w:spacing w:val="-1"/>
          <w:w w:val="99"/>
          <w:sz w:val="22"/>
          <w:szCs w:val="22"/>
        </w:rPr>
        <w:t>短（一般是指从购买日起三个月内到期）、流动性强、易于转换为已知金额现金、价值变动风险</w:t>
      </w:r>
      <w:r>
        <w:rPr>
          <w:rFonts w:ascii="楷体" w:hAnsi="楷体" w:cs="楷体" w:eastAsia="楷体" w:hint="default"/>
          <w:spacing w:val="-106"/>
          <w:w w:val="99"/>
          <w:sz w:val="22"/>
          <w:szCs w:val="22"/>
        </w:rPr>
        <w:t> </w:t>
      </w:r>
      <w:r>
        <w:rPr>
          <w:rFonts w:ascii="楷体" w:hAnsi="楷体" w:cs="楷体" w:eastAsia="楷体" w:hint="default"/>
          <w:spacing w:val="-106"/>
          <w:w w:val="99"/>
          <w:sz w:val="22"/>
          <w:szCs w:val="22"/>
        </w:rPr>
      </w:r>
      <w:r>
        <w:rPr>
          <w:rFonts w:ascii="楷体" w:hAnsi="楷体" w:cs="楷体" w:eastAsia="楷体" w:hint="default"/>
          <w:sz w:val="22"/>
          <w:szCs w:val="22"/>
        </w:rPr>
        <w:t>很小的投资。</w:t>
      </w:r>
    </w:p>
    <w:p>
      <w:pPr>
        <w:spacing w:before="103"/>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黑体" w:hAnsi="黑体" w:cs="黑体" w:eastAsia="黑体" w:hint="default"/>
          <w:sz w:val="22"/>
          <w:szCs w:val="22"/>
        </w:rPr>
        <w:t>外币折算</w:t>
      </w:r>
    </w:p>
    <w:p>
      <w:pPr>
        <w:spacing w:line="369" w:lineRule="auto" w:before="163"/>
        <w:ind w:left="578" w:right="166" w:firstLine="1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1"/>
          <w:sz w:val="22"/>
          <w:szCs w:val="22"/>
        </w:rPr>
        <w:t> </w:t>
      </w:r>
      <w:r>
        <w:rPr>
          <w:rFonts w:ascii="楷体" w:hAnsi="楷体" w:cs="楷体" w:eastAsia="楷体" w:hint="default"/>
          <w:sz w:val="22"/>
          <w:szCs w:val="22"/>
        </w:rPr>
        <w:t>外币交易</w:t>
      </w:r>
      <w:r>
        <w:rPr>
          <w:rFonts w:ascii="楷体" w:hAnsi="楷体" w:cs="楷体" w:eastAsia="楷体" w:hint="default"/>
          <w:w w:val="99"/>
          <w:sz w:val="22"/>
          <w:szCs w:val="22"/>
        </w:rPr>
        <w:t> </w:t>
      </w:r>
      <w:r>
        <w:rPr>
          <w:rFonts w:ascii="楷体" w:hAnsi="楷体" w:cs="楷体" w:eastAsia="楷体" w:hint="default"/>
          <w:sz w:val="22"/>
          <w:szCs w:val="22"/>
        </w:rPr>
        <w:t>本公司外币交易按交易发生日的即期汇率将外币金额折算为人民币金额。于资产负债表日，</w:t>
      </w:r>
    </w:p>
    <w:p>
      <w:pPr>
        <w:spacing w:line="271" w:lineRule="exact" w:before="0"/>
        <w:ind w:left="137" w:right="86" w:firstLine="0"/>
        <w:jc w:val="left"/>
        <w:rPr>
          <w:rFonts w:ascii="楷体" w:hAnsi="楷体" w:cs="楷体" w:eastAsia="楷体" w:hint="default"/>
          <w:sz w:val="22"/>
          <w:szCs w:val="22"/>
        </w:rPr>
      </w:pPr>
      <w:r>
        <w:rPr>
          <w:rFonts w:ascii="楷体" w:hAnsi="楷体" w:cs="楷体" w:eastAsia="楷体" w:hint="default"/>
          <w:sz w:val="22"/>
          <w:szCs w:val="22"/>
        </w:rPr>
        <w:t>外币货币性项目采用资产负债表日的即期汇率折算为人民币，所产生的折算差额除了为购建或生</w:t>
      </w:r>
    </w:p>
    <w:p>
      <w:pPr>
        <w:spacing w:line="324" w:lineRule="auto" w:before="102"/>
        <w:ind w:left="137" w:right="222" w:firstLine="0"/>
        <w:jc w:val="both"/>
        <w:rPr>
          <w:rFonts w:ascii="楷体" w:hAnsi="楷体" w:cs="楷体" w:eastAsia="楷体" w:hint="default"/>
          <w:sz w:val="22"/>
          <w:szCs w:val="22"/>
        </w:rPr>
      </w:pPr>
      <w:r>
        <w:rPr>
          <w:rFonts w:ascii="楷体" w:hAnsi="楷体" w:cs="楷体" w:eastAsia="楷体" w:hint="default"/>
          <w:spacing w:val="-1"/>
          <w:sz w:val="22"/>
          <w:szCs w:val="22"/>
        </w:rPr>
        <w:t>产符合资本化条件的资产而借入的外币专门借款产生的汇兑差额按资本化的原则处理外，直接计</w:t>
      </w:r>
      <w:r>
        <w:rPr>
          <w:rFonts w:ascii="楷体" w:hAnsi="楷体" w:cs="楷体" w:eastAsia="楷体" w:hint="default"/>
          <w:w w:val="99"/>
          <w:sz w:val="22"/>
          <w:szCs w:val="22"/>
        </w:rPr>
        <w:t> </w:t>
      </w:r>
      <w:r>
        <w:rPr>
          <w:rFonts w:ascii="楷体" w:hAnsi="楷体" w:cs="楷体" w:eastAsia="楷体" w:hint="default"/>
          <w:spacing w:val="-1"/>
          <w:sz w:val="22"/>
          <w:szCs w:val="22"/>
        </w:rPr>
        <w:t>入当期损益。以公允价值计量的外币非货币性项目，采用公允价值确定日的即期汇率折算，折算</w:t>
      </w:r>
      <w:r>
        <w:rPr>
          <w:rFonts w:ascii="楷体" w:hAnsi="楷体" w:cs="楷体" w:eastAsia="楷体" w:hint="default"/>
          <w:w w:val="99"/>
          <w:sz w:val="22"/>
          <w:szCs w:val="22"/>
        </w:rPr>
        <w:t> </w:t>
      </w:r>
      <w:r>
        <w:rPr>
          <w:rFonts w:ascii="楷体" w:hAnsi="楷体" w:cs="楷体" w:eastAsia="楷体" w:hint="default"/>
          <w:spacing w:val="-1"/>
          <w:sz w:val="22"/>
          <w:szCs w:val="22"/>
        </w:rPr>
        <w:t>后的记账本位币与原记账本位币金额的差额，属于可供出售金融资产的外币非货币性项目，其差</w:t>
      </w:r>
      <w:r>
        <w:rPr>
          <w:rFonts w:ascii="楷体" w:hAnsi="楷体" w:cs="楷体" w:eastAsia="楷体" w:hint="default"/>
          <w:w w:val="99"/>
          <w:sz w:val="22"/>
          <w:szCs w:val="22"/>
        </w:rPr>
        <w:t> </w:t>
      </w:r>
      <w:r>
        <w:rPr>
          <w:rFonts w:ascii="楷体" w:hAnsi="楷体" w:cs="楷体" w:eastAsia="楷体" w:hint="default"/>
          <w:spacing w:val="-1"/>
          <w:sz w:val="22"/>
          <w:szCs w:val="22"/>
        </w:rPr>
        <w:t>额计入资本公积；属于以公允价值计量且其变动计入当期损益的外币非货币性项目，其差额计入</w:t>
      </w:r>
      <w:r>
        <w:rPr>
          <w:rFonts w:ascii="楷体" w:hAnsi="楷体" w:cs="楷体" w:eastAsia="楷体" w:hint="default"/>
          <w:w w:val="99"/>
          <w:sz w:val="22"/>
          <w:szCs w:val="22"/>
        </w:rPr>
        <w:t> </w:t>
      </w:r>
      <w:r>
        <w:rPr>
          <w:rFonts w:ascii="楷体" w:hAnsi="楷体" w:cs="楷体" w:eastAsia="楷体" w:hint="default"/>
          <w:spacing w:val="-1"/>
          <w:sz w:val="22"/>
          <w:szCs w:val="22"/>
        </w:rPr>
        <w:t>当期损益。以历史成本计量的外币非货币性项目，仍采用交易发生日的即期汇率折算，不改变其</w:t>
      </w:r>
      <w:r>
        <w:rPr>
          <w:rFonts w:ascii="楷体" w:hAnsi="楷体" w:cs="楷体" w:eastAsia="楷体" w:hint="default"/>
          <w:w w:val="99"/>
          <w:sz w:val="22"/>
          <w:szCs w:val="22"/>
        </w:rPr>
        <w:t> </w:t>
      </w:r>
      <w:r>
        <w:rPr>
          <w:rFonts w:ascii="楷体" w:hAnsi="楷体" w:cs="楷体" w:eastAsia="楷体" w:hint="default"/>
          <w:sz w:val="22"/>
          <w:szCs w:val="22"/>
        </w:rPr>
        <w:t>人民币金额。</w:t>
      </w:r>
    </w:p>
    <w:p>
      <w:pPr>
        <w:spacing w:line="369" w:lineRule="auto" w:before="103"/>
        <w:ind w:left="578" w:right="206" w:firstLine="1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楷体" w:hAnsi="楷体" w:cs="楷体" w:eastAsia="楷体" w:hint="default"/>
          <w:sz w:val="22"/>
          <w:szCs w:val="22"/>
        </w:rPr>
        <w:t>外币财务报表的折算</w:t>
      </w:r>
      <w:r>
        <w:rPr>
          <w:rFonts w:ascii="楷体" w:hAnsi="楷体" w:cs="楷体" w:eastAsia="楷体" w:hint="default"/>
          <w:w w:val="99"/>
          <w:sz w:val="22"/>
          <w:szCs w:val="22"/>
        </w:rPr>
        <w:t> </w:t>
      </w:r>
      <w:r>
        <w:rPr>
          <w:rFonts w:ascii="楷体" w:hAnsi="楷体" w:cs="楷体" w:eastAsia="楷体" w:hint="default"/>
          <w:spacing w:val="-1"/>
          <w:sz w:val="22"/>
          <w:szCs w:val="22"/>
        </w:rPr>
        <w:t>境外经营的资产负债表中的资产和负债项目，采用资产负债表日的即期汇率折算，股东权益</w:t>
      </w:r>
    </w:p>
    <w:p>
      <w:pPr>
        <w:spacing w:line="271" w:lineRule="exact" w:before="0"/>
        <w:ind w:left="137" w:right="86" w:firstLine="0"/>
        <w:jc w:val="left"/>
        <w:rPr>
          <w:rFonts w:ascii="楷体" w:hAnsi="楷体" w:cs="楷体" w:eastAsia="楷体" w:hint="default"/>
          <w:sz w:val="22"/>
          <w:szCs w:val="22"/>
        </w:rPr>
      </w:pPr>
      <w:r>
        <w:rPr>
          <w:rFonts w:ascii="楷体" w:hAnsi="楷体" w:cs="楷体" w:eastAsia="楷体" w:hint="default"/>
          <w:sz w:val="22"/>
          <w:szCs w:val="22"/>
        </w:rPr>
        <w:t>项目除未分配利润项目外，其他项目采用发生时的即期汇率折算。境外经营的利润表中的收入与</w:t>
      </w:r>
    </w:p>
    <w:p>
      <w:pPr>
        <w:spacing w:line="324" w:lineRule="auto" w:before="102"/>
        <w:ind w:left="137" w:right="86" w:firstLine="0"/>
        <w:jc w:val="left"/>
        <w:rPr>
          <w:rFonts w:ascii="楷体" w:hAnsi="楷体" w:cs="楷体" w:eastAsia="楷体" w:hint="default"/>
          <w:sz w:val="22"/>
          <w:szCs w:val="22"/>
        </w:rPr>
      </w:pPr>
      <w:r>
        <w:rPr>
          <w:rFonts w:ascii="楷体" w:hAnsi="楷体" w:cs="楷体" w:eastAsia="楷体" w:hint="default"/>
          <w:sz w:val="22"/>
          <w:szCs w:val="22"/>
        </w:rPr>
        <w:t>费用项目，采用交易发生日的即期汇率折算。上述折算产生的外币报表折算差额，在股东权益项</w:t>
      </w:r>
      <w:r>
        <w:rPr>
          <w:rFonts w:ascii="楷体" w:hAnsi="楷体" w:cs="楷体" w:eastAsia="楷体" w:hint="default"/>
          <w:w w:val="99"/>
          <w:sz w:val="22"/>
          <w:szCs w:val="22"/>
        </w:rPr>
        <w:t> </w:t>
      </w:r>
      <w:r>
        <w:rPr>
          <w:rFonts w:ascii="楷体" w:hAnsi="楷体" w:cs="楷体" w:eastAsia="楷体" w:hint="default"/>
          <w:spacing w:val="-4"/>
          <w:sz w:val="22"/>
          <w:szCs w:val="22"/>
        </w:rPr>
        <w:t>目下单独列示。实质上构成对境外经营净投资的外币货币性项目，因汇率变动而产生的汇兑差额，</w:t>
      </w:r>
      <w:r>
        <w:rPr>
          <w:rFonts w:ascii="楷体" w:hAnsi="楷体" w:cs="楷体" w:eastAsia="楷体" w:hint="default"/>
          <w:spacing w:val="-89"/>
          <w:sz w:val="22"/>
          <w:szCs w:val="22"/>
        </w:rPr>
        <w:t> </w:t>
      </w:r>
      <w:r>
        <w:rPr>
          <w:rFonts w:ascii="楷体" w:hAnsi="楷体" w:cs="楷体" w:eastAsia="楷体" w:hint="default"/>
          <w:spacing w:val="-89"/>
          <w:sz w:val="22"/>
          <w:szCs w:val="22"/>
        </w:rPr>
      </w:r>
      <w:r>
        <w:rPr>
          <w:rFonts w:ascii="楷体" w:hAnsi="楷体" w:cs="楷体" w:eastAsia="楷体" w:hint="default"/>
          <w:spacing w:val="-4"/>
          <w:sz w:val="22"/>
          <w:szCs w:val="22"/>
        </w:rPr>
        <w:t>在编制合并财务报表时，也作为外币报表折算差额在股东权益项目下单独列示。处置境外经营时，</w:t>
      </w:r>
      <w:r>
        <w:rPr>
          <w:rFonts w:ascii="楷体" w:hAnsi="楷体" w:cs="楷体" w:eastAsia="楷体" w:hint="default"/>
          <w:spacing w:val="-89"/>
          <w:sz w:val="22"/>
          <w:szCs w:val="22"/>
        </w:rPr>
        <w:t> </w:t>
      </w:r>
      <w:r>
        <w:rPr>
          <w:rFonts w:ascii="楷体" w:hAnsi="楷体" w:cs="楷体" w:eastAsia="楷体" w:hint="default"/>
          <w:spacing w:val="-89"/>
          <w:sz w:val="22"/>
          <w:szCs w:val="22"/>
        </w:rPr>
      </w:r>
      <w:r>
        <w:rPr>
          <w:rFonts w:ascii="楷体" w:hAnsi="楷体" w:cs="楷体" w:eastAsia="楷体" w:hint="default"/>
          <w:sz w:val="22"/>
          <w:szCs w:val="22"/>
        </w:rPr>
        <w:t>与该境外经营有关的外币报表折算差额，按比例转入处置当期损益。</w:t>
      </w:r>
    </w:p>
    <w:p>
      <w:pPr>
        <w:spacing w:line="324" w:lineRule="auto" w:before="103"/>
        <w:ind w:left="137" w:right="223" w:firstLine="440"/>
        <w:jc w:val="both"/>
        <w:rPr>
          <w:rFonts w:ascii="楷体" w:hAnsi="楷体" w:cs="楷体" w:eastAsia="楷体" w:hint="default"/>
          <w:sz w:val="22"/>
          <w:szCs w:val="22"/>
        </w:rPr>
      </w:pPr>
      <w:r>
        <w:rPr>
          <w:rFonts w:ascii="楷体" w:hAnsi="楷体" w:cs="楷体" w:eastAsia="楷体" w:hint="default"/>
          <w:spacing w:val="-1"/>
          <w:sz w:val="22"/>
          <w:szCs w:val="22"/>
        </w:rPr>
        <w:t>外币现金流量以及境外子公司的现金流量采用现金流量发生日的即期汇率折算。汇率变动对</w:t>
      </w:r>
      <w:r>
        <w:rPr>
          <w:rFonts w:ascii="楷体" w:hAnsi="楷体" w:cs="楷体" w:eastAsia="楷体" w:hint="default"/>
          <w:w w:val="99"/>
          <w:sz w:val="22"/>
          <w:szCs w:val="22"/>
        </w:rPr>
        <w:t> </w:t>
      </w:r>
      <w:r>
        <w:rPr>
          <w:rFonts w:ascii="楷体" w:hAnsi="楷体" w:cs="楷体" w:eastAsia="楷体" w:hint="default"/>
          <w:sz w:val="22"/>
          <w:szCs w:val="22"/>
        </w:rPr>
        <w:t>现金的影响额，在现金流量表中单独列示。</w:t>
      </w:r>
    </w:p>
    <w:p>
      <w:pPr>
        <w:spacing w:before="103"/>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黑体" w:hAnsi="黑体" w:cs="黑体" w:eastAsia="黑体" w:hint="default"/>
          <w:sz w:val="22"/>
          <w:szCs w:val="22"/>
        </w:rPr>
        <w:t>金融资产</w:t>
      </w:r>
    </w:p>
    <w:p>
      <w:pPr>
        <w:spacing w:line="307" w:lineRule="auto" w:before="163"/>
        <w:ind w:left="137" w:right="223" w:firstLine="453"/>
        <w:jc w:val="both"/>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21"/>
          <w:sz w:val="22"/>
          <w:szCs w:val="22"/>
        </w:rPr>
        <w:t> </w:t>
      </w:r>
      <w:r>
        <w:rPr>
          <w:rFonts w:ascii="楷体" w:hAnsi="楷体" w:cs="楷体" w:eastAsia="楷体" w:hint="default"/>
          <w:sz w:val="22"/>
          <w:szCs w:val="22"/>
        </w:rPr>
        <w:t>金融资产的分类：本公司按投资目的和经济实质对拥有的金融资产分为以公允价值计量</w:t>
      </w:r>
      <w:r>
        <w:rPr>
          <w:rFonts w:ascii="楷体" w:hAnsi="楷体" w:cs="楷体" w:eastAsia="楷体" w:hint="default"/>
          <w:w w:val="99"/>
          <w:sz w:val="22"/>
          <w:szCs w:val="22"/>
        </w:rPr>
        <w:t> </w:t>
      </w:r>
      <w:r>
        <w:rPr>
          <w:rFonts w:ascii="楷体" w:hAnsi="楷体" w:cs="楷体" w:eastAsia="楷体" w:hint="default"/>
          <w:sz w:val="22"/>
          <w:szCs w:val="22"/>
        </w:rPr>
        <w:t>且其变动计入当期损益的金融资产、持有至到期投资、应收款项和可供出售金融资产四大类。</w:t>
      </w:r>
    </w:p>
    <w:p>
      <w:pPr>
        <w:spacing w:line="307" w:lineRule="auto" w:before="118"/>
        <w:ind w:left="137" w:right="204"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8"/>
          <w:sz w:val="22"/>
          <w:szCs w:val="22"/>
        </w:rPr>
        <w:t> </w:t>
      </w:r>
      <w:r>
        <w:rPr>
          <w:rFonts w:ascii="楷体" w:hAnsi="楷体" w:cs="楷体" w:eastAsia="楷体" w:hint="default"/>
          <w:sz w:val="22"/>
          <w:szCs w:val="22"/>
        </w:rPr>
        <w:t>以公允价值计量且其变动计入当期损益的金融资产：主要是指持有的主要目的为短期内</w:t>
      </w:r>
      <w:r>
        <w:rPr>
          <w:rFonts w:ascii="楷体" w:hAnsi="楷体" w:cs="楷体" w:eastAsia="楷体" w:hint="default"/>
          <w:w w:val="99"/>
          <w:sz w:val="22"/>
          <w:szCs w:val="22"/>
        </w:rPr>
        <w:t> </w:t>
      </w:r>
      <w:r>
        <w:rPr>
          <w:rFonts w:ascii="楷体" w:hAnsi="楷体" w:cs="楷体" w:eastAsia="楷体" w:hint="default"/>
          <w:sz w:val="22"/>
          <w:szCs w:val="22"/>
        </w:rPr>
        <w:t>出售的金融资产，在资产负债表中以交易性金融资产列示；</w:t>
      </w:r>
    </w:p>
    <w:p>
      <w:pPr>
        <w:spacing w:line="307" w:lineRule="auto" w:before="118"/>
        <w:ind w:left="137" w:right="206"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6"/>
          <w:sz w:val="22"/>
          <w:szCs w:val="22"/>
        </w:rPr>
        <w:t> </w:t>
      </w:r>
      <w:r>
        <w:rPr>
          <w:rFonts w:ascii="楷体" w:hAnsi="楷体" w:cs="楷体" w:eastAsia="楷体" w:hint="default"/>
          <w:sz w:val="22"/>
          <w:szCs w:val="22"/>
        </w:rPr>
        <w:t>持有至到期投资：是指到期日固定、回收金额固定或可确定，且管理层有明确意图和能</w:t>
      </w:r>
      <w:r>
        <w:rPr>
          <w:rFonts w:ascii="楷体" w:hAnsi="楷体" w:cs="楷体" w:eastAsia="楷体" w:hint="default"/>
          <w:w w:val="99"/>
          <w:sz w:val="22"/>
          <w:szCs w:val="22"/>
        </w:rPr>
        <w:t> </w:t>
      </w:r>
      <w:r>
        <w:rPr>
          <w:rFonts w:ascii="楷体" w:hAnsi="楷体" w:cs="楷体" w:eastAsia="楷体" w:hint="default"/>
          <w:sz w:val="22"/>
          <w:szCs w:val="22"/>
        </w:rPr>
        <w:t>力持有至到期的非衍生金融资产；</w:t>
      </w:r>
    </w:p>
    <w:p>
      <w:pPr>
        <w:spacing w:before="118"/>
        <w:ind w:left="705" w:right="8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32"/>
          <w:sz w:val="22"/>
          <w:szCs w:val="22"/>
        </w:rPr>
        <w:t> </w:t>
      </w:r>
      <w:r>
        <w:rPr>
          <w:rFonts w:ascii="楷体" w:hAnsi="楷体" w:cs="楷体" w:eastAsia="楷体" w:hint="default"/>
          <w:sz w:val="22"/>
          <w:szCs w:val="22"/>
        </w:rPr>
        <w:t>应收款项：是指在活跃市场中没有报价，回收金额固定或可确定的非衍生金融资产，包</w:t>
      </w:r>
    </w:p>
    <w:p>
      <w:pPr>
        <w:spacing w:after="0"/>
        <w:jc w:val="left"/>
        <w:rPr>
          <w:rFonts w:ascii="楷体" w:hAnsi="楷体" w:cs="楷体" w:eastAsia="楷体" w:hint="default"/>
          <w:sz w:val="22"/>
          <w:szCs w:val="22"/>
        </w:rPr>
        <w:sectPr>
          <w:pgSz w:w="11910" w:h="16840"/>
          <w:pgMar w:header="610" w:footer="784" w:top="1080" w:bottom="980" w:left="1280" w:right="106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138" w:right="0" w:firstLine="0"/>
        <w:jc w:val="both"/>
        <w:rPr>
          <w:rFonts w:ascii="楷体" w:hAnsi="楷体" w:cs="楷体" w:eastAsia="楷体" w:hint="default"/>
          <w:sz w:val="22"/>
          <w:szCs w:val="22"/>
        </w:rPr>
      </w:pPr>
      <w:r>
        <w:rPr>
          <w:rFonts w:ascii="楷体" w:hAnsi="楷体" w:cs="楷体" w:eastAsia="楷体" w:hint="default"/>
          <w:sz w:val="22"/>
          <w:szCs w:val="22"/>
        </w:rPr>
        <w:t>括应收票据、应收账款、应收利息、应收股利及其他应收款等；</w:t>
      </w:r>
    </w:p>
    <w:p>
      <w:pPr>
        <w:spacing w:line="307" w:lineRule="auto" w:before="179"/>
        <w:ind w:left="138" w:right="124"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37"/>
          <w:sz w:val="22"/>
          <w:szCs w:val="22"/>
        </w:rPr>
        <w:t> </w:t>
      </w:r>
      <w:r>
        <w:rPr>
          <w:rFonts w:ascii="楷体" w:hAnsi="楷体" w:cs="楷体" w:eastAsia="楷体" w:hint="default"/>
          <w:sz w:val="22"/>
          <w:szCs w:val="22"/>
        </w:rPr>
        <w:t>可供出售金融资产：包括初始确认时即被指定为可供出售的非衍生金融资产及未被划分</w:t>
      </w:r>
      <w:r>
        <w:rPr>
          <w:rFonts w:ascii="楷体" w:hAnsi="楷体" w:cs="楷体" w:eastAsia="楷体" w:hint="default"/>
          <w:w w:val="99"/>
          <w:sz w:val="22"/>
          <w:szCs w:val="22"/>
        </w:rPr>
        <w:t> </w:t>
      </w:r>
      <w:r>
        <w:rPr>
          <w:rFonts w:ascii="楷体" w:hAnsi="楷体" w:cs="楷体" w:eastAsia="楷体" w:hint="default"/>
          <w:sz w:val="22"/>
          <w:szCs w:val="22"/>
        </w:rPr>
        <w:t>为其他类的金融资产。</w:t>
      </w:r>
    </w:p>
    <w:p>
      <w:pPr>
        <w:spacing w:line="379" w:lineRule="auto" w:before="118"/>
        <w:ind w:left="578" w:right="126" w:hanging="41"/>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12"/>
          <w:sz w:val="22"/>
          <w:szCs w:val="22"/>
        </w:rPr>
        <w:t> </w:t>
      </w:r>
      <w:r>
        <w:rPr>
          <w:rFonts w:ascii="楷体" w:hAnsi="楷体" w:cs="楷体" w:eastAsia="楷体" w:hint="default"/>
          <w:sz w:val="22"/>
          <w:szCs w:val="22"/>
        </w:rPr>
        <w:t>金融资产、负债的确认和计量：</w:t>
      </w:r>
      <w:r>
        <w:rPr>
          <w:rFonts w:ascii="楷体" w:hAnsi="楷体" w:cs="楷体" w:eastAsia="楷体" w:hint="default"/>
          <w:w w:val="99"/>
          <w:sz w:val="22"/>
          <w:szCs w:val="22"/>
        </w:rPr>
        <w:t> </w:t>
      </w:r>
      <w:r>
        <w:rPr>
          <w:rFonts w:ascii="楷体" w:hAnsi="楷体" w:cs="楷体" w:eastAsia="楷体" w:hint="default"/>
          <w:sz w:val="22"/>
          <w:szCs w:val="22"/>
        </w:rPr>
        <w:t>本公司成为金融工具合同的一方时，确认一项金融资产或负债。</w:t>
      </w:r>
      <w:r>
        <w:rPr>
          <w:rFonts w:ascii="楷体" w:hAnsi="楷体" w:cs="楷体" w:eastAsia="楷体" w:hint="default"/>
          <w:w w:val="99"/>
          <w:sz w:val="22"/>
          <w:szCs w:val="22"/>
        </w:rPr>
        <w:t> </w:t>
      </w:r>
      <w:r>
        <w:rPr>
          <w:rFonts w:ascii="楷体" w:hAnsi="楷体" w:cs="楷体" w:eastAsia="楷体" w:hint="default"/>
          <w:spacing w:val="-1"/>
          <w:sz w:val="22"/>
          <w:szCs w:val="22"/>
        </w:rPr>
        <w:t>金融资产以公允价值进行初始计量。以公允价值计量且其变动计入当期损益的金融资产，取</w:t>
      </w:r>
    </w:p>
    <w:p>
      <w:pPr>
        <w:spacing w:line="262" w:lineRule="exact" w:before="0"/>
        <w:ind w:left="138" w:right="0" w:firstLine="0"/>
        <w:jc w:val="both"/>
        <w:rPr>
          <w:rFonts w:ascii="楷体" w:hAnsi="楷体" w:cs="楷体" w:eastAsia="楷体" w:hint="default"/>
          <w:sz w:val="22"/>
          <w:szCs w:val="22"/>
        </w:rPr>
      </w:pPr>
      <w:r>
        <w:rPr>
          <w:rFonts w:ascii="楷体" w:hAnsi="楷体" w:cs="楷体" w:eastAsia="楷体" w:hint="default"/>
          <w:sz w:val="22"/>
          <w:szCs w:val="22"/>
        </w:rPr>
        <w:t>得时发生的相关交易费用直接计入当期损益，其他金融资产的相关交易费用计入初始确认金额。</w:t>
      </w:r>
    </w:p>
    <w:p>
      <w:pPr>
        <w:spacing w:line="324" w:lineRule="auto" w:before="102"/>
        <w:ind w:left="138" w:right="137" w:firstLine="0"/>
        <w:jc w:val="both"/>
        <w:rPr>
          <w:rFonts w:ascii="楷体" w:hAnsi="楷体" w:cs="楷体" w:eastAsia="楷体" w:hint="default"/>
          <w:sz w:val="22"/>
          <w:szCs w:val="22"/>
        </w:rPr>
      </w:pPr>
      <w:r>
        <w:rPr>
          <w:rFonts w:ascii="楷体" w:hAnsi="楷体" w:cs="楷体" w:eastAsia="楷体" w:hint="default"/>
          <w:spacing w:val="4"/>
          <w:sz w:val="22"/>
          <w:szCs w:val="22"/>
        </w:rPr>
        <w:t>当某项金融资产收取现金流量的合同权利已终止或与该金融资产所有权上几乎所有的风险和报</w:t>
      </w:r>
      <w:r>
        <w:rPr>
          <w:rFonts w:ascii="楷体" w:hAnsi="楷体" w:cs="楷体" w:eastAsia="楷体" w:hint="default"/>
          <w:spacing w:val="6"/>
          <w:w w:val="99"/>
          <w:sz w:val="22"/>
          <w:szCs w:val="22"/>
        </w:rPr>
        <w:t> </w:t>
      </w:r>
      <w:r>
        <w:rPr>
          <w:rFonts w:ascii="楷体" w:hAnsi="楷体" w:cs="楷体" w:eastAsia="楷体" w:hint="default"/>
          <w:sz w:val="22"/>
          <w:szCs w:val="22"/>
        </w:rPr>
        <w:t>酬已转移至转入方的，终止确认该金融资产。</w:t>
      </w:r>
    </w:p>
    <w:p>
      <w:pPr>
        <w:spacing w:line="324" w:lineRule="auto" w:before="103"/>
        <w:ind w:left="138" w:right="144" w:firstLine="440"/>
        <w:jc w:val="both"/>
        <w:rPr>
          <w:rFonts w:ascii="楷体" w:hAnsi="楷体" w:cs="楷体" w:eastAsia="楷体" w:hint="default"/>
          <w:sz w:val="22"/>
          <w:szCs w:val="22"/>
        </w:rPr>
      </w:pPr>
      <w:r>
        <w:rPr>
          <w:rFonts w:ascii="楷体" w:hAnsi="楷体" w:cs="楷体" w:eastAsia="楷体" w:hint="default"/>
          <w:spacing w:val="4"/>
          <w:sz w:val="22"/>
          <w:szCs w:val="22"/>
        </w:rPr>
        <w:t>以公允价值计量且其变动计入当期损益的金融资产和可供出售金融资产按照公允价值进行</w:t>
      </w:r>
      <w:r>
        <w:rPr>
          <w:rFonts w:ascii="楷体" w:hAnsi="楷体" w:cs="楷体" w:eastAsia="楷体" w:hint="default"/>
          <w:w w:val="99"/>
          <w:sz w:val="22"/>
          <w:szCs w:val="22"/>
        </w:rPr>
        <w:t> </w:t>
      </w:r>
      <w:r>
        <w:rPr>
          <w:rFonts w:ascii="楷体" w:hAnsi="楷体" w:cs="楷体" w:eastAsia="楷体" w:hint="default"/>
          <w:sz w:val="22"/>
          <w:szCs w:val="22"/>
        </w:rPr>
        <w:t>后续计量；应收款项以及持有至到期投资采用实际利率法，以摊余成本列示。</w:t>
      </w:r>
    </w:p>
    <w:p>
      <w:pPr>
        <w:spacing w:line="324" w:lineRule="auto" w:before="103"/>
        <w:ind w:left="138" w:right="104" w:firstLine="440"/>
        <w:jc w:val="both"/>
        <w:rPr>
          <w:rFonts w:ascii="楷体" w:hAnsi="楷体" w:cs="楷体" w:eastAsia="楷体" w:hint="default"/>
          <w:sz w:val="22"/>
          <w:szCs w:val="22"/>
        </w:rPr>
      </w:pPr>
      <w:r>
        <w:rPr>
          <w:rFonts w:ascii="楷体" w:hAnsi="楷体" w:cs="楷体" w:eastAsia="楷体" w:hint="default"/>
          <w:sz w:val="22"/>
          <w:szCs w:val="22"/>
        </w:rPr>
        <w:t>以公允价值计量且其变动计入当期损益的金融资产的公允价值变动计入公允价值变动损益；</w:t>
      </w:r>
      <w:r>
        <w:rPr>
          <w:rFonts w:ascii="楷体" w:hAnsi="楷体" w:cs="楷体" w:eastAsia="楷体" w:hint="default"/>
          <w:w w:val="99"/>
          <w:sz w:val="22"/>
          <w:szCs w:val="22"/>
        </w:rPr>
        <w:t> </w:t>
      </w:r>
      <w:r>
        <w:rPr>
          <w:rFonts w:ascii="楷体" w:hAnsi="楷体" w:cs="楷体" w:eastAsia="楷体" w:hint="default"/>
          <w:w w:val="95"/>
          <w:sz w:val="22"/>
          <w:szCs w:val="22"/>
        </w:rPr>
        <w:t>在资产持有期间所取得的利息或现金股利，确认为投资收益；处置时，其公允价值与初始入账金</w:t>
      </w:r>
      <w:r>
        <w:rPr>
          <w:rFonts w:ascii="楷体" w:hAnsi="楷体" w:cs="楷体" w:eastAsia="楷体" w:hint="default"/>
          <w:spacing w:val="1"/>
          <w:w w:val="95"/>
          <w:sz w:val="22"/>
          <w:szCs w:val="22"/>
        </w:rPr>
        <w:t> </w:t>
      </w:r>
      <w:r>
        <w:rPr>
          <w:rFonts w:ascii="楷体" w:hAnsi="楷体" w:cs="楷体" w:eastAsia="楷体" w:hint="default"/>
          <w:spacing w:val="1"/>
          <w:w w:val="95"/>
          <w:sz w:val="22"/>
          <w:szCs w:val="22"/>
        </w:rPr>
      </w:r>
      <w:r>
        <w:rPr>
          <w:rFonts w:ascii="楷体" w:hAnsi="楷体" w:cs="楷体" w:eastAsia="楷体" w:hint="default"/>
          <w:sz w:val="22"/>
          <w:szCs w:val="22"/>
        </w:rPr>
        <w:t>额之间的差额确认为投资损益，同时调整公允价值变动损益。</w:t>
      </w:r>
    </w:p>
    <w:p>
      <w:pPr>
        <w:spacing w:line="324" w:lineRule="auto" w:before="103"/>
        <w:ind w:left="138" w:right="142" w:firstLine="440"/>
        <w:jc w:val="both"/>
        <w:rPr>
          <w:rFonts w:ascii="楷体" w:hAnsi="楷体" w:cs="楷体" w:eastAsia="楷体" w:hint="default"/>
          <w:sz w:val="22"/>
          <w:szCs w:val="22"/>
        </w:rPr>
      </w:pPr>
      <w:r>
        <w:rPr>
          <w:rFonts w:ascii="楷体" w:hAnsi="楷体" w:cs="楷体" w:eastAsia="楷体" w:hint="default"/>
          <w:spacing w:val="-1"/>
          <w:sz w:val="22"/>
          <w:szCs w:val="22"/>
        </w:rPr>
        <w:t>可供出售金融资产的公允价值变动计入股东权益；持有期间按实际利率法计算的利息，计入</w:t>
      </w:r>
      <w:r>
        <w:rPr>
          <w:rFonts w:ascii="楷体" w:hAnsi="楷体" w:cs="楷体" w:eastAsia="楷体" w:hint="default"/>
          <w:w w:val="99"/>
          <w:sz w:val="22"/>
          <w:szCs w:val="22"/>
        </w:rPr>
        <w:t> </w:t>
      </w:r>
      <w:r>
        <w:rPr>
          <w:rFonts w:ascii="楷体" w:hAnsi="楷体" w:cs="楷体" w:eastAsia="楷体" w:hint="default"/>
          <w:spacing w:val="-1"/>
          <w:sz w:val="22"/>
          <w:szCs w:val="22"/>
        </w:rPr>
        <w:t>投资收益；可供出售权益工具投资的现金股利，于被投资单位宣告发放股利时计入投资收益；处</w:t>
      </w:r>
      <w:r>
        <w:rPr>
          <w:rFonts w:ascii="楷体" w:hAnsi="楷体" w:cs="楷体" w:eastAsia="楷体" w:hint="default"/>
          <w:w w:val="99"/>
          <w:sz w:val="22"/>
          <w:szCs w:val="22"/>
        </w:rPr>
        <w:t> </w:t>
      </w:r>
      <w:r>
        <w:rPr>
          <w:rFonts w:ascii="楷体" w:hAnsi="楷体" w:cs="楷体" w:eastAsia="楷体" w:hint="default"/>
          <w:spacing w:val="-1"/>
          <w:sz w:val="22"/>
          <w:szCs w:val="22"/>
        </w:rPr>
        <w:t>置时，取得的价款与账面价值扣除原直接计入股东权益的公允价值变动累计额之后的差额，计入</w:t>
      </w:r>
      <w:r>
        <w:rPr>
          <w:rFonts w:ascii="楷体" w:hAnsi="楷体" w:cs="楷体" w:eastAsia="楷体" w:hint="default"/>
          <w:w w:val="99"/>
          <w:sz w:val="22"/>
          <w:szCs w:val="22"/>
        </w:rPr>
        <w:t> </w:t>
      </w:r>
      <w:r>
        <w:rPr>
          <w:rFonts w:ascii="楷体" w:hAnsi="楷体" w:cs="楷体" w:eastAsia="楷体" w:hint="default"/>
          <w:sz w:val="22"/>
          <w:szCs w:val="22"/>
        </w:rPr>
        <w:t>投资损益。</w:t>
      </w:r>
    </w:p>
    <w:p>
      <w:pPr>
        <w:spacing w:line="324" w:lineRule="auto" w:before="103"/>
        <w:ind w:left="137" w:right="142" w:firstLine="440"/>
        <w:jc w:val="both"/>
        <w:rPr>
          <w:rFonts w:ascii="楷体" w:hAnsi="楷体" w:cs="楷体" w:eastAsia="楷体" w:hint="default"/>
          <w:sz w:val="22"/>
          <w:szCs w:val="22"/>
        </w:rPr>
      </w:pPr>
      <w:r>
        <w:rPr>
          <w:rFonts w:ascii="楷体" w:hAnsi="楷体" w:cs="楷体" w:eastAsia="楷体" w:hint="default"/>
          <w:spacing w:val="-1"/>
          <w:sz w:val="22"/>
          <w:szCs w:val="22"/>
        </w:rPr>
        <w:t>本公司的金融负债在初始确认时划分为以下两类：以公允价值计量且其变动计入当期损益的</w:t>
      </w:r>
      <w:r>
        <w:rPr>
          <w:rFonts w:ascii="楷体" w:hAnsi="楷体" w:cs="楷体" w:eastAsia="楷体" w:hint="default"/>
          <w:w w:val="99"/>
          <w:sz w:val="22"/>
          <w:szCs w:val="22"/>
        </w:rPr>
        <w:t> </w:t>
      </w:r>
      <w:r>
        <w:rPr>
          <w:rFonts w:ascii="楷体" w:hAnsi="楷体" w:cs="楷体" w:eastAsia="楷体" w:hint="default"/>
          <w:sz w:val="22"/>
          <w:szCs w:val="22"/>
        </w:rPr>
        <w:t>金融负债和其他金融负债。初始确认的金融资产或金融负债，按照公允价值计量。</w:t>
      </w:r>
    </w:p>
    <w:p>
      <w:pPr>
        <w:spacing w:line="369" w:lineRule="auto" w:before="103"/>
        <w:ind w:left="578" w:right="126" w:firstLine="1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31"/>
          <w:sz w:val="22"/>
          <w:szCs w:val="22"/>
        </w:rPr>
        <w:t> </w:t>
      </w:r>
      <w:r>
        <w:rPr>
          <w:rFonts w:ascii="楷体" w:hAnsi="楷体" w:cs="楷体" w:eastAsia="楷体" w:hint="default"/>
          <w:sz w:val="22"/>
          <w:szCs w:val="22"/>
        </w:rPr>
        <w:t>金融资产减值：</w:t>
      </w:r>
      <w:r>
        <w:rPr>
          <w:rFonts w:ascii="楷体" w:hAnsi="楷体" w:cs="楷体" w:eastAsia="楷体" w:hint="default"/>
          <w:w w:val="99"/>
          <w:sz w:val="22"/>
          <w:szCs w:val="22"/>
        </w:rPr>
        <w:t> </w:t>
      </w:r>
      <w:r>
        <w:rPr>
          <w:rFonts w:ascii="楷体" w:hAnsi="楷体" w:cs="楷体" w:eastAsia="楷体" w:hint="default"/>
          <w:spacing w:val="-1"/>
          <w:sz w:val="22"/>
          <w:szCs w:val="22"/>
        </w:rPr>
        <w:t>除以公允价值计量且其变动计入当期损益的金融资产外，本公司于资产负债表日对其他金融</w:t>
      </w:r>
    </w:p>
    <w:p>
      <w:pPr>
        <w:spacing w:line="271" w:lineRule="exact" w:before="0"/>
        <w:ind w:left="137" w:right="0" w:firstLine="0"/>
        <w:jc w:val="both"/>
        <w:rPr>
          <w:rFonts w:ascii="楷体" w:hAnsi="楷体" w:cs="楷体" w:eastAsia="楷体" w:hint="default"/>
          <w:sz w:val="22"/>
          <w:szCs w:val="22"/>
        </w:rPr>
      </w:pPr>
      <w:r>
        <w:rPr>
          <w:rFonts w:ascii="楷体" w:hAnsi="楷体" w:cs="楷体" w:eastAsia="楷体" w:hint="default"/>
          <w:sz w:val="22"/>
          <w:szCs w:val="22"/>
        </w:rPr>
        <w:t>资产的账面价值进行检查，如果有客观证据表明某项金融资产发生减值的，计提减值准备。如果</w:t>
      </w:r>
    </w:p>
    <w:p>
      <w:pPr>
        <w:spacing w:line="324" w:lineRule="auto" w:before="102"/>
        <w:ind w:left="137" w:right="142" w:firstLine="0"/>
        <w:jc w:val="both"/>
        <w:rPr>
          <w:rFonts w:ascii="楷体" w:hAnsi="楷体" w:cs="楷体" w:eastAsia="楷体" w:hint="default"/>
          <w:sz w:val="22"/>
          <w:szCs w:val="22"/>
        </w:rPr>
      </w:pPr>
      <w:r>
        <w:rPr>
          <w:rFonts w:ascii="楷体" w:hAnsi="楷体" w:cs="楷体" w:eastAsia="楷体" w:hint="default"/>
          <w:spacing w:val="-1"/>
          <w:sz w:val="22"/>
          <w:szCs w:val="22"/>
        </w:rPr>
        <w:t>可供出售金融资产的公允价值发生较大幅度或非暂时性下降，原直接计入股东权益的因公允价值</w:t>
      </w:r>
      <w:r>
        <w:rPr>
          <w:rFonts w:ascii="楷体" w:hAnsi="楷体" w:cs="楷体" w:eastAsia="楷体" w:hint="default"/>
          <w:w w:val="99"/>
          <w:sz w:val="22"/>
          <w:szCs w:val="22"/>
        </w:rPr>
        <w:t> </w:t>
      </w:r>
      <w:r>
        <w:rPr>
          <w:rFonts w:ascii="楷体" w:hAnsi="楷体" w:cs="楷体" w:eastAsia="楷体" w:hint="default"/>
          <w:spacing w:val="-1"/>
          <w:sz w:val="22"/>
          <w:szCs w:val="22"/>
        </w:rPr>
        <w:t>下降形成的累计损失计入减值损失。对已确认减值损失的可供出售债务工具投资，在期后公允价</w:t>
      </w:r>
      <w:r>
        <w:rPr>
          <w:rFonts w:ascii="楷体" w:hAnsi="楷体" w:cs="楷体" w:eastAsia="楷体" w:hint="default"/>
          <w:w w:val="99"/>
          <w:sz w:val="22"/>
          <w:szCs w:val="22"/>
        </w:rPr>
        <w:t> </w:t>
      </w:r>
      <w:r>
        <w:rPr>
          <w:rFonts w:ascii="楷体" w:hAnsi="楷体" w:cs="楷体" w:eastAsia="楷体" w:hint="default"/>
          <w:spacing w:val="-1"/>
          <w:sz w:val="22"/>
          <w:szCs w:val="22"/>
        </w:rPr>
        <w:t>值上升且客观上与确认原减值损失确认后发生的事项有关的，原确认的减值损失予以转回，计入</w:t>
      </w:r>
      <w:r>
        <w:rPr>
          <w:rFonts w:ascii="楷体" w:hAnsi="楷体" w:cs="楷体" w:eastAsia="楷体" w:hint="default"/>
          <w:w w:val="99"/>
          <w:sz w:val="22"/>
          <w:szCs w:val="22"/>
        </w:rPr>
        <w:t> </w:t>
      </w:r>
      <w:r>
        <w:rPr>
          <w:rFonts w:ascii="楷体" w:hAnsi="楷体" w:cs="楷体" w:eastAsia="楷体" w:hint="default"/>
          <w:spacing w:val="-1"/>
          <w:sz w:val="22"/>
          <w:szCs w:val="22"/>
        </w:rPr>
        <w:t>当期损益。对已确认减值损失的可供出售权益工具投资，在期后公允价值上升且客观上与确认原</w:t>
      </w:r>
      <w:r>
        <w:rPr>
          <w:rFonts w:ascii="楷体" w:hAnsi="楷体" w:cs="楷体" w:eastAsia="楷体" w:hint="default"/>
          <w:w w:val="99"/>
          <w:sz w:val="22"/>
          <w:szCs w:val="22"/>
        </w:rPr>
        <w:t> </w:t>
      </w:r>
      <w:r>
        <w:rPr>
          <w:rFonts w:ascii="楷体" w:hAnsi="楷体" w:cs="楷体" w:eastAsia="楷体" w:hint="default"/>
          <w:spacing w:val="-1"/>
          <w:sz w:val="22"/>
          <w:szCs w:val="22"/>
        </w:rPr>
        <w:t>减值损失确认后发生的事项有关的，原确认的减值损失予以转回，计入股东权益。在活跃市场中</w:t>
      </w:r>
      <w:r>
        <w:rPr>
          <w:rFonts w:ascii="楷体" w:hAnsi="楷体" w:cs="楷体" w:eastAsia="楷体" w:hint="default"/>
          <w:w w:val="99"/>
          <w:sz w:val="22"/>
          <w:szCs w:val="22"/>
        </w:rPr>
        <w:t> </w:t>
      </w:r>
      <w:r>
        <w:rPr>
          <w:rFonts w:ascii="楷体" w:hAnsi="楷体" w:cs="楷体" w:eastAsia="楷体" w:hint="default"/>
          <w:sz w:val="22"/>
          <w:szCs w:val="22"/>
        </w:rPr>
        <w:t>没有报价且其公允价值不能可靠计量的权益工具投资发生的减值损失，不予转回。</w:t>
      </w:r>
    </w:p>
    <w:p>
      <w:pPr>
        <w:spacing w:before="103"/>
        <w:ind w:left="591" w:right="224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7</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应收款项坏账准备核算方法</w:t>
      </w:r>
    </w:p>
    <w:p>
      <w:pPr>
        <w:spacing w:line="307" w:lineRule="auto" w:before="163"/>
        <w:ind w:left="137" w:right="142" w:firstLine="440"/>
        <w:jc w:val="both"/>
        <w:rPr>
          <w:rFonts w:ascii="楷体" w:hAnsi="楷体" w:cs="楷体" w:eastAsia="楷体" w:hint="default"/>
          <w:sz w:val="22"/>
          <w:szCs w:val="22"/>
        </w:rPr>
      </w:pPr>
      <w:r>
        <w:rPr>
          <w:rFonts w:ascii="楷体" w:hAnsi="楷体" w:cs="楷体" w:eastAsia="楷体" w:hint="default"/>
          <w:sz w:val="22"/>
          <w:szCs w:val="22"/>
        </w:rPr>
        <w:t>本公司将单项金额超过 </w:t>
      </w:r>
      <w:r>
        <w:rPr>
          <w:rFonts w:ascii="Times New Roman" w:hAnsi="Times New Roman" w:cs="Times New Roman" w:eastAsia="Times New Roman" w:hint="default"/>
          <w:sz w:val="22"/>
          <w:szCs w:val="22"/>
        </w:rPr>
        <w:t>1000</w:t>
      </w:r>
      <w:r>
        <w:rPr>
          <w:rFonts w:ascii="Times New Roman" w:hAnsi="Times New Roman" w:cs="Times New Roman" w:eastAsia="Times New Roman" w:hint="default"/>
          <w:spacing w:val="12"/>
          <w:sz w:val="22"/>
          <w:szCs w:val="22"/>
        </w:rPr>
        <w:t> </w:t>
      </w:r>
      <w:r>
        <w:rPr>
          <w:rFonts w:ascii="楷体" w:hAnsi="楷体" w:cs="楷体" w:eastAsia="楷体" w:hint="default"/>
          <w:sz w:val="22"/>
          <w:szCs w:val="22"/>
        </w:rPr>
        <w:t>万元的应收款项视为重大应收款项，当存在客观证据表明本公</w:t>
      </w:r>
      <w:r>
        <w:rPr>
          <w:rFonts w:ascii="楷体" w:hAnsi="楷体" w:cs="楷体" w:eastAsia="楷体" w:hint="default"/>
          <w:w w:val="99"/>
          <w:sz w:val="22"/>
          <w:szCs w:val="22"/>
        </w:rPr>
        <w:t> </w:t>
      </w:r>
      <w:r>
        <w:rPr>
          <w:rFonts w:ascii="楷体" w:hAnsi="楷体" w:cs="楷体" w:eastAsia="楷体" w:hint="default"/>
          <w:spacing w:val="-1"/>
          <w:sz w:val="22"/>
          <w:szCs w:val="22"/>
        </w:rPr>
        <w:t>司将无法按应收款项的原有条款收回所有款项时，根据其未来现金流量现值低于其账面价值的差</w:t>
      </w:r>
    </w:p>
    <w:p>
      <w:pPr>
        <w:spacing w:after="0" w:line="307" w:lineRule="auto"/>
        <w:jc w:val="both"/>
        <w:rPr>
          <w:rFonts w:ascii="楷体" w:hAnsi="楷体" w:cs="楷体" w:eastAsia="楷体" w:hint="default"/>
          <w:sz w:val="22"/>
          <w:szCs w:val="22"/>
        </w:rPr>
        <w:sectPr>
          <w:pgSz w:w="11910" w:h="16840"/>
          <w:pgMar w:header="610" w:footer="784" w:top="1080" w:bottom="9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line="388" w:lineRule="auto" w:before="31"/>
        <w:ind w:left="578" w:right="206" w:hanging="441"/>
        <w:jc w:val="left"/>
        <w:rPr>
          <w:rFonts w:ascii="楷体" w:hAnsi="楷体" w:cs="楷体" w:eastAsia="楷体" w:hint="default"/>
          <w:sz w:val="22"/>
          <w:szCs w:val="22"/>
        </w:rPr>
      </w:pPr>
      <w:r>
        <w:rPr>
          <w:rFonts w:ascii="楷体" w:hAnsi="楷体" w:cs="楷体" w:eastAsia="楷体" w:hint="default"/>
          <w:sz w:val="22"/>
          <w:szCs w:val="22"/>
        </w:rPr>
        <w:t>额，单独进行减值测试，计提坏账准备。</w:t>
      </w:r>
      <w:r>
        <w:rPr>
          <w:rFonts w:ascii="楷体" w:hAnsi="楷体" w:cs="楷体" w:eastAsia="楷体" w:hint="default"/>
          <w:w w:val="99"/>
          <w:sz w:val="22"/>
          <w:szCs w:val="22"/>
        </w:rPr>
        <w:t> </w:t>
      </w:r>
      <w:r>
        <w:rPr>
          <w:rFonts w:ascii="楷体" w:hAnsi="楷体" w:cs="楷体" w:eastAsia="楷体" w:hint="default"/>
          <w:spacing w:val="-1"/>
          <w:sz w:val="22"/>
          <w:szCs w:val="22"/>
        </w:rPr>
        <w:t>对于单项金额非重大的应收款项，本公司将其与经单独测试后未减值的重大应收款项一起按</w:t>
      </w:r>
    </w:p>
    <w:p>
      <w:pPr>
        <w:spacing w:line="254" w:lineRule="exact" w:before="0"/>
        <w:ind w:left="138" w:right="86" w:firstLine="0"/>
        <w:jc w:val="left"/>
        <w:rPr>
          <w:rFonts w:ascii="楷体" w:hAnsi="楷体" w:cs="楷体" w:eastAsia="楷体" w:hint="default"/>
          <w:sz w:val="22"/>
          <w:szCs w:val="22"/>
        </w:rPr>
      </w:pPr>
      <w:r>
        <w:rPr>
          <w:rFonts w:ascii="楷体" w:hAnsi="楷体" w:cs="楷体" w:eastAsia="楷体" w:hint="default"/>
          <w:sz w:val="22"/>
          <w:szCs w:val="22"/>
        </w:rPr>
        <w:t>信用风险特征划分为若干组合，根据以前年度与之相同或相类似的、具有类似信用风险特征的应</w:t>
      </w:r>
    </w:p>
    <w:p>
      <w:pPr>
        <w:spacing w:line="324" w:lineRule="auto" w:before="102"/>
        <w:ind w:left="138" w:right="208" w:firstLine="0"/>
        <w:jc w:val="left"/>
        <w:rPr>
          <w:rFonts w:ascii="楷体" w:hAnsi="楷体" w:cs="楷体" w:eastAsia="楷体" w:hint="default"/>
          <w:sz w:val="22"/>
          <w:szCs w:val="22"/>
        </w:rPr>
      </w:pPr>
      <w:r>
        <w:rPr>
          <w:rFonts w:ascii="楷体" w:hAnsi="楷体" w:cs="楷体" w:eastAsia="楷体" w:hint="default"/>
          <w:spacing w:val="-1"/>
          <w:sz w:val="22"/>
          <w:szCs w:val="22"/>
        </w:rPr>
        <w:t>收账款组合的实际损失率为基础，结合现时情况确定本年度各项组合计提坏账准备的比例，据此</w:t>
      </w:r>
      <w:r>
        <w:rPr>
          <w:rFonts w:ascii="楷体" w:hAnsi="楷体" w:cs="楷体" w:eastAsia="楷体" w:hint="default"/>
          <w:w w:val="99"/>
          <w:sz w:val="22"/>
          <w:szCs w:val="22"/>
        </w:rPr>
        <w:t> </w:t>
      </w:r>
      <w:r>
        <w:rPr>
          <w:rFonts w:ascii="楷体" w:hAnsi="楷体" w:cs="楷体" w:eastAsia="楷体" w:hint="default"/>
          <w:sz w:val="22"/>
          <w:szCs w:val="22"/>
        </w:rPr>
        <w:t>计算本年度应计提的坏账准备。</w:t>
      </w:r>
    </w:p>
    <w:p>
      <w:pPr>
        <w:spacing w:before="103"/>
        <w:ind w:left="578" w:right="213" w:firstLine="0"/>
        <w:jc w:val="left"/>
        <w:rPr>
          <w:rFonts w:ascii="楷体" w:hAnsi="楷体" w:cs="楷体" w:eastAsia="楷体" w:hint="default"/>
          <w:sz w:val="22"/>
          <w:szCs w:val="22"/>
        </w:rPr>
      </w:pPr>
      <w:r>
        <w:rPr>
          <w:rFonts w:ascii="楷体" w:hAnsi="楷体" w:cs="楷体" w:eastAsia="楷体" w:hint="default"/>
          <w:sz w:val="22"/>
          <w:szCs w:val="22"/>
        </w:rPr>
        <w:t>应收款项按账龄划分组合的坏账准备计提比例如下：</w:t>
      </w:r>
    </w:p>
    <w:p>
      <w:pPr>
        <w:spacing w:line="240" w:lineRule="auto" w:before="8"/>
        <w:rPr>
          <w:rFonts w:ascii="楷体" w:hAnsi="楷体" w:cs="楷体" w:eastAsia="楷体" w:hint="default"/>
          <w:sz w:val="13"/>
          <w:szCs w:val="13"/>
        </w:rPr>
      </w:pPr>
    </w:p>
    <w:tbl>
      <w:tblPr>
        <w:tblW w:w="0" w:type="auto"/>
        <w:jc w:val="left"/>
        <w:tblInd w:w="1841" w:type="dxa"/>
        <w:tblLayout w:type="fixed"/>
        <w:tblCellMar>
          <w:top w:w="0" w:type="dxa"/>
          <w:left w:w="0" w:type="dxa"/>
          <w:bottom w:w="0" w:type="dxa"/>
          <w:right w:w="0" w:type="dxa"/>
        </w:tblCellMar>
        <w:tblLook w:val="01E0"/>
      </w:tblPr>
      <w:tblGrid>
        <w:gridCol w:w="2461"/>
        <w:gridCol w:w="3326"/>
      </w:tblGrid>
      <w:tr>
        <w:trPr>
          <w:trHeight w:val="303" w:hRule="exact"/>
        </w:trPr>
        <w:tc>
          <w:tcPr>
            <w:tcW w:w="2461" w:type="dxa"/>
            <w:tcBorders>
              <w:top w:val="single" w:sz="12" w:space="0" w:color="000000"/>
              <w:left w:val="nil" w:sz="6" w:space="0" w:color="auto"/>
              <w:bottom w:val="single" w:sz="4" w:space="0" w:color="000000"/>
              <w:right w:val="nil" w:sz="6" w:space="0" w:color="auto"/>
            </w:tcBorders>
          </w:tcPr>
          <w:p>
            <w:pPr>
              <w:pStyle w:val="TableParagraph"/>
              <w:spacing w:line="270" w:lineRule="exact"/>
              <w:ind w:left="108"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账龄</w:t>
            </w:r>
            <w:r>
              <w:rPr>
                <w:rFonts w:ascii="Microsoft JhengHei" w:hAnsi="Microsoft JhengHei" w:cs="Microsoft JhengHei" w:eastAsia="Microsoft JhengHei" w:hint="default"/>
                <w:sz w:val="22"/>
                <w:szCs w:val="22"/>
              </w:rPr>
            </w:r>
          </w:p>
        </w:tc>
        <w:tc>
          <w:tcPr>
            <w:tcW w:w="3326" w:type="dxa"/>
            <w:tcBorders>
              <w:top w:val="single" w:sz="12" w:space="0" w:color="000000"/>
              <w:left w:val="nil" w:sz="6" w:space="0" w:color="auto"/>
              <w:bottom w:val="single" w:sz="4" w:space="0" w:color="000000"/>
              <w:right w:val="nil" w:sz="6" w:space="0" w:color="auto"/>
            </w:tcBorders>
          </w:tcPr>
          <w:p>
            <w:pPr>
              <w:pStyle w:val="TableParagraph"/>
              <w:spacing w:line="270" w:lineRule="exact"/>
              <w:ind w:right="912"/>
              <w:jc w:val="righ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计提比例</w:t>
            </w:r>
            <w:r>
              <w:rPr>
                <w:rFonts w:ascii="Microsoft JhengHei" w:hAnsi="Microsoft JhengHei" w:cs="Microsoft JhengHei" w:eastAsia="Microsoft JhengHei" w:hint="default"/>
                <w:sz w:val="22"/>
                <w:szCs w:val="22"/>
              </w:rPr>
            </w:r>
          </w:p>
        </w:tc>
      </w:tr>
      <w:tr>
        <w:trPr>
          <w:trHeight w:val="287" w:hRule="exact"/>
        </w:trPr>
        <w:tc>
          <w:tcPr>
            <w:tcW w:w="2461" w:type="dxa"/>
            <w:tcBorders>
              <w:top w:val="single" w:sz="4" w:space="0" w:color="000000"/>
              <w:left w:val="nil" w:sz="6" w:space="0" w:color="auto"/>
              <w:bottom w:val="nil" w:sz="6" w:space="0" w:color="auto"/>
              <w:right w:val="nil" w:sz="6" w:space="0" w:color="auto"/>
            </w:tcBorders>
          </w:tcPr>
          <w:p>
            <w:pPr>
              <w:pStyle w:val="TableParagraph"/>
              <w:spacing w:line="261" w:lineRule="exact"/>
              <w:ind w:left="108" w:right="0"/>
              <w:jc w:val="left"/>
              <w:rPr>
                <w:rFonts w:ascii="楷体" w:hAnsi="楷体" w:cs="楷体" w:eastAsia="楷体" w:hint="default"/>
                <w:sz w:val="22"/>
                <w:szCs w:val="22"/>
              </w:rPr>
            </w:pP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年以内</w:t>
            </w:r>
          </w:p>
        </w:tc>
        <w:tc>
          <w:tcPr>
            <w:tcW w:w="332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858"/>
              <w:jc w:val="right"/>
              <w:rPr>
                <w:rFonts w:ascii="Times New Roman" w:hAnsi="Times New Roman" w:cs="Times New Roman" w:eastAsia="Times New Roman" w:hint="default"/>
                <w:sz w:val="22"/>
                <w:szCs w:val="22"/>
              </w:rPr>
            </w:pPr>
            <w:r>
              <w:rPr>
                <w:rFonts w:ascii="Times New Roman"/>
                <w:w w:val="95"/>
                <w:sz w:val="22"/>
              </w:rPr>
              <w:t>1%</w:t>
            </w:r>
            <w:r>
              <w:rPr>
                <w:rFonts w:ascii="Times New Roman"/>
                <w:sz w:val="22"/>
              </w:rPr>
            </w:r>
          </w:p>
        </w:tc>
      </w:tr>
      <w:tr>
        <w:trPr>
          <w:trHeight w:val="283"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62" w:lineRule="exact"/>
              <w:ind w:left="108" w:right="0"/>
              <w:jc w:val="left"/>
              <w:rPr>
                <w:rFonts w:ascii="楷体" w:hAnsi="楷体" w:cs="楷体" w:eastAsia="楷体" w:hint="default"/>
                <w:sz w:val="22"/>
                <w:szCs w:val="22"/>
              </w:rPr>
            </w:pP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58"/>
              <w:jc w:val="right"/>
              <w:rPr>
                <w:rFonts w:ascii="Times New Roman" w:hAnsi="Times New Roman" w:cs="Times New Roman" w:eastAsia="Times New Roman" w:hint="default"/>
                <w:sz w:val="22"/>
                <w:szCs w:val="22"/>
              </w:rPr>
            </w:pPr>
            <w:r>
              <w:rPr>
                <w:rFonts w:ascii="Times New Roman"/>
                <w:w w:val="95"/>
                <w:sz w:val="22"/>
              </w:rPr>
              <w:t>5%</w:t>
            </w:r>
            <w:r>
              <w:rPr>
                <w:rFonts w:ascii="Times New Roman"/>
                <w:sz w:val="22"/>
              </w:rPr>
            </w:r>
          </w:p>
        </w:tc>
      </w:tr>
      <w:tr>
        <w:trPr>
          <w:trHeight w:val="283"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62" w:lineRule="exact"/>
              <w:ind w:left="107" w:right="0"/>
              <w:jc w:val="left"/>
              <w:rPr>
                <w:rFonts w:ascii="楷体" w:hAnsi="楷体" w:cs="楷体" w:eastAsia="楷体" w:hint="default"/>
                <w:sz w:val="22"/>
                <w:szCs w:val="22"/>
              </w:rPr>
            </w:pPr>
            <w:r>
              <w:rPr>
                <w:rFonts w:ascii="Times New Roman" w:hAnsi="Times New Roman" w:cs="Times New Roman" w:eastAsia="Times New Roman" w:hint="default"/>
                <w:sz w:val="22"/>
                <w:szCs w:val="22"/>
              </w:rPr>
              <w:t>2-3</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58"/>
              <w:jc w:val="right"/>
              <w:rPr>
                <w:rFonts w:ascii="Times New Roman" w:hAnsi="Times New Roman" w:cs="Times New Roman" w:eastAsia="Times New Roman" w:hint="default"/>
                <w:sz w:val="22"/>
                <w:szCs w:val="22"/>
              </w:rPr>
            </w:pPr>
            <w:r>
              <w:rPr>
                <w:rFonts w:ascii="Times New Roman"/>
                <w:w w:val="95"/>
                <w:sz w:val="22"/>
              </w:rPr>
              <w:t>15%</w:t>
            </w:r>
            <w:r>
              <w:rPr>
                <w:rFonts w:ascii="Times New Roman"/>
                <w:sz w:val="22"/>
              </w:rPr>
            </w:r>
          </w:p>
        </w:tc>
      </w:tr>
      <w:tr>
        <w:trPr>
          <w:trHeight w:val="283"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62" w:lineRule="exact"/>
              <w:ind w:left="107" w:right="0"/>
              <w:jc w:val="left"/>
              <w:rPr>
                <w:rFonts w:ascii="楷体" w:hAnsi="楷体" w:cs="楷体" w:eastAsia="楷体" w:hint="default"/>
                <w:sz w:val="22"/>
                <w:szCs w:val="22"/>
              </w:rPr>
            </w:pPr>
            <w:r>
              <w:rPr>
                <w:rFonts w:ascii="Times New Roman" w:hAnsi="Times New Roman" w:cs="Times New Roman" w:eastAsia="Times New Roman" w:hint="default"/>
                <w:sz w:val="22"/>
                <w:szCs w:val="22"/>
              </w:rPr>
              <w:t>3-4</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59"/>
              <w:jc w:val="right"/>
              <w:rPr>
                <w:rFonts w:ascii="Times New Roman" w:hAnsi="Times New Roman" w:cs="Times New Roman" w:eastAsia="Times New Roman" w:hint="default"/>
                <w:sz w:val="22"/>
                <w:szCs w:val="22"/>
              </w:rPr>
            </w:pPr>
            <w:r>
              <w:rPr>
                <w:rFonts w:ascii="Times New Roman"/>
                <w:w w:val="95"/>
                <w:sz w:val="22"/>
              </w:rPr>
              <w:t>30%</w:t>
            </w:r>
            <w:r>
              <w:rPr>
                <w:rFonts w:ascii="Times New Roman"/>
                <w:sz w:val="22"/>
              </w:rPr>
            </w:r>
          </w:p>
        </w:tc>
      </w:tr>
      <w:tr>
        <w:trPr>
          <w:trHeight w:val="283"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62" w:lineRule="exact"/>
              <w:ind w:left="107" w:right="0"/>
              <w:jc w:val="left"/>
              <w:rPr>
                <w:rFonts w:ascii="楷体" w:hAnsi="楷体" w:cs="楷体" w:eastAsia="楷体" w:hint="default"/>
                <w:sz w:val="22"/>
                <w:szCs w:val="22"/>
              </w:rPr>
            </w:pPr>
            <w:r>
              <w:rPr>
                <w:rFonts w:ascii="Times New Roman" w:hAnsi="Times New Roman" w:cs="Times New Roman" w:eastAsia="Times New Roman" w:hint="default"/>
                <w:sz w:val="22"/>
                <w:szCs w:val="22"/>
              </w:rPr>
              <w:t>4-5</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59"/>
              <w:jc w:val="right"/>
              <w:rPr>
                <w:rFonts w:ascii="Times New Roman" w:hAnsi="Times New Roman" w:cs="Times New Roman" w:eastAsia="Times New Roman" w:hint="default"/>
                <w:sz w:val="22"/>
                <w:szCs w:val="22"/>
              </w:rPr>
            </w:pPr>
            <w:r>
              <w:rPr>
                <w:rFonts w:ascii="Times New Roman"/>
                <w:w w:val="95"/>
                <w:sz w:val="22"/>
              </w:rPr>
              <w:t>50%</w:t>
            </w:r>
            <w:r>
              <w:rPr>
                <w:rFonts w:ascii="Times New Roman"/>
                <w:sz w:val="22"/>
              </w:rPr>
            </w:r>
          </w:p>
        </w:tc>
      </w:tr>
      <w:tr>
        <w:trPr>
          <w:trHeight w:val="299" w:hRule="exact"/>
        </w:trPr>
        <w:tc>
          <w:tcPr>
            <w:tcW w:w="2461" w:type="dxa"/>
            <w:tcBorders>
              <w:top w:val="nil" w:sz="6" w:space="0" w:color="auto"/>
              <w:left w:val="nil" w:sz="6" w:space="0" w:color="auto"/>
              <w:bottom w:val="single" w:sz="12" w:space="0" w:color="000000"/>
              <w:right w:val="nil" w:sz="6" w:space="0" w:color="auto"/>
            </w:tcBorders>
          </w:tcPr>
          <w:p>
            <w:pPr>
              <w:pStyle w:val="TableParagraph"/>
              <w:spacing w:line="262" w:lineRule="exact"/>
              <w:ind w:left="107" w:right="0"/>
              <w:jc w:val="left"/>
              <w:rPr>
                <w:rFonts w:ascii="楷体" w:hAnsi="楷体" w:cs="楷体" w:eastAsia="楷体" w:hint="default"/>
                <w:sz w:val="22"/>
                <w:szCs w:val="22"/>
              </w:rPr>
            </w:pP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年以上</w:t>
            </w:r>
          </w:p>
        </w:tc>
        <w:tc>
          <w:tcPr>
            <w:tcW w:w="3326"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859"/>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bl>
    <w:p>
      <w:pPr>
        <w:spacing w:before="79"/>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8</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存货</w:t>
      </w:r>
    </w:p>
    <w:p>
      <w:pPr>
        <w:spacing w:line="324" w:lineRule="auto" w:before="163"/>
        <w:ind w:left="138" w:right="206" w:firstLine="440"/>
        <w:jc w:val="left"/>
        <w:rPr>
          <w:rFonts w:ascii="楷体" w:hAnsi="楷体" w:cs="楷体" w:eastAsia="楷体" w:hint="default"/>
          <w:sz w:val="22"/>
          <w:szCs w:val="22"/>
        </w:rPr>
      </w:pPr>
      <w:r>
        <w:rPr>
          <w:rFonts w:ascii="楷体" w:hAnsi="楷体" w:cs="楷体" w:eastAsia="楷体" w:hint="default"/>
          <w:spacing w:val="-1"/>
          <w:sz w:val="22"/>
          <w:szCs w:val="22"/>
        </w:rPr>
        <w:t>本公司存货主要包括在途物资、原材料、低值易耗品、包装物、自制半成品、在产品、产成</w:t>
      </w:r>
      <w:r>
        <w:rPr>
          <w:rFonts w:ascii="楷体" w:hAnsi="楷体" w:cs="楷体" w:eastAsia="楷体" w:hint="default"/>
          <w:w w:val="99"/>
          <w:sz w:val="22"/>
          <w:szCs w:val="22"/>
        </w:rPr>
        <w:t> </w:t>
      </w:r>
      <w:r>
        <w:rPr>
          <w:rFonts w:ascii="楷体" w:hAnsi="楷体" w:cs="楷体" w:eastAsia="楷体" w:hint="default"/>
          <w:sz w:val="22"/>
          <w:szCs w:val="22"/>
        </w:rPr>
        <w:t>品、库存商品、委托代销商品、发出商品和工程施工等，按成本与可变现净值孰低列示。</w:t>
      </w:r>
    </w:p>
    <w:p>
      <w:pPr>
        <w:spacing w:line="324" w:lineRule="auto" w:before="103"/>
        <w:ind w:left="138" w:right="86" w:firstLine="440"/>
        <w:jc w:val="left"/>
        <w:rPr>
          <w:rFonts w:ascii="楷体" w:hAnsi="楷体" w:cs="楷体" w:eastAsia="楷体" w:hint="default"/>
          <w:sz w:val="22"/>
          <w:szCs w:val="22"/>
        </w:rPr>
      </w:pPr>
      <w:r>
        <w:rPr>
          <w:rFonts w:ascii="楷体" w:hAnsi="楷体" w:cs="楷体" w:eastAsia="楷体" w:hint="default"/>
          <w:sz w:val="22"/>
          <w:szCs w:val="22"/>
        </w:rPr>
        <w:t>存货取得和发出的计价方法：公司存货在取得时，按实际成本入账，实行永续盘存制。领用</w:t>
      </w:r>
      <w:r>
        <w:rPr>
          <w:rFonts w:ascii="楷体" w:hAnsi="楷体" w:cs="楷体" w:eastAsia="楷体" w:hint="default"/>
          <w:w w:val="99"/>
          <w:sz w:val="22"/>
          <w:szCs w:val="22"/>
        </w:rPr>
        <w:t> </w:t>
      </w:r>
      <w:r>
        <w:rPr>
          <w:rFonts w:ascii="楷体" w:hAnsi="楷体" w:cs="楷体" w:eastAsia="楷体" w:hint="default"/>
          <w:spacing w:val="-4"/>
          <w:sz w:val="22"/>
          <w:szCs w:val="22"/>
        </w:rPr>
        <w:t>和发出时，包装物、低值易耗品采用一次摊销法，其他各类存货采用加权平均法确定其实际成本。</w:t>
      </w:r>
    </w:p>
    <w:p>
      <w:pPr>
        <w:spacing w:line="324" w:lineRule="auto" w:before="103"/>
        <w:ind w:left="138" w:right="222" w:firstLine="440"/>
        <w:jc w:val="both"/>
        <w:rPr>
          <w:rFonts w:ascii="楷体" w:hAnsi="楷体" w:cs="楷体" w:eastAsia="楷体" w:hint="default"/>
          <w:sz w:val="22"/>
          <w:szCs w:val="22"/>
        </w:rPr>
      </w:pPr>
      <w:r>
        <w:rPr>
          <w:rFonts w:ascii="楷体" w:hAnsi="楷体" w:cs="楷体" w:eastAsia="楷体" w:hint="default"/>
          <w:spacing w:val="-1"/>
          <w:sz w:val="22"/>
          <w:szCs w:val="22"/>
        </w:rPr>
        <w:t>生产成本的归集和结转方法：公司主要经营业务大致划分为生产销售各类高新技术和消费电</w:t>
      </w:r>
      <w:r>
        <w:rPr>
          <w:rFonts w:ascii="楷体" w:hAnsi="楷体" w:cs="楷体" w:eastAsia="楷体" w:hint="default"/>
          <w:w w:val="99"/>
          <w:sz w:val="22"/>
          <w:szCs w:val="22"/>
        </w:rPr>
        <w:t> </w:t>
      </w:r>
      <w:r>
        <w:rPr>
          <w:rFonts w:ascii="楷体" w:hAnsi="楷体" w:cs="楷体" w:eastAsia="楷体" w:hint="default"/>
          <w:spacing w:val="-1"/>
          <w:sz w:val="22"/>
          <w:szCs w:val="22"/>
        </w:rPr>
        <w:t>子产品，承接各种信息网络、人工环境、能源环保、机电工程项目，以及提供相关技术支持和咨</w:t>
      </w:r>
      <w:r>
        <w:rPr>
          <w:rFonts w:ascii="楷体" w:hAnsi="楷体" w:cs="楷体" w:eastAsia="楷体" w:hint="default"/>
          <w:w w:val="99"/>
          <w:sz w:val="22"/>
          <w:szCs w:val="22"/>
        </w:rPr>
        <w:t> </w:t>
      </w:r>
      <w:r>
        <w:rPr>
          <w:rFonts w:ascii="楷体" w:hAnsi="楷体" w:cs="楷体" w:eastAsia="楷体" w:hint="default"/>
          <w:spacing w:val="-1"/>
          <w:sz w:val="22"/>
          <w:szCs w:val="22"/>
        </w:rPr>
        <w:t>询服务，其中，各种高新技术产品按照工业企业成本核算流程进行成本的归集和分配；各项工程</w:t>
      </w:r>
      <w:r>
        <w:rPr>
          <w:rFonts w:ascii="楷体" w:hAnsi="楷体" w:cs="楷体" w:eastAsia="楷体" w:hint="default"/>
          <w:w w:val="99"/>
          <w:sz w:val="22"/>
          <w:szCs w:val="22"/>
        </w:rPr>
        <w:t> </w:t>
      </w:r>
      <w:r>
        <w:rPr>
          <w:rFonts w:ascii="楷体" w:hAnsi="楷体" w:cs="楷体" w:eastAsia="楷体" w:hint="default"/>
          <w:sz w:val="22"/>
          <w:szCs w:val="22"/>
        </w:rPr>
        <w:t>区别工程直接与间接费用进行成本的归集和分配。</w:t>
      </w:r>
    </w:p>
    <w:p>
      <w:pPr>
        <w:spacing w:line="324" w:lineRule="auto" w:before="103"/>
        <w:ind w:left="138" w:right="222" w:firstLine="440"/>
        <w:jc w:val="both"/>
        <w:rPr>
          <w:rFonts w:ascii="楷体" w:hAnsi="楷体" w:cs="楷体" w:eastAsia="楷体" w:hint="default"/>
          <w:sz w:val="22"/>
          <w:szCs w:val="22"/>
        </w:rPr>
      </w:pPr>
      <w:r>
        <w:rPr>
          <w:rFonts w:ascii="楷体" w:hAnsi="楷体" w:cs="楷体" w:eastAsia="楷体" w:hint="default"/>
          <w:spacing w:val="-1"/>
          <w:sz w:val="22"/>
          <w:szCs w:val="22"/>
        </w:rPr>
        <w:t>期末存货计价原则及存货跌价准备确认标准和计提方法：期末存货按成本与可变现净值孰低</w:t>
      </w:r>
      <w:r>
        <w:rPr>
          <w:rFonts w:ascii="楷体" w:hAnsi="楷体" w:cs="楷体" w:eastAsia="楷体" w:hint="default"/>
          <w:w w:val="99"/>
          <w:sz w:val="22"/>
          <w:szCs w:val="22"/>
        </w:rPr>
        <w:t> </w:t>
      </w:r>
      <w:r>
        <w:rPr>
          <w:rFonts w:ascii="楷体" w:hAnsi="楷体" w:cs="楷体" w:eastAsia="楷体" w:hint="default"/>
          <w:spacing w:val="-1"/>
          <w:sz w:val="22"/>
          <w:szCs w:val="22"/>
        </w:rPr>
        <w:t>原则计价；期末，在对存货进行全面盘点的基础上，对于存货因遭受毁损、全部或部分陈旧过时</w:t>
      </w:r>
      <w:r>
        <w:rPr>
          <w:rFonts w:ascii="楷体" w:hAnsi="楷体" w:cs="楷体" w:eastAsia="楷体" w:hint="default"/>
          <w:w w:val="99"/>
          <w:sz w:val="22"/>
          <w:szCs w:val="22"/>
        </w:rPr>
        <w:t> </w:t>
      </w:r>
      <w:r>
        <w:rPr>
          <w:rFonts w:ascii="楷体" w:hAnsi="楷体" w:cs="楷体" w:eastAsia="楷体" w:hint="default"/>
          <w:spacing w:val="-1"/>
          <w:sz w:val="22"/>
          <w:szCs w:val="22"/>
        </w:rPr>
        <w:t>或销售价格低于成本等原因，预计其成本不可收回的部分，提取存货跌价准备。产成品及大宗原</w:t>
      </w:r>
      <w:r>
        <w:rPr>
          <w:rFonts w:ascii="楷体" w:hAnsi="楷体" w:cs="楷体" w:eastAsia="楷体" w:hint="default"/>
          <w:w w:val="99"/>
          <w:sz w:val="22"/>
          <w:szCs w:val="22"/>
        </w:rPr>
        <w:t> </w:t>
      </w:r>
      <w:r>
        <w:rPr>
          <w:rFonts w:ascii="楷体" w:hAnsi="楷体" w:cs="楷体" w:eastAsia="楷体" w:hint="default"/>
          <w:spacing w:val="-1"/>
          <w:sz w:val="22"/>
          <w:szCs w:val="22"/>
        </w:rPr>
        <w:t>材料的存货跌价准备按单个存货项目的成本高于其可变现净值的差额提取；其他数量繁多、单价</w:t>
      </w:r>
      <w:r>
        <w:rPr>
          <w:rFonts w:ascii="楷体" w:hAnsi="楷体" w:cs="楷体" w:eastAsia="楷体" w:hint="default"/>
          <w:w w:val="99"/>
          <w:sz w:val="22"/>
          <w:szCs w:val="22"/>
        </w:rPr>
        <w:t> </w:t>
      </w:r>
      <w:r>
        <w:rPr>
          <w:rFonts w:ascii="楷体" w:hAnsi="楷体" w:cs="楷体" w:eastAsia="楷体" w:hint="default"/>
          <w:sz w:val="22"/>
          <w:szCs w:val="22"/>
        </w:rPr>
        <w:t>较低的原辅材料按类别提取存货跌价准备。</w:t>
      </w:r>
    </w:p>
    <w:p>
      <w:pPr>
        <w:spacing w:line="324" w:lineRule="auto" w:before="103"/>
        <w:ind w:left="138" w:right="110" w:firstLine="440"/>
        <w:jc w:val="left"/>
        <w:rPr>
          <w:rFonts w:ascii="楷体" w:hAnsi="楷体" w:cs="楷体" w:eastAsia="楷体" w:hint="default"/>
          <w:sz w:val="22"/>
          <w:szCs w:val="22"/>
        </w:rPr>
      </w:pPr>
      <w:r>
        <w:rPr>
          <w:rFonts w:ascii="楷体" w:hAnsi="楷体" w:cs="楷体" w:eastAsia="楷体" w:hint="default"/>
          <w:spacing w:val="-4"/>
          <w:sz w:val="22"/>
          <w:szCs w:val="22"/>
        </w:rPr>
        <w:t>存货可变现净值确定方法：库存商品、在产品和用于出售的材料等直接用于出售的商品存货，</w:t>
      </w:r>
      <w:r>
        <w:rPr>
          <w:rFonts w:ascii="楷体" w:hAnsi="楷体" w:cs="楷体" w:eastAsia="楷体" w:hint="default"/>
          <w:w w:val="99"/>
          <w:sz w:val="22"/>
          <w:szCs w:val="22"/>
        </w:rPr>
        <w:t> </w:t>
      </w:r>
      <w:r>
        <w:rPr>
          <w:rFonts w:ascii="楷体" w:hAnsi="楷体" w:cs="楷体" w:eastAsia="楷体" w:hint="default"/>
          <w:sz w:val="22"/>
          <w:szCs w:val="22"/>
        </w:rPr>
        <w:t>其可变现净值按该存货的估计售价减去估计的销售费用和相关税费后的金额确定；用于生产而持</w:t>
      </w:r>
      <w:r>
        <w:rPr>
          <w:rFonts w:ascii="楷体" w:hAnsi="楷体" w:cs="楷体" w:eastAsia="楷体" w:hint="default"/>
          <w:w w:val="99"/>
          <w:sz w:val="22"/>
          <w:szCs w:val="22"/>
        </w:rPr>
        <w:t> </w:t>
      </w:r>
      <w:r>
        <w:rPr>
          <w:rFonts w:ascii="楷体" w:hAnsi="楷体" w:cs="楷体" w:eastAsia="楷体" w:hint="default"/>
          <w:sz w:val="22"/>
          <w:szCs w:val="22"/>
        </w:rPr>
        <w:t>有的材料存货，其可变现净值按所生产的产成品的估计售价减去至完工时估计将要发生的成本、</w:t>
      </w:r>
      <w:r>
        <w:rPr>
          <w:rFonts w:ascii="楷体" w:hAnsi="楷体" w:cs="楷体" w:eastAsia="楷体" w:hint="default"/>
          <w:w w:val="99"/>
          <w:sz w:val="22"/>
          <w:szCs w:val="22"/>
        </w:rPr>
        <w:t> </w:t>
      </w:r>
      <w:r>
        <w:rPr>
          <w:rFonts w:ascii="楷体" w:hAnsi="楷体" w:cs="楷体" w:eastAsia="楷体" w:hint="default"/>
          <w:sz w:val="22"/>
          <w:szCs w:val="22"/>
        </w:rPr>
        <w:t>估计的销售费用和相关税费后的金额确定。为执行销售合同或者劳务合同而持有的存货，其可变</w:t>
      </w:r>
      <w:r>
        <w:rPr>
          <w:rFonts w:ascii="楷体" w:hAnsi="楷体" w:cs="楷体" w:eastAsia="楷体" w:hint="default"/>
          <w:w w:val="99"/>
          <w:sz w:val="22"/>
          <w:szCs w:val="22"/>
        </w:rPr>
        <w:t> </w:t>
      </w:r>
      <w:r>
        <w:rPr>
          <w:rFonts w:ascii="楷体" w:hAnsi="楷体" w:cs="楷体" w:eastAsia="楷体" w:hint="default"/>
          <w:sz w:val="22"/>
          <w:szCs w:val="22"/>
        </w:rPr>
        <w:t>现净值以合同价格为基础计算；企业持有存货的数量多于销售合同订购数量的，超出部分的存货</w:t>
      </w:r>
      <w:r>
        <w:rPr>
          <w:rFonts w:ascii="楷体" w:hAnsi="楷体" w:cs="楷体" w:eastAsia="楷体" w:hint="default"/>
          <w:w w:val="99"/>
          <w:sz w:val="22"/>
          <w:szCs w:val="22"/>
        </w:rPr>
        <w:t> </w:t>
      </w:r>
      <w:r>
        <w:rPr>
          <w:rFonts w:ascii="楷体" w:hAnsi="楷体" w:cs="楷体" w:eastAsia="楷体" w:hint="default"/>
          <w:sz w:val="22"/>
          <w:szCs w:val="22"/>
        </w:rPr>
        <w:t>可变现净值以一般销售价格为基础计算。</w:t>
      </w:r>
    </w:p>
    <w:p>
      <w:pPr>
        <w:spacing w:before="103"/>
        <w:ind w:left="592"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9</w:t>
      </w:r>
      <w:r>
        <w:rPr>
          <w:rFonts w:ascii="宋体" w:hAnsi="宋体" w:cs="宋体" w:eastAsia="宋体" w:hint="default"/>
          <w:b/>
          <w:bCs/>
          <w:sz w:val="22"/>
          <w:szCs w:val="22"/>
        </w:rPr>
        <w:t>．</w:t>
      </w:r>
      <w:r>
        <w:rPr>
          <w:rFonts w:ascii="宋体" w:hAnsi="宋体" w:cs="宋体" w:eastAsia="宋体" w:hint="default"/>
          <w:b/>
          <w:bCs/>
          <w:spacing w:val="10"/>
          <w:sz w:val="22"/>
          <w:szCs w:val="22"/>
        </w:rPr>
        <w:t> </w:t>
      </w:r>
      <w:r>
        <w:rPr>
          <w:rFonts w:ascii="黑体" w:hAnsi="黑体" w:cs="黑体" w:eastAsia="黑体" w:hint="default"/>
          <w:sz w:val="22"/>
          <w:szCs w:val="22"/>
        </w:rPr>
        <w:t>长期股权投资</w:t>
      </w:r>
    </w:p>
    <w:p>
      <w:pPr>
        <w:spacing w:after="0"/>
        <w:jc w:val="left"/>
        <w:rPr>
          <w:rFonts w:ascii="黑体" w:hAnsi="黑体" w:cs="黑体" w:eastAsia="黑体" w:hint="default"/>
          <w:sz w:val="22"/>
          <w:szCs w:val="22"/>
        </w:rPr>
        <w:sectPr>
          <w:pgSz w:w="11910" w:h="16840"/>
          <w:pgMar w:header="610" w:footer="784" w:top="1080" w:bottom="980" w:left="1280" w:right="1060"/>
        </w:sect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5"/>
          <w:szCs w:val="25"/>
        </w:rPr>
      </w:pPr>
    </w:p>
    <w:p>
      <w:pPr>
        <w:spacing w:line="367" w:lineRule="auto" w:before="31"/>
        <w:ind w:left="578" w:right="206" w:firstLine="1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1"/>
          <w:sz w:val="22"/>
          <w:szCs w:val="22"/>
        </w:rPr>
        <w:t> </w:t>
      </w:r>
      <w:r>
        <w:rPr>
          <w:rFonts w:ascii="楷体" w:hAnsi="楷体" w:cs="楷体" w:eastAsia="楷体" w:hint="default"/>
          <w:sz w:val="22"/>
          <w:szCs w:val="22"/>
        </w:rPr>
        <w:t>长期股权投资的初始计量</w:t>
      </w:r>
      <w:r>
        <w:rPr>
          <w:rFonts w:ascii="楷体" w:hAnsi="楷体" w:cs="楷体" w:eastAsia="楷体" w:hint="default"/>
          <w:w w:val="99"/>
          <w:sz w:val="22"/>
          <w:szCs w:val="22"/>
        </w:rPr>
        <w:t> </w:t>
      </w:r>
      <w:r>
        <w:rPr>
          <w:rFonts w:ascii="楷体" w:hAnsi="楷体" w:cs="楷体" w:eastAsia="楷体" w:hint="default"/>
          <w:spacing w:val="-1"/>
          <w:sz w:val="22"/>
          <w:szCs w:val="22"/>
        </w:rPr>
        <w:t>通过同一控制下的企业合并取得的长期股权投资，在合并日按照取得被合并方所有者权益账</w:t>
      </w:r>
    </w:p>
    <w:p>
      <w:pPr>
        <w:spacing w:line="273" w:lineRule="exact" w:before="0"/>
        <w:ind w:left="138" w:right="0" w:firstLine="0"/>
        <w:jc w:val="both"/>
        <w:rPr>
          <w:rFonts w:ascii="楷体" w:hAnsi="楷体" w:cs="楷体" w:eastAsia="楷体" w:hint="default"/>
          <w:sz w:val="22"/>
          <w:szCs w:val="22"/>
        </w:rPr>
      </w:pPr>
      <w:r>
        <w:rPr>
          <w:rFonts w:ascii="楷体" w:hAnsi="楷体" w:cs="楷体" w:eastAsia="楷体" w:hint="default"/>
          <w:sz w:val="22"/>
          <w:szCs w:val="22"/>
        </w:rPr>
        <w:t>面价值的份额作为长期股权投资的初始投资成本。通过非同一控制下的企业合并取得的长期股权</w:t>
      </w:r>
    </w:p>
    <w:p>
      <w:pPr>
        <w:spacing w:line="324" w:lineRule="auto" w:before="102"/>
        <w:ind w:left="138" w:right="223" w:firstLine="0"/>
        <w:jc w:val="both"/>
        <w:rPr>
          <w:rFonts w:ascii="楷体" w:hAnsi="楷体" w:cs="楷体" w:eastAsia="楷体" w:hint="default"/>
          <w:sz w:val="22"/>
          <w:szCs w:val="22"/>
        </w:rPr>
      </w:pPr>
      <w:r>
        <w:rPr>
          <w:rFonts w:ascii="楷体" w:hAnsi="楷体" w:cs="楷体" w:eastAsia="楷体" w:hint="default"/>
          <w:spacing w:val="-1"/>
          <w:sz w:val="22"/>
          <w:szCs w:val="22"/>
        </w:rPr>
        <w:t>投资，以在合并（购买）日为取得对被合并（购买）方的控制权而付出的资产、发生或承担的负</w:t>
      </w:r>
      <w:r>
        <w:rPr>
          <w:rFonts w:ascii="楷体" w:hAnsi="楷体" w:cs="楷体" w:eastAsia="楷体" w:hint="default"/>
          <w:w w:val="99"/>
          <w:sz w:val="22"/>
          <w:szCs w:val="22"/>
        </w:rPr>
        <w:t> </w:t>
      </w:r>
      <w:r>
        <w:rPr>
          <w:rFonts w:ascii="楷体" w:hAnsi="楷体" w:cs="楷体" w:eastAsia="楷体" w:hint="default"/>
          <w:spacing w:val="-1"/>
          <w:sz w:val="22"/>
          <w:szCs w:val="22"/>
        </w:rPr>
        <w:t>债以及发行的权益性证券的公允价值作为合并成本。在合并（购买）日按照合并成本作为长期股</w:t>
      </w:r>
      <w:r>
        <w:rPr>
          <w:rFonts w:ascii="楷体" w:hAnsi="楷体" w:cs="楷体" w:eastAsia="楷体" w:hint="default"/>
          <w:w w:val="99"/>
          <w:sz w:val="22"/>
          <w:szCs w:val="22"/>
        </w:rPr>
        <w:t> </w:t>
      </w:r>
      <w:r>
        <w:rPr>
          <w:rFonts w:ascii="楷体" w:hAnsi="楷体" w:cs="楷体" w:eastAsia="楷体" w:hint="default"/>
          <w:sz w:val="22"/>
          <w:szCs w:val="22"/>
        </w:rPr>
        <w:t>权投资的初始投资成本。</w:t>
      </w:r>
    </w:p>
    <w:p>
      <w:pPr>
        <w:spacing w:line="324" w:lineRule="auto" w:before="103"/>
        <w:ind w:left="137" w:right="86" w:firstLine="440"/>
        <w:jc w:val="left"/>
        <w:rPr>
          <w:rFonts w:ascii="楷体" w:hAnsi="楷体" w:cs="楷体" w:eastAsia="楷体" w:hint="default"/>
          <w:sz w:val="22"/>
          <w:szCs w:val="22"/>
        </w:rPr>
      </w:pPr>
      <w:r>
        <w:rPr>
          <w:rFonts w:ascii="楷体" w:hAnsi="楷体" w:cs="楷体" w:eastAsia="楷体" w:hint="default"/>
          <w:sz w:val="22"/>
          <w:szCs w:val="22"/>
        </w:rPr>
        <w:t>除上述通过企业合并取得的长期股权投资外，以支付现金取得的长期股权投资，按照实际支</w:t>
      </w:r>
      <w:r>
        <w:rPr>
          <w:rFonts w:ascii="楷体" w:hAnsi="楷体" w:cs="楷体" w:eastAsia="楷体" w:hint="default"/>
          <w:w w:val="99"/>
          <w:sz w:val="22"/>
          <w:szCs w:val="22"/>
        </w:rPr>
        <w:t> </w:t>
      </w:r>
      <w:r>
        <w:rPr>
          <w:rFonts w:ascii="楷体" w:hAnsi="楷体" w:cs="楷体" w:eastAsia="楷体" w:hint="default"/>
          <w:sz w:val="22"/>
          <w:szCs w:val="22"/>
        </w:rPr>
        <w:t>付的购买价款作为初始投资成本，初始投资成本包括与取得长期股权投资直接相关的费用、税金</w:t>
      </w:r>
      <w:r>
        <w:rPr>
          <w:rFonts w:ascii="楷体" w:hAnsi="楷体" w:cs="楷体" w:eastAsia="楷体" w:hint="default"/>
          <w:w w:val="99"/>
          <w:sz w:val="22"/>
          <w:szCs w:val="22"/>
        </w:rPr>
        <w:t> </w:t>
      </w:r>
      <w:r>
        <w:rPr>
          <w:rFonts w:ascii="楷体" w:hAnsi="楷体" w:cs="楷体" w:eastAsia="楷体" w:hint="default"/>
          <w:sz w:val="22"/>
          <w:szCs w:val="22"/>
        </w:rPr>
        <w:t>及其他必要支出；以发行权益性证券取得的长期股权投资，按照发行权益性证券的公允价值作为</w:t>
      </w:r>
      <w:r>
        <w:rPr>
          <w:rFonts w:ascii="楷体" w:hAnsi="楷体" w:cs="楷体" w:eastAsia="楷体" w:hint="default"/>
          <w:w w:val="99"/>
          <w:sz w:val="22"/>
          <w:szCs w:val="22"/>
        </w:rPr>
        <w:t> </w:t>
      </w:r>
      <w:r>
        <w:rPr>
          <w:rFonts w:ascii="楷体" w:hAnsi="楷体" w:cs="楷体" w:eastAsia="楷体" w:hint="default"/>
          <w:spacing w:val="-4"/>
          <w:sz w:val="22"/>
          <w:szCs w:val="22"/>
        </w:rPr>
        <w:t>初始投资成本；投资者投入的长期股权投资，按照投资合同或协议约定的价值作为初始投资成本；</w:t>
      </w:r>
      <w:r>
        <w:rPr>
          <w:rFonts w:ascii="楷体" w:hAnsi="楷体" w:cs="楷体" w:eastAsia="楷体" w:hint="default"/>
          <w:spacing w:val="-89"/>
          <w:sz w:val="22"/>
          <w:szCs w:val="22"/>
        </w:rPr>
        <w:t> </w:t>
      </w:r>
      <w:r>
        <w:rPr>
          <w:rFonts w:ascii="楷体" w:hAnsi="楷体" w:cs="楷体" w:eastAsia="楷体" w:hint="default"/>
          <w:spacing w:val="-89"/>
          <w:sz w:val="22"/>
          <w:szCs w:val="22"/>
        </w:rPr>
      </w:r>
      <w:r>
        <w:rPr>
          <w:rFonts w:ascii="楷体" w:hAnsi="楷体" w:cs="楷体" w:eastAsia="楷体" w:hint="default"/>
          <w:sz w:val="22"/>
          <w:szCs w:val="22"/>
        </w:rPr>
        <w:t>以债务重组、非货币性资产交换等方式取得的长期股权投资，按相关会计准则的规定确定初始投</w:t>
      </w:r>
      <w:r>
        <w:rPr>
          <w:rFonts w:ascii="楷体" w:hAnsi="楷体" w:cs="楷体" w:eastAsia="楷体" w:hint="default"/>
          <w:w w:val="99"/>
          <w:sz w:val="22"/>
          <w:szCs w:val="22"/>
        </w:rPr>
        <w:t> </w:t>
      </w:r>
      <w:r>
        <w:rPr>
          <w:rFonts w:ascii="楷体" w:hAnsi="楷体" w:cs="楷体" w:eastAsia="楷体" w:hint="default"/>
          <w:sz w:val="22"/>
          <w:szCs w:val="22"/>
        </w:rPr>
        <w:t>资成本。</w:t>
      </w:r>
    </w:p>
    <w:p>
      <w:pPr>
        <w:spacing w:line="369" w:lineRule="auto" w:before="103"/>
        <w:ind w:left="578" w:right="206" w:firstLine="1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楷体" w:hAnsi="楷体" w:cs="楷体" w:eastAsia="楷体" w:hint="default"/>
          <w:sz w:val="22"/>
          <w:szCs w:val="22"/>
        </w:rPr>
        <w:t>长期股权投资的后续计量</w:t>
      </w:r>
      <w:r>
        <w:rPr>
          <w:rFonts w:ascii="楷体" w:hAnsi="楷体" w:cs="楷体" w:eastAsia="楷体" w:hint="default"/>
          <w:w w:val="99"/>
          <w:sz w:val="22"/>
          <w:szCs w:val="22"/>
        </w:rPr>
        <w:t> </w:t>
      </w:r>
      <w:r>
        <w:rPr>
          <w:rFonts w:ascii="楷体" w:hAnsi="楷体" w:cs="楷体" w:eastAsia="楷体" w:hint="default"/>
          <w:spacing w:val="-1"/>
          <w:sz w:val="22"/>
          <w:szCs w:val="22"/>
        </w:rPr>
        <w:t>本公司对子公司投资采用成本法核算，编制合并财务报表时按权益法进行调整；对合营企业</w:t>
      </w:r>
    </w:p>
    <w:p>
      <w:pPr>
        <w:spacing w:line="271" w:lineRule="exact" w:before="0"/>
        <w:ind w:left="137" w:right="0" w:firstLine="0"/>
        <w:jc w:val="both"/>
        <w:rPr>
          <w:rFonts w:ascii="楷体" w:hAnsi="楷体" w:cs="楷体" w:eastAsia="楷体" w:hint="default"/>
          <w:sz w:val="22"/>
          <w:szCs w:val="22"/>
        </w:rPr>
      </w:pPr>
      <w:r>
        <w:rPr>
          <w:rFonts w:ascii="楷体" w:hAnsi="楷体" w:cs="楷体" w:eastAsia="楷体" w:hint="default"/>
          <w:sz w:val="22"/>
          <w:szCs w:val="22"/>
        </w:rPr>
        <w:t>及联营企业投资采用权益法核算；对不具有控制、共同控制或重大影响并且在活跃市场中没有报</w:t>
      </w:r>
    </w:p>
    <w:p>
      <w:pPr>
        <w:spacing w:line="324" w:lineRule="auto" w:before="102"/>
        <w:ind w:left="137" w:right="223" w:firstLine="0"/>
        <w:jc w:val="both"/>
        <w:rPr>
          <w:rFonts w:ascii="楷体" w:hAnsi="楷体" w:cs="楷体" w:eastAsia="楷体" w:hint="default"/>
          <w:sz w:val="22"/>
          <w:szCs w:val="22"/>
        </w:rPr>
      </w:pPr>
      <w:r>
        <w:rPr>
          <w:rFonts w:ascii="楷体" w:hAnsi="楷体" w:cs="楷体" w:eastAsia="楷体" w:hint="default"/>
          <w:spacing w:val="-1"/>
          <w:sz w:val="22"/>
          <w:szCs w:val="22"/>
        </w:rPr>
        <w:t>价、公允价值不能可靠计量的长期股权投资，采用成本法核算；对不具有控制、共同控制或重大</w:t>
      </w:r>
      <w:r>
        <w:rPr>
          <w:rFonts w:ascii="楷体" w:hAnsi="楷体" w:cs="楷体" w:eastAsia="楷体" w:hint="default"/>
          <w:w w:val="99"/>
          <w:sz w:val="22"/>
          <w:szCs w:val="22"/>
        </w:rPr>
        <w:t> </w:t>
      </w:r>
      <w:r>
        <w:rPr>
          <w:rFonts w:ascii="楷体" w:hAnsi="楷体" w:cs="楷体" w:eastAsia="楷体" w:hint="default"/>
          <w:spacing w:val="-1"/>
          <w:sz w:val="22"/>
          <w:szCs w:val="22"/>
        </w:rPr>
        <w:t>影响，但在活跃市场中有报价、公允价值能够可靠计量的长期股权投资，作为可供出售金融资产</w:t>
      </w:r>
      <w:r>
        <w:rPr>
          <w:rFonts w:ascii="楷体" w:hAnsi="楷体" w:cs="楷体" w:eastAsia="楷体" w:hint="default"/>
          <w:w w:val="99"/>
          <w:sz w:val="22"/>
          <w:szCs w:val="22"/>
        </w:rPr>
        <w:t> </w:t>
      </w:r>
      <w:r>
        <w:rPr>
          <w:rFonts w:ascii="楷体" w:hAnsi="楷体" w:cs="楷体" w:eastAsia="楷体" w:hint="default"/>
          <w:sz w:val="22"/>
          <w:szCs w:val="22"/>
        </w:rPr>
        <w:t>核算。</w:t>
      </w:r>
    </w:p>
    <w:p>
      <w:pPr>
        <w:spacing w:before="103"/>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10</w:t>
      </w:r>
      <w:r>
        <w:rPr>
          <w:rFonts w:ascii="宋体" w:hAnsi="宋体" w:cs="宋体" w:eastAsia="宋体" w:hint="default"/>
          <w:b/>
          <w:bCs/>
          <w:sz w:val="22"/>
          <w:szCs w:val="22"/>
        </w:rPr>
        <w:t>．</w:t>
      </w:r>
      <w:r>
        <w:rPr>
          <w:rFonts w:ascii="黑体" w:hAnsi="黑体" w:cs="黑体" w:eastAsia="黑体" w:hint="default"/>
          <w:sz w:val="22"/>
          <w:szCs w:val="22"/>
        </w:rPr>
        <w:t>投资性房地产</w:t>
      </w:r>
    </w:p>
    <w:p>
      <w:pPr>
        <w:spacing w:line="324" w:lineRule="auto" w:before="163"/>
        <w:ind w:left="137" w:right="207" w:firstLine="440"/>
        <w:jc w:val="left"/>
        <w:rPr>
          <w:rFonts w:ascii="楷体" w:hAnsi="楷体" w:cs="楷体" w:eastAsia="楷体" w:hint="default"/>
          <w:sz w:val="22"/>
          <w:szCs w:val="22"/>
        </w:rPr>
      </w:pPr>
      <w:r>
        <w:rPr>
          <w:rFonts w:ascii="楷体" w:hAnsi="楷体" w:cs="楷体" w:eastAsia="楷体" w:hint="default"/>
          <w:spacing w:val="-1"/>
          <w:sz w:val="22"/>
          <w:szCs w:val="22"/>
        </w:rPr>
        <w:t>本公司投资性房地产包括已出租的土地使用权、持有并准备增值后转让的土地使用权、已出</w:t>
      </w:r>
      <w:r>
        <w:rPr>
          <w:rFonts w:ascii="楷体" w:hAnsi="楷体" w:cs="楷体" w:eastAsia="楷体" w:hint="default"/>
          <w:w w:val="99"/>
          <w:sz w:val="22"/>
          <w:szCs w:val="22"/>
        </w:rPr>
        <w:t> </w:t>
      </w:r>
      <w:r>
        <w:rPr>
          <w:rFonts w:ascii="楷体" w:hAnsi="楷体" w:cs="楷体" w:eastAsia="楷体" w:hint="default"/>
          <w:sz w:val="22"/>
          <w:szCs w:val="22"/>
        </w:rPr>
        <w:t>租的建筑物。</w:t>
      </w:r>
    </w:p>
    <w:p>
      <w:pPr>
        <w:spacing w:line="324" w:lineRule="auto" w:before="103"/>
        <w:ind w:left="137" w:right="223" w:firstLine="440"/>
        <w:jc w:val="both"/>
        <w:rPr>
          <w:rFonts w:ascii="楷体" w:hAnsi="楷体" w:cs="楷体" w:eastAsia="楷体" w:hint="default"/>
          <w:sz w:val="22"/>
          <w:szCs w:val="22"/>
        </w:rPr>
      </w:pPr>
      <w:r>
        <w:rPr>
          <w:rFonts w:ascii="楷体" w:hAnsi="楷体" w:cs="楷体" w:eastAsia="楷体" w:hint="default"/>
          <w:spacing w:val="-1"/>
          <w:sz w:val="22"/>
          <w:szCs w:val="22"/>
        </w:rPr>
        <w:t>本公司投资性房地产按其成本作为入账价值，外购投资性房地产的成本包括购买价款、相关</w:t>
      </w:r>
      <w:r>
        <w:rPr>
          <w:rFonts w:ascii="楷体" w:hAnsi="楷体" w:cs="楷体" w:eastAsia="楷体" w:hint="default"/>
          <w:w w:val="99"/>
          <w:sz w:val="22"/>
          <w:szCs w:val="22"/>
        </w:rPr>
        <w:t> </w:t>
      </w:r>
      <w:r>
        <w:rPr>
          <w:rFonts w:ascii="楷体" w:hAnsi="楷体" w:cs="楷体" w:eastAsia="楷体" w:hint="default"/>
          <w:spacing w:val="-1"/>
          <w:sz w:val="22"/>
          <w:szCs w:val="22"/>
        </w:rPr>
        <w:t>税费和可直接归属于该资产的其他支出；自行建造投资性房地产的成本，由建造该项资产达到预</w:t>
      </w:r>
      <w:r>
        <w:rPr>
          <w:rFonts w:ascii="楷体" w:hAnsi="楷体" w:cs="楷体" w:eastAsia="楷体" w:hint="default"/>
          <w:w w:val="99"/>
          <w:sz w:val="22"/>
          <w:szCs w:val="22"/>
        </w:rPr>
        <w:t> </w:t>
      </w:r>
      <w:r>
        <w:rPr>
          <w:rFonts w:ascii="楷体" w:hAnsi="楷体" w:cs="楷体" w:eastAsia="楷体" w:hint="default"/>
          <w:sz w:val="22"/>
          <w:szCs w:val="22"/>
        </w:rPr>
        <w:t>定可使用状态前所发生的必要支出构成。</w:t>
      </w:r>
    </w:p>
    <w:p>
      <w:pPr>
        <w:spacing w:line="324" w:lineRule="auto" w:before="103"/>
        <w:ind w:left="137" w:right="167" w:firstLine="440"/>
        <w:jc w:val="left"/>
        <w:rPr>
          <w:rFonts w:ascii="楷体" w:hAnsi="楷体" w:cs="楷体" w:eastAsia="楷体" w:hint="default"/>
          <w:sz w:val="22"/>
          <w:szCs w:val="22"/>
        </w:rPr>
      </w:pPr>
      <w:r>
        <w:rPr>
          <w:rFonts w:ascii="楷体" w:hAnsi="楷体" w:cs="楷体" w:eastAsia="楷体" w:hint="default"/>
          <w:w w:val="95"/>
          <w:sz w:val="22"/>
          <w:szCs w:val="22"/>
        </w:rPr>
        <w:t>本公司对投资性房地产采用成本模式进行后续计量，按其预计使用寿命及净残值率对建筑物</w:t>
      </w:r>
      <w:r>
        <w:rPr>
          <w:rFonts w:ascii="楷体" w:hAnsi="楷体" w:cs="楷体" w:eastAsia="楷体" w:hint="default"/>
          <w:w w:val="99"/>
          <w:sz w:val="22"/>
          <w:szCs w:val="22"/>
        </w:rPr>
        <w:t> </w:t>
      </w:r>
      <w:r>
        <w:rPr>
          <w:rFonts w:ascii="楷体" w:hAnsi="楷体" w:cs="楷体" w:eastAsia="楷体" w:hint="default"/>
          <w:sz w:val="22"/>
          <w:szCs w:val="22"/>
        </w:rPr>
        <w:t>和土地使用权计提折旧或摊销。投资性房地产的预计使用寿命、净残值率及年折旧率列示如下：</w:t>
      </w:r>
    </w:p>
    <w:p>
      <w:pPr>
        <w:spacing w:line="240" w:lineRule="auto" w:before="10"/>
        <w:rPr>
          <w:rFonts w:ascii="楷体" w:hAnsi="楷体" w:cs="楷体" w:eastAsia="楷体" w:hint="default"/>
          <w:sz w:val="7"/>
          <w:szCs w:val="7"/>
        </w:rPr>
      </w:pPr>
    </w:p>
    <w:tbl>
      <w:tblPr>
        <w:tblW w:w="0" w:type="auto"/>
        <w:jc w:val="left"/>
        <w:tblInd w:w="432" w:type="dxa"/>
        <w:tblLayout w:type="fixed"/>
        <w:tblCellMar>
          <w:top w:w="0" w:type="dxa"/>
          <w:left w:w="0" w:type="dxa"/>
          <w:bottom w:w="0" w:type="dxa"/>
          <w:right w:w="0" w:type="dxa"/>
        </w:tblCellMar>
        <w:tblLook w:val="01E0"/>
      </w:tblPr>
      <w:tblGrid>
        <w:gridCol w:w="2441"/>
        <w:gridCol w:w="2367"/>
        <w:gridCol w:w="1788"/>
        <w:gridCol w:w="2009"/>
      </w:tblGrid>
      <w:tr>
        <w:trPr>
          <w:trHeight w:val="374" w:hRule="exact"/>
        </w:trPr>
        <w:tc>
          <w:tcPr>
            <w:tcW w:w="2441" w:type="dxa"/>
            <w:tcBorders>
              <w:top w:val="single" w:sz="12" w:space="0" w:color="000000"/>
              <w:left w:val="nil" w:sz="6" w:space="0" w:color="auto"/>
              <w:bottom w:val="single" w:sz="2" w:space="0" w:color="000000"/>
              <w:right w:val="nil" w:sz="6" w:space="0" w:color="auto"/>
            </w:tcBorders>
          </w:tcPr>
          <w:p>
            <w:pPr>
              <w:pStyle w:val="TableParagraph"/>
              <w:spacing w:line="294" w:lineRule="exact"/>
              <w:ind w:left="239"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类别</w:t>
            </w:r>
            <w:r>
              <w:rPr>
                <w:rFonts w:ascii="Microsoft JhengHei" w:hAnsi="Microsoft JhengHei" w:cs="Microsoft JhengHei" w:eastAsia="Microsoft JhengHei" w:hint="default"/>
                <w:sz w:val="22"/>
                <w:szCs w:val="22"/>
              </w:rPr>
            </w:r>
          </w:p>
        </w:tc>
        <w:tc>
          <w:tcPr>
            <w:tcW w:w="2367" w:type="dxa"/>
            <w:tcBorders>
              <w:top w:val="single" w:sz="12" w:space="0" w:color="000000"/>
              <w:left w:val="nil" w:sz="6" w:space="0" w:color="auto"/>
              <w:bottom w:val="single" w:sz="2" w:space="0" w:color="000000"/>
              <w:right w:val="nil" w:sz="6" w:space="0" w:color="auto"/>
            </w:tcBorders>
          </w:tcPr>
          <w:p>
            <w:pPr>
              <w:pStyle w:val="TableParagraph"/>
              <w:spacing w:line="294" w:lineRule="exact"/>
              <w:ind w:right="601"/>
              <w:jc w:val="righ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折旧年限</w:t>
            </w:r>
            <w:r>
              <w:rPr>
                <w:rFonts w:ascii="Microsoft JhengHei" w:hAnsi="Microsoft JhengHei" w:cs="Microsoft JhengHei" w:eastAsia="Microsoft JhengHei" w:hint="default"/>
                <w:sz w:val="22"/>
                <w:szCs w:val="22"/>
              </w:rPr>
            </w:r>
          </w:p>
        </w:tc>
        <w:tc>
          <w:tcPr>
            <w:tcW w:w="1788" w:type="dxa"/>
            <w:tcBorders>
              <w:top w:val="single" w:sz="12" w:space="0" w:color="000000"/>
              <w:left w:val="nil" w:sz="6" w:space="0" w:color="auto"/>
              <w:bottom w:val="single" w:sz="2" w:space="0" w:color="000000"/>
              <w:right w:val="nil" w:sz="6" w:space="0" w:color="auto"/>
            </w:tcBorders>
          </w:tcPr>
          <w:p>
            <w:pPr>
              <w:pStyle w:val="TableParagraph"/>
              <w:spacing w:line="294" w:lineRule="exact"/>
              <w:ind w:left="81"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残值率</w:t>
            </w:r>
            <w:r>
              <w:rPr>
                <w:rFonts w:ascii="Microsoft JhengHei" w:hAnsi="Microsoft JhengHei" w:cs="Microsoft JhengHei" w:eastAsia="Microsoft JhengHei" w:hint="default"/>
                <w:sz w:val="22"/>
                <w:szCs w:val="22"/>
              </w:rPr>
            </w:r>
          </w:p>
        </w:tc>
        <w:tc>
          <w:tcPr>
            <w:tcW w:w="2009" w:type="dxa"/>
            <w:tcBorders>
              <w:top w:val="single" w:sz="12" w:space="0" w:color="000000"/>
              <w:left w:val="nil" w:sz="6" w:space="0" w:color="auto"/>
              <w:bottom w:val="single" w:sz="2" w:space="0" w:color="000000"/>
              <w:right w:val="nil" w:sz="6" w:space="0" w:color="auto"/>
            </w:tcBorders>
          </w:tcPr>
          <w:p>
            <w:pPr>
              <w:pStyle w:val="TableParagraph"/>
              <w:spacing w:line="294" w:lineRule="exact"/>
              <w:ind w:left="50"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年折旧率</w:t>
            </w:r>
            <w:r>
              <w:rPr>
                <w:rFonts w:ascii="Microsoft JhengHei" w:hAnsi="Microsoft JhengHei" w:cs="Microsoft JhengHei" w:eastAsia="Microsoft JhengHei" w:hint="default"/>
                <w:sz w:val="22"/>
                <w:szCs w:val="22"/>
              </w:rPr>
            </w:r>
          </w:p>
        </w:tc>
      </w:tr>
      <w:tr>
        <w:trPr>
          <w:trHeight w:val="374" w:hRule="exact"/>
        </w:trPr>
        <w:tc>
          <w:tcPr>
            <w:tcW w:w="2441" w:type="dxa"/>
            <w:tcBorders>
              <w:top w:val="single" w:sz="2" w:space="0" w:color="000000"/>
              <w:left w:val="nil" w:sz="6" w:space="0" w:color="auto"/>
              <w:bottom w:val="single" w:sz="12" w:space="0" w:color="000000"/>
              <w:right w:val="nil" w:sz="6" w:space="0" w:color="auto"/>
            </w:tcBorders>
          </w:tcPr>
          <w:p>
            <w:pPr>
              <w:pStyle w:val="TableParagraph"/>
              <w:spacing w:line="269" w:lineRule="exact"/>
              <w:ind w:left="107" w:right="0"/>
              <w:jc w:val="left"/>
              <w:rPr>
                <w:rFonts w:ascii="楷体" w:hAnsi="楷体" w:cs="楷体" w:eastAsia="楷体" w:hint="default"/>
                <w:sz w:val="22"/>
                <w:szCs w:val="22"/>
              </w:rPr>
            </w:pPr>
            <w:r>
              <w:rPr>
                <w:rFonts w:ascii="楷体" w:hAnsi="楷体" w:cs="楷体" w:eastAsia="楷体" w:hint="default"/>
                <w:sz w:val="22"/>
                <w:szCs w:val="22"/>
              </w:rPr>
              <w:t>房屋建筑物</w:t>
            </w:r>
          </w:p>
        </w:tc>
        <w:tc>
          <w:tcPr>
            <w:tcW w:w="2367" w:type="dxa"/>
            <w:tcBorders>
              <w:top w:val="single" w:sz="2" w:space="0" w:color="000000"/>
              <w:left w:val="nil" w:sz="6" w:space="0" w:color="auto"/>
              <w:bottom w:val="single" w:sz="12" w:space="0" w:color="000000"/>
              <w:right w:val="nil" w:sz="6" w:space="0" w:color="auto"/>
            </w:tcBorders>
          </w:tcPr>
          <w:p>
            <w:pPr>
              <w:pStyle w:val="TableParagraph"/>
              <w:spacing w:line="285" w:lineRule="exact"/>
              <w:ind w:right="647"/>
              <w:jc w:val="right"/>
              <w:rPr>
                <w:rFonts w:ascii="楷体" w:hAnsi="楷体" w:cs="楷体" w:eastAsia="楷体" w:hint="default"/>
                <w:sz w:val="22"/>
                <w:szCs w:val="22"/>
              </w:rPr>
            </w:pPr>
            <w:r>
              <w:rPr>
                <w:rFonts w:ascii="Times New Roman" w:hAnsi="Times New Roman" w:cs="Times New Roman" w:eastAsia="Times New Roman" w:hint="default"/>
                <w:sz w:val="22"/>
                <w:szCs w:val="22"/>
              </w:rPr>
              <w:t>30-45</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年</w:t>
            </w:r>
          </w:p>
        </w:tc>
        <w:tc>
          <w:tcPr>
            <w:tcW w:w="1788" w:type="dxa"/>
            <w:tcBorders>
              <w:top w:val="single" w:sz="2" w:space="0" w:color="000000"/>
              <w:left w:val="nil" w:sz="6" w:space="0" w:color="auto"/>
              <w:bottom w:val="single" w:sz="12" w:space="0" w:color="000000"/>
              <w:right w:val="nil" w:sz="6" w:space="0" w:color="auto"/>
            </w:tcBorders>
          </w:tcPr>
          <w:p>
            <w:pPr>
              <w:pStyle w:val="TableParagraph"/>
              <w:spacing w:line="240" w:lineRule="auto" w:before="32"/>
              <w:ind w:left="86" w:right="0"/>
              <w:jc w:val="center"/>
              <w:rPr>
                <w:rFonts w:ascii="Times New Roman" w:hAnsi="Times New Roman" w:cs="Times New Roman" w:eastAsia="Times New Roman" w:hint="default"/>
                <w:sz w:val="22"/>
                <w:szCs w:val="22"/>
              </w:rPr>
            </w:pPr>
            <w:r>
              <w:rPr>
                <w:rFonts w:ascii="Times New Roman"/>
                <w:sz w:val="22"/>
              </w:rPr>
              <w:t>3-5%</w:t>
            </w:r>
          </w:p>
        </w:tc>
        <w:tc>
          <w:tcPr>
            <w:tcW w:w="2009" w:type="dxa"/>
            <w:tcBorders>
              <w:top w:val="single" w:sz="2" w:space="0" w:color="000000"/>
              <w:left w:val="nil" w:sz="6" w:space="0" w:color="auto"/>
              <w:bottom w:val="single" w:sz="12" w:space="0" w:color="000000"/>
              <w:right w:val="nil" w:sz="6" w:space="0" w:color="auto"/>
            </w:tcBorders>
          </w:tcPr>
          <w:p>
            <w:pPr>
              <w:pStyle w:val="TableParagraph"/>
              <w:spacing w:line="240" w:lineRule="auto" w:before="32"/>
              <w:ind w:left="55" w:right="0"/>
              <w:jc w:val="center"/>
              <w:rPr>
                <w:rFonts w:ascii="Times New Roman" w:hAnsi="Times New Roman" w:cs="Times New Roman" w:eastAsia="Times New Roman" w:hint="default"/>
                <w:sz w:val="22"/>
                <w:szCs w:val="22"/>
              </w:rPr>
            </w:pPr>
            <w:r>
              <w:rPr>
                <w:rFonts w:ascii="Times New Roman"/>
                <w:sz w:val="22"/>
              </w:rPr>
              <w:t>2.11-3.23%</w:t>
            </w:r>
          </w:p>
        </w:tc>
      </w:tr>
    </w:tbl>
    <w:p>
      <w:pPr>
        <w:spacing w:line="324" w:lineRule="auto" w:before="79"/>
        <w:ind w:left="138" w:right="222" w:firstLine="440"/>
        <w:jc w:val="both"/>
        <w:rPr>
          <w:rFonts w:ascii="楷体" w:hAnsi="楷体" w:cs="楷体" w:eastAsia="楷体" w:hint="default"/>
          <w:sz w:val="22"/>
          <w:szCs w:val="22"/>
        </w:rPr>
      </w:pPr>
      <w:r>
        <w:rPr>
          <w:rFonts w:ascii="楷体" w:hAnsi="楷体" w:cs="楷体" w:eastAsia="楷体" w:hint="default"/>
          <w:spacing w:val="-1"/>
          <w:sz w:val="22"/>
          <w:szCs w:val="22"/>
        </w:rPr>
        <w:t>对投资性房地产的预计使用寿命、预计净残值和折旧方法于每年年度终了进行复核并作适当</w:t>
      </w:r>
      <w:r>
        <w:rPr>
          <w:rFonts w:ascii="楷体" w:hAnsi="楷体" w:cs="楷体" w:eastAsia="楷体" w:hint="default"/>
          <w:w w:val="99"/>
          <w:sz w:val="22"/>
          <w:szCs w:val="22"/>
        </w:rPr>
        <w:t> </w:t>
      </w:r>
      <w:r>
        <w:rPr>
          <w:rFonts w:ascii="楷体" w:hAnsi="楷体" w:cs="楷体" w:eastAsia="楷体" w:hint="default"/>
          <w:sz w:val="22"/>
          <w:szCs w:val="22"/>
        </w:rPr>
        <w:t>调整。</w:t>
      </w:r>
    </w:p>
    <w:p>
      <w:pPr>
        <w:spacing w:line="324" w:lineRule="auto" w:before="103"/>
        <w:ind w:left="138" w:right="222" w:firstLine="440"/>
        <w:jc w:val="both"/>
        <w:rPr>
          <w:rFonts w:ascii="楷体" w:hAnsi="楷体" w:cs="楷体" w:eastAsia="楷体" w:hint="default"/>
          <w:sz w:val="22"/>
          <w:szCs w:val="22"/>
        </w:rPr>
      </w:pPr>
      <w:r>
        <w:rPr>
          <w:rFonts w:ascii="楷体" w:hAnsi="楷体" w:cs="楷体" w:eastAsia="楷体" w:hint="default"/>
          <w:spacing w:val="-1"/>
          <w:sz w:val="22"/>
          <w:szCs w:val="22"/>
        </w:rPr>
        <w:t>投资性房地产的用途改变为自用时，则自改变之日起，将该投资性房地产转换为固定资产或</w:t>
      </w:r>
      <w:r>
        <w:rPr>
          <w:rFonts w:ascii="楷体" w:hAnsi="楷体" w:cs="楷体" w:eastAsia="楷体" w:hint="default"/>
          <w:w w:val="99"/>
          <w:sz w:val="22"/>
          <w:szCs w:val="22"/>
        </w:rPr>
        <w:t> </w:t>
      </w:r>
      <w:r>
        <w:rPr>
          <w:rFonts w:ascii="楷体" w:hAnsi="楷体" w:cs="楷体" w:eastAsia="楷体" w:hint="default"/>
          <w:spacing w:val="-1"/>
          <w:sz w:val="22"/>
          <w:szCs w:val="22"/>
        </w:rPr>
        <w:t>无形资产。自用房地产的用途改变为赚取租金或资本增值时，则自改变之日起，将固定资产或无</w:t>
      </w:r>
      <w:r>
        <w:rPr>
          <w:rFonts w:ascii="楷体" w:hAnsi="楷体" w:cs="楷体" w:eastAsia="楷体" w:hint="default"/>
          <w:w w:val="99"/>
          <w:sz w:val="22"/>
          <w:szCs w:val="22"/>
        </w:rPr>
        <w:t> </w:t>
      </w:r>
      <w:r>
        <w:rPr>
          <w:rFonts w:ascii="楷体" w:hAnsi="楷体" w:cs="楷体" w:eastAsia="楷体" w:hint="default"/>
          <w:sz w:val="22"/>
          <w:szCs w:val="22"/>
        </w:rPr>
        <w:t>形资产转换为投资性房地产。发生转换时，以转换前的账面价值作为转换后的入账价值。</w:t>
      </w:r>
    </w:p>
    <w:p>
      <w:pPr>
        <w:spacing w:after="0" w:line="324" w:lineRule="auto"/>
        <w:jc w:val="both"/>
        <w:rPr>
          <w:rFonts w:ascii="楷体" w:hAnsi="楷体" w:cs="楷体" w:eastAsia="楷体" w:hint="default"/>
          <w:sz w:val="22"/>
          <w:szCs w:val="22"/>
        </w:rPr>
        <w:sectPr>
          <w:pgSz w:w="11910" w:h="16840"/>
          <w:pgMar w:header="610" w:footer="784" w:top="1080" w:bottom="980" w:left="1280" w:right="106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line="324" w:lineRule="auto" w:before="31"/>
        <w:ind w:left="138" w:right="222" w:firstLine="440"/>
        <w:jc w:val="both"/>
        <w:rPr>
          <w:rFonts w:ascii="楷体" w:hAnsi="楷体" w:cs="楷体" w:eastAsia="楷体" w:hint="default"/>
          <w:sz w:val="22"/>
          <w:szCs w:val="22"/>
        </w:rPr>
      </w:pPr>
      <w:r>
        <w:rPr>
          <w:rFonts w:ascii="楷体" w:hAnsi="楷体" w:cs="楷体" w:eastAsia="楷体" w:hint="default"/>
          <w:spacing w:val="-1"/>
          <w:sz w:val="22"/>
          <w:szCs w:val="22"/>
        </w:rPr>
        <w:t>当投资性房地产被处置，或者永久退出使用且预计不能从其处置中取得经济利益时，终止确</w:t>
      </w:r>
      <w:r>
        <w:rPr>
          <w:rFonts w:ascii="楷体" w:hAnsi="楷体" w:cs="楷体" w:eastAsia="楷体" w:hint="default"/>
          <w:w w:val="99"/>
          <w:sz w:val="22"/>
          <w:szCs w:val="22"/>
        </w:rPr>
        <w:t> </w:t>
      </w:r>
      <w:r>
        <w:rPr>
          <w:rFonts w:ascii="楷体" w:hAnsi="楷体" w:cs="楷体" w:eastAsia="楷体" w:hint="default"/>
          <w:spacing w:val="-1"/>
          <w:sz w:val="22"/>
          <w:szCs w:val="22"/>
        </w:rPr>
        <w:t>认该项投资性房地产。投资性房地产出售、转让、报废或毁损的处置收入扣除其账面价值和相关</w:t>
      </w:r>
      <w:r>
        <w:rPr>
          <w:rFonts w:ascii="楷体" w:hAnsi="楷体" w:cs="楷体" w:eastAsia="楷体" w:hint="default"/>
          <w:w w:val="99"/>
          <w:sz w:val="22"/>
          <w:szCs w:val="22"/>
        </w:rPr>
        <w:t> </w:t>
      </w:r>
      <w:r>
        <w:rPr>
          <w:rFonts w:ascii="楷体" w:hAnsi="楷体" w:cs="楷体" w:eastAsia="楷体" w:hint="default"/>
          <w:sz w:val="22"/>
          <w:szCs w:val="22"/>
        </w:rPr>
        <w:t>税费后的金额计入当期损益。</w:t>
      </w:r>
    </w:p>
    <w:p>
      <w:pPr>
        <w:spacing w:before="103"/>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11</w:t>
      </w:r>
      <w:r>
        <w:rPr>
          <w:rFonts w:ascii="宋体" w:hAnsi="宋体" w:cs="宋体" w:eastAsia="宋体" w:hint="default"/>
          <w:b/>
          <w:bCs/>
          <w:sz w:val="22"/>
          <w:szCs w:val="22"/>
        </w:rPr>
        <w:t>．</w:t>
      </w:r>
      <w:r>
        <w:rPr>
          <w:rFonts w:ascii="黑体" w:hAnsi="黑体" w:cs="黑体" w:eastAsia="黑体" w:hint="default"/>
          <w:sz w:val="22"/>
          <w:szCs w:val="22"/>
        </w:rPr>
        <w:t>固定资产</w:t>
      </w:r>
    </w:p>
    <w:p>
      <w:pPr>
        <w:spacing w:line="324" w:lineRule="auto" w:before="163"/>
        <w:ind w:left="138" w:right="223" w:firstLine="440"/>
        <w:jc w:val="both"/>
        <w:rPr>
          <w:rFonts w:ascii="楷体" w:hAnsi="楷体" w:cs="楷体" w:eastAsia="楷体" w:hint="default"/>
          <w:sz w:val="22"/>
          <w:szCs w:val="22"/>
        </w:rPr>
      </w:pPr>
      <w:r>
        <w:rPr>
          <w:rFonts w:ascii="楷体" w:hAnsi="楷体" w:cs="楷体" w:eastAsia="楷体" w:hint="default"/>
          <w:spacing w:val="-1"/>
          <w:sz w:val="22"/>
          <w:szCs w:val="22"/>
        </w:rPr>
        <w:t>本公司固定资产是指同时具有以下特征，即为生产商品、提供劳务、出租（不包括出租的房</w:t>
      </w:r>
      <w:r>
        <w:rPr>
          <w:rFonts w:ascii="楷体" w:hAnsi="楷体" w:cs="楷体" w:eastAsia="楷体" w:hint="default"/>
          <w:w w:val="99"/>
          <w:sz w:val="22"/>
          <w:szCs w:val="22"/>
        </w:rPr>
        <w:t> </w:t>
      </w:r>
      <w:r>
        <w:rPr>
          <w:rFonts w:ascii="楷体" w:hAnsi="楷体" w:cs="楷体" w:eastAsia="楷体" w:hint="default"/>
          <w:sz w:val="22"/>
          <w:szCs w:val="22"/>
        </w:rPr>
        <w:t>屋建筑物）或经营管理而持有的，使用年限超过一年的有形资产。</w:t>
      </w:r>
    </w:p>
    <w:p>
      <w:pPr>
        <w:spacing w:line="324" w:lineRule="auto" w:before="103"/>
        <w:ind w:left="138" w:right="222" w:firstLine="440"/>
        <w:jc w:val="both"/>
        <w:rPr>
          <w:rFonts w:ascii="楷体" w:hAnsi="楷体" w:cs="楷体" w:eastAsia="楷体" w:hint="default"/>
          <w:sz w:val="22"/>
          <w:szCs w:val="22"/>
        </w:rPr>
      </w:pPr>
      <w:r>
        <w:rPr>
          <w:rFonts w:ascii="楷体" w:hAnsi="楷体" w:cs="楷体" w:eastAsia="楷体" w:hint="default"/>
          <w:spacing w:val="-1"/>
          <w:sz w:val="22"/>
          <w:szCs w:val="22"/>
        </w:rPr>
        <w:t>固定资产包括房屋建筑物、电子设备、专用设备、通用设备及运输设备，按其取得时的实际</w:t>
      </w:r>
      <w:r>
        <w:rPr>
          <w:rFonts w:ascii="楷体" w:hAnsi="楷体" w:cs="楷体" w:eastAsia="楷体" w:hint="default"/>
          <w:w w:val="99"/>
          <w:sz w:val="22"/>
          <w:szCs w:val="22"/>
        </w:rPr>
        <w:t> </w:t>
      </w:r>
      <w:r>
        <w:rPr>
          <w:rFonts w:ascii="楷体" w:hAnsi="楷体" w:cs="楷体" w:eastAsia="楷体" w:hint="default"/>
          <w:spacing w:val="-1"/>
          <w:sz w:val="22"/>
          <w:szCs w:val="22"/>
        </w:rPr>
        <w:t>成本作为入账价值，其中，外购的固定资产的成本包括买价、增值税、进口关税等相关税费，以</w:t>
      </w:r>
      <w:r>
        <w:rPr>
          <w:rFonts w:ascii="楷体" w:hAnsi="楷体" w:cs="楷体" w:eastAsia="楷体" w:hint="default"/>
          <w:w w:val="99"/>
          <w:sz w:val="22"/>
          <w:szCs w:val="22"/>
        </w:rPr>
        <w:t> </w:t>
      </w:r>
      <w:r>
        <w:rPr>
          <w:rFonts w:ascii="楷体" w:hAnsi="楷体" w:cs="楷体" w:eastAsia="楷体" w:hint="default"/>
          <w:spacing w:val="-1"/>
          <w:sz w:val="22"/>
          <w:szCs w:val="22"/>
        </w:rPr>
        <w:t>及为使固定资产达到预定可使用状态前所发生的可直接归属于该资产的其他支出；自行建造固定</w:t>
      </w:r>
      <w:r>
        <w:rPr>
          <w:rFonts w:ascii="楷体" w:hAnsi="楷体" w:cs="楷体" w:eastAsia="楷体" w:hint="default"/>
          <w:w w:val="99"/>
          <w:sz w:val="22"/>
          <w:szCs w:val="22"/>
        </w:rPr>
        <w:t> </w:t>
      </w:r>
      <w:r>
        <w:rPr>
          <w:rFonts w:ascii="楷体" w:hAnsi="楷体" w:cs="楷体" w:eastAsia="楷体" w:hint="default"/>
          <w:spacing w:val="-1"/>
          <w:sz w:val="22"/>
          <w:szCs w:val="22"/>
        </w:rPr>
        <w:t>资产的成本，由建造该项资产达到预定可使用状态前所发生的必要支出构成；投资者投入的固定</w:t>
      </w:r>
      <w:r>
        <w:rPr>
          <w:rFonts w:ascii="楷体" w:hAnsi="楷体" w:cs="楷体" w:eastAsia="楷体" w:hint="default"/>
          <w:w w:val="99"/>
          <w:sz w:val="22"/>
          <w:szCs w:val="22"/>
        </w:rPr>
        <w:t> </w:t>
      </w:r>
      <w:r>
        <w:rPr>
          <w:rFonts w:ascii="楷体" w:hAnsi="楷体" w:cs="楷体" w:eastAsia="楷体" w:hint="default"/>
          <w:spacing w:val="-1"/>
          <w:sz w:val="22"/>
          <w:szCs w:val="22"/>
        </w:rPr>
        <w:t>资产，按投资合同或协议约定的价值作为入账价值，但合同或协议约定价值不公允的按公允价值</w:t>
      </w:r>
      <w:r>
        <w:rPr>
          <w:rFonts w:ascii="楷体" w:hAnsi="楷体" w:cs="楷体" w:eastAsia="楷体" w:hint="default"/>
          <w:w w:val="99"/>
          <w:sz w:val="22"/>
          <w:szCs w:val="22"/>
        </w:rPr>
        <w:t> </w:t>
      </w:r>
      <w:r>
        <w:rPr>
          <w:rFonts w:ascii="楷体" w:hAnsi="楷体" w:cs="楷体" w:eastAsia="楷体" w:hint="default"/>
          <w:spacing w:val="-1"/>
          <w:sz w:val="22"/>
          <w:szCs w:val="22"/>
        </w:rPr>
        <w:t>入账；融资租赁租入的固定资产，按租赁开始日租赁资产公允价值与最低租赁付款额的现值两者</w:t>
      </w:r>
      <w:r>
        <w:rPr>
          <w:rFonts w:ascii="楷体" w:hAnsi="楷体" w:cs="楷体" w:eastAsia="楷体" w:hint="default"/>
          <w:w w:val="99"/>
          <w:sz w:val="22"/>
          <w:szCs w:val="22"/>
        </w:rPr>
        <w:t> </w:t>
      </w:r>
      <w:r>
        <w:rPr>
          <w:rFonts w:ascii="楷体" w:hAnsi="楷体" w:cs="楷体" w:eastAsia="楷体" w:hint="default"/>
          <w:sz w:val="22"/>
          <w:szCs w:val="22"/>
        </w:rPr>
        <w:t>中较低者，作为入账价值。</w:t>
      </w:r>
    </w:p>
    <w:p>
      <w:pPr>
        <w:spacing w:line="316" w:lineRule="auto" w:before="103"/>
        <w:ind w:left="138" w:right="221" w:firstLine="440"/>
        <w:jc w:val="both"/>
        <w:rPr>
          <w:rFonts w:ascii="楷体" w:hAnsi="楷体" w:cs="楷体" w:eastAsia="楷体" w:hint="default"/>
          <w:sz w:val="22"/>
          <w:szCs w:val="22"/>
        </w:rPr>
      </w:pPr>
      <w:r>
        <w:rPr>
          <w:rFonts w:ascii="楷体" w:hAnsi="楷体" w:cs="楷体" w:eastAsia="楷体" w:hint="default"/>
          <w:spacing w:val="-1"/>
          <w:sz w:val="22"/>
          <w:szCs w:val="22"/>
        </w:rPr>
        <w:t>除已提足折旧仍继续使用的固定资产外，公司对所有固定资产计提折旧。固定资产采用平均</w:t>
      </w:r>
      <w:r>
        <w:rPr>
          <w:rFonts w:ascii="楷体" w:hAnsi="楷体" w:cs="楷体" w:eastAsia="楷体" w:hint="default"/>
          <w:w w:val="99"/>
          <w:sz w:val="22"/>
          <w:szCs w:val="22"/>
        </w:rPr>
        <w:t> </w:t>
      </w:r>
      <w:r>
        <w:rPr>
          <w:rFonts w:ascii="楷体" w:hAnsi="楷体" w:cs="楷体" w:eastAsia="楷体" w:hint="default"/>
          <w:sz w:val="22"/>
          <w:szCs w:val="22"/>
        </w:rPr>
        <w:t>年限法计提折旧。根据固定资产的类别、估计经济使用年限、预计残值（残值率为</w:t>
      </w:r>
      <w:r>
        <w:rPr>
          <w:rFonts w:ascii="楷体" w:hAnsi="楷体" w:cs="楷体" w:eastAsia="楷体" w:hint="default"/>
          <w:spacing w:val="21"/>
          <w:sz w:val="22"/>
          <w:szCs w:val="22"/>
        </w:rPr>
        <w:t> </w:t>
      </w:r>
      <w:r>
        <w:rPr>
          <w:rFonts w:ascii="Times New Roman" w:hAnsi="Times New Roman" w:cs="Times New Roman" w:eastAsia="Times New Roman" w:hint="default"/>
          <w:sz w:val="22"/>
          <w:szCs w:val="22"/>
        </w:rPr>
        <w:t>3-5%</w:t>
      </w:r>
      <w:r>
        <w:rPr>
          <w:rFonts w:ascii="楷体" w:hAnsi="楷体" w:cs="楷体" w:eastAsia="楷体" w:hint="default"/>
          <w:sz w:val="22"/>
          <w:szCs w:val="22"/>
        </w:rPr>
        <w:t>）确定</w:t>
      </w:r>
      <w:r>
        <w:rPr>
          <w:rFonts w:ascii="楷体" w:hAnsi="楷体" w:cs="楷体" w:eastAsia="楷体" w:hint="default"/>
          <w:spacing w:val="-107"/>
          <w:sz w:val="22"/>
          <w:szCs w:val="22"/>
        </w:rPr>
        <w:t> </w:t>
      </w:r>
      <w:r>
        <w:rPr>
          <w:rFonts w:ascii="楷体" w:hAnsi="楷体" w:cs="楷体" w:eastAsia="楷体" w:hint="default"/>
          <w:sz w:val="22"/>
          <w:szCs w:val="22"/>
        </w:rPr>
        <w:t>折旧率如下：</w:t>
      </w:r>
    </w:p>
    <w:p>
      <w:pPr>
        <w:spacing w:line="240" w:lineRule="auto" w:before="3"/>
        <w:rPr>
          <w:rFonts w:ascii="楷体" w:hAnsi="楷体" w:cs="楷体" w:eastAsia="楷体" w:hint="default"/>
          <w:sz w:val="8"/>
          <w:szCs w:val="8"/>
        </w:rPr>
      </w:pPr>
    </w:p>
    <w:tbl>
      <w:tblPr>
        <w:tblW w:w="0" w:type="auto"/>
        <w:jc w:val="left"/>
        <w:tblInd w:w="435" w:type="dxa"/>
        <w:tblLayout w:type="fixed"/>
        <w:tblCellMar>
          <w:top w:w="0" w:type="dxa"/>
          <w:left w:w="0" w:type="dxa"/>
          <w:bottom w:w="0" w:type="dxa"/>
          <w:right w:w="0" w:type="dxa"/>
        </w:tblCellMar>
        <w:tblLook w:val="01E0"/>
      </w:tblPr>
      <w:tblGrid>
        <w:gridCol w:w="2910"/>
        <w:gridCol w:w="2665"/>
        <w:gridCol w:w="2111"/>
        <w:gridCol w:w="912"/>
      </w:tblGrid>
      <w:tr>
        <w:trPr>
          <w:trHeight w:val="304" w:hRule="exact"/>
        </w:trPr>
        <w:tc>
          <w:tcPr>
            <w:tcW w:w="2910" w:type="dxa"/>
            <w:tcBorders>
              <w:top w:val="single" w:sz="12" w:space="0" w:color="000000"/>
              <w:left w:val="nil" w:sz="6" w:space="0" w:color="auto"/>
              <w:bottom w:val="single" w:sz="4" w:space="0" w:color="000000"/>
              <w:right w:val="nil" w:sz="6" w:space="0" w:color="auto"/>
            </w:tcBorders>
          </w:tcPr>
          <w:p>
            <w:pPr>
              <w:pStyle w:val="TableParagraph"/>
              <w:spacing w:line="244" w:lineRule="exact"/>
              <w:ind w:left="989" w:right="0"/>
              <w:jc w:val="left"/>
              <w:rPr>
                <w:rFonts w:ascii="宋体" w:hAnsi="宋体" w:cs="宋体" w:eastAsia="宋体" w:hint="default"/>
                <w:sz w:val="22"/>
                <w:szCs w:val="22"/>
              </w:rPr>
            </w:pPr>
            <w:r>
              <w:rPr>
                <w:rFonts w:ascii="宋体" w:hAnsi="宋体" w:cs="宋体" w:eastAsia="宋体" w:hint="default"/>
                <w:b/>
                <w:bCs/>
                <w:sz w:val="22"/>
                <w:szCs w:val="22"/>
              </w:rPr>
              <w:t>资产类别</w:t>
            </w:r>
            <w:r>
              <w:rPr>
                <w:rFonts w:ascii="宋体" w:hAnsi="宋体" w:cs="宋体" w:eastAsia="宋体" w:hint="default"/>
                <w:sz w:val="22"/>
                <w:szCs w:val="22"/>
              </w:rPr>
            </w:r>
          </w:p>
        </w:tc>
        <w:tc>
          <w:tcPr>
            <w:tcW w:w="2665" w:type="dxa"/>
            <w:tcBorders>
              <w:top w:val="single" w:sz="12" w:space="0" w:color="000000"/>
              <w:left w:val="nil" w:sz="6" w:space="0" w:color="auto"/>
              <w:bottom w:val="single" w:sz="4" w:space="0" w:color="000000"/>
              <w:right w:val="nil" w:sz="6" w:space="0" w:color="auto"/>
            </w:tcBorders>
          </w:tcPr>
          <w:p>
            <w:pPr>
              <w:pStyle w:val="TableParagraph"/>
              <w:spacing w:line="244" w:lineRule="exact"/>
              <w:ind w:right="918"/>
              <w:jc w:val="right"/>
              <w:rPr>
                <w:rFonts w:ascii="宋体" w:hAnsi="宋体" w:cs="宋体" w:eastAsia="宋体" w:hint="default"/>
                <w:sz w:val="22"/>
                <w:szCs w:val="22"/>
              </w:rPr>
            </w:pPr>
            <w:r>
              <w:rPr>
                <w:rFonts w:ascii="宋体" w:hAnsi="宋体" w:cs="宋体" w:eastAsia="宋体" w:hint="default"/>
                <w:b/>
                <w:bCs/>
                <w:w w:val="95"/>
                <w:sz w:val="22"/>
                <w:szCs w:val="22"/>
              </w:rPr>
              <w:t>折旧年限</w:t>
            </w:r>
            <w:r>
              <w:rPr>
                <w:rFonts w:ascii="宋体" w:hAnsi="宋体" w:cs="宋体" w:eastAsia="宋体" w:hint="default"/>
                <w:sz w:val="22"/>
                <w:szCs w:val="22"/>
              </w:rPr>
            </w:r>
          </w:p>
        </w:tc>
        <w:tc>
          <w:tcPr>
            <w:tcW w:w="2111" w:type="dxa"/>
            <w:tcBorders>
              <w:top w:val="single" w:sz="12" w:space="0" w:color="000000"/>
              <w:left w:val="nil" w:sz="6" w:space="0" w:color="auto"/>
              <w:bottom w:val="single" w:sz="4" w:space="0" w:color="000000"/>
              <w:right w:val="nil" w:sz="6" w:space="0" w:color="auto"/>
            </w:tcBorders>
          </w:tcPr>
          <w:p>
            <w:pPr>
              <w:pStyle w:val="TableParagraph"/>
              <w:spacing w:line="244" w:lineRule="exact"/>
              <w:ind w:right="158"/>
              <w:jc w:val="right"/>
              <w:rPr>
                <w:rFonts w:ascii="宋体" w:hAnsi="宋体" w:cs="宋体" w:eastAsia="宋体" w:hint="default"/>
                <w:sz w:val="22"/>
                <w:szCs w:val="22"/>
              </w:rPr>
            </w:pPr>
            <w:r>
              <w:rPr>
                <w:rFonts w:ascii="宋体" w:hAnsi="宋体" w:cs="宋体" w:eastAsia="宋体" w:hint="default"/>
                <w:b/>
                <w:bCs/>
                <w:w w:val="95"/>
                <w:sz w:val="22"/>
                <w:szCs w:val="22"/>
              </w:rPr>
              <w:t>年折旧率</w:t>
            </w:r>
            <w:r>
              <w:rPr>
                <w:rFonts w:ascii="宋体" w:hAnsi="宋体" w:cs="宋体" w:eastAsia="宋体" w:hint="default"/>
                <w:sz w:val="22"/>
                <w:szCs w:val="22"/>
              </w:rPr>
            </w:r>
          </w:p>
        </w:tc>
        <w:tc>
          <w:tcPr>
            <w:tcW w:w="912" w:type="dxa"/>
            <w:tcBorders>
              <w:top w:val="single" w:sz="12" w:space="0" w:color="000000"/>
              <w:left w:val="nil" w:sz="6" w:space="0" w:color="auto"/>
              <w:bottom w:val="single" w:sz="4" w:space="0" w:color="000000"/>
              <w:right w:val="nil" w:sz="6" w:space="0" w:color="auto"/>
            </w:tcBorders>
          </w:tcPr>
          <w:p>
            <w:pPr/>
          </w:p>
        </w:tc>
      </w:tr>
      <w:tr>
        <w:trPr>
          <w:trHeight w:val="277" w:hRule="exact"/>
        </w:trPr>
        <w:tc>
          <w:tcPr>
            <w:tcW w:w="2910" w:type="dxa"/>
            <w:tcBorders>
              <w:top w:val="single" w:sz="4" w:space="0" w:color="000000"/>
              <w:left w:val="nil" w:sz="6" w:space="0" w:color="auto"/>
              <w:bottom w:val="nil" w:sz="6" w:space="0" w:color="auto"/>
              <w:right w:val="nil" w:sz="6" w:space="0" w:color="auto"/>
            </w:tcBorders>
          </w:tcPr>
          <w:p>
            <w:pPr>
              <w:pStyle w:val="TableParagraph"/>
              <w:spacing w:line="245" w:lineRule="exact"/>
              <w:ind w:left="949" w:right="0"/>
              <w:jc w:val="left"/>
              <w:rPr>
                <w:rFonts w:ascii="楷体" w:hAnsi="楷体" w:cs="楷体" w:eastAsia="楷体" w:hint="default"/>
                <w:sz w:val="22"/>
                <w:szCs w:val="22"/>
              </w:rPr>
            </w:pPr>
            <w:r>
              <w:rPr>
                <w:rFonts w:ascii="楷体" w:hAnsi="楷体" w:cs="楷体" w:eastAsia="楷体" w:hint="default"/>
                <w:sz w:val="22"/>
                <w:szCs w:val="22"/>
              </w:rPr>
              <w:t>房屋建筑物</w:t>
            </w:r>
          </w:p>
        </w:tc>
        <w:tc>
          <w:tcPr>
            <w:tcW w:w="2665" w:type="dxa"/>
            <w:tcBorders>
              <w:top w:val="single" w:sz="4" w:space="0" w:color="000000"/>
              <w:left w:val="nil" w:sz="6" w:space="0" w:color="auto"/>
              <w:bottom w:val="nil" w:sz="6" w:space="0" w:color="auto"/>
              <w:right w:val="nil" w:sz="6" w:space="0" w:color="auto"/>
            </w:tcBorders>
          </w:tcPr>
          <w:p>
            <w:pPr>
              <w:pStyle w:val="TableParagraph"/>
              <w:spacing w:line="261" w:lineRule="exact"/>
              <w:ind w:right="903"/>
              <w:jc w:val="right"/>
              <w:rPr>
                <w:rFonts w:ascii="楷体" w:hAnsi="楷体" w:cs="楷体" w:eastAsia="楷体" w:hint="default"/>
                <w:sz w:val="22"/>
                <w:szCs w:val="22"/>
              </w:rPr>
            </w:pPr>
            <w:r>
              <w:rPr>
                <w:rFonts w:ascii="Times New Roman" w:hAnsi="Times New Roman" w:cs="Times New Roman" w:eastAsia="Times New Roman" w:hint="default"/>
                <w:sz w:val="22"/>
                <w:szCs w:val="22"/>
              </w:rPr>
              <w:t>30-45</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年</w:t>
            </w:r>
          </w:p>
        </w:tc>
        <w:tc>
          <w:tcPr>
            <w:tcW w:w="2111" w:type="dxa"/>
            <w:tcBorders>
              <w:top w:val="single" w:sz="4" w:space="0" w:color="000000"/>
              <w:left w:val="nil" w:sz="6" w:space="0" w:color="auto"/>
              <w:bottom w:val="single" w:sz="6" w:space="0" w:color="000000"/>
              <w:right w:val="nil" w:sz="6" w:space="0" w:color="auto"/>
            </w:tcBorders>
          </w:tcPr>
          <w:p>
            <w:pPr>
              <w:pStyle w:val="TableParagraph"/>
              <w:spacing w:line="246" w:lineRule="exact"/>
              <w:ind w:right="27"/>
              <w:jc w:val="right"/>
              <w:rPr>
                <w:rFonts w:ascii="Times New Roman" w:hAnsi="Times New Roman" w:cs="Times New Roman" w:eastAsia="Times New Roman" w:hint="default"/>
                <w:sz w:val="22"/>
                <w:szCs w:val="22"/>
              </w:rPr>
            </w:pPr>
            <w:r>
              <w:rPr>
                <w:rFonts w:ascii="Times New Roman"/>
                <w:spacing w:val="-1"/>
                <w:w w:val="95"/>
                <w:sz w:val="22"/>
              </w:rPr>
              <w:t>2.11-3.23%</w:t>
            </w:r>
            <w:r>
              <w:rPr>
                <w:rFonts w:ascii="Times New Roman"/>
                <w:spacing w:val="-1"/>
                <w:sz w:val="22"/>
              </w:rPr>
            </w:r>
          </w:p>
        </w:tc>
        <w:tc>
          <w:tcPr>
            <w:tcW w:w="912" w:type="dxa"/>
            <w:tcBorders>
              <w:top w:val="single" w:sz="4" w:space="0" w:color="000000"/>
              <w:left w:val="nil" w:sz="6" w:space="0" w:color="auto"/>
              <w:bottom w:val="nil" w:sz="6" w:space="0" w:color="auto"/>
              <w:right w:val="nil" w:sz="6" w:space="0" w:color="auto"/>
            </w:tcBorders>
          </w:tcPr>
          <w:p>
            <w:pPr/>
          </w:p>
        </w:tc>
      </w:tr>
      <w:tr>
        <w:trPr>
          <w:trHeight w:val="295"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57" w:lineRule="exact"/>
              <w:ind w:left="949" w:right="0"/>
              <w:jc w:val="left"/>
              <w:rPr>
                <w:rFonts w:ascii="楷体" w:hAnsi="楷体" w:cs="楷体" w:eastAsia="楷体" w:hint="default"/>
                <w:sz w:val="22"/>
                <w:szCs w:val="22"/>
              </w:rPr>
            </w:pPr>
            <w:r>
              <w:rPr>
                <w:rFonts w:ascii="楷体" w:hAnsi="楷体" w:cs="楷体" w:eastAsia="楷体" w:hint="default"/>
                <w:sz w:val="22"/>
                <w:szCs w:val="22"/>
              </w:rPr>
              <w:t>通用设备</w:t>
            </w:r>
          </w:p>
        </w:tc>
        <w:tc>
          <w:tcPr>
            <w:tcW w:w="2665" w:type="dxa"/>
            <w:tcBorders>
              <w:top w:val="nil" w:sz="6" w:space="0" w:color="auto"/>
              <w:left w:val="nil" w:sz="6" w:space="0" w:color="auto"/>
              <w:bottom w:val="nil" w:sz="6" w:space="0" w:color="auto"/>
              <w:right w:val="nil" w:sz="6" w:space="0" w:color="auto"/>
            </w:tcBorders>
          </w:tcPr>
          <w:p>
            <w:pPr>
              <w:pStyle w:val="TableParagraph"/>
              <w:spacing w:line="273" w:lineRule="exact"/>
              <w:ind w:right="903"/>
              <w:jc w:val="right"/>
              <w:rPr>
                <w:rFonts w:ascii="楷体" w:hAnsi="楷体" w:cs="楷体" w:eastAsia="楷体" w:hint="default"/>
                <w:sz w:val="22"/>
                <w:szCs w:val="22"/>
              </w:rPr>
            </w:pPr>
            <w:r>
              <w:rPr>
                <w:rFonts w:ascii="Times New Roman" w:hAnsi="Times New Roman" w:cs="Times New Roman" w:eastAsia="Times New Roman" w:hint="default"/>
                <w:sz w:val="22"/>
                <w:szCs w:val="22"/>
              </w:rPr>
              <w:t>5-10</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年</w:t>
            </w:r>
          </w:p>
        </w:tc>
        <w:tc>
          <w:tcPr>
            <w:tcW w:w="2111"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27"/>
              <w:jc w:val="right"/>
              <w:rPr>
                <w:rFonts w:ascii="Times New Roman" w:hAnsi="Times New Roman" w:cs="Times New Roman" w:eastAsia="Times New Roman" w:hint="default"/>
                <w:sz w:val="22"/>
                <w:szCs w:val="22"/>
              </w:rPr>
            </w:pPr>
            <w:r>
              <w:rPr>
                <w:rFonts w:ascii="Times New Roman"/>
                <w:spacing w:val="-1"/>
                <w:sz w:val="22"/>
              </w:rPr>
              <w:t>9.50-19.40%</w:t>
            </w:r>
          </w:p>
        </w:tc>
        <w:tc>
          <w:tcPr>
            <w:tcW w:w="912" w:type="dxa"/>
            <w:tcBorders>
              <w:top w:val="nil" w:sz="6" w:space="0" w:color="auto"/>
              <w:left w:val="nil" w:sz="6" w:space="0" w:color="auto"/>
              <w:bottom w:val="nil" w:sz="6" w:space="0" w:color="auto"/>
              <w:right w:val="nil" w:sz="6" w:space="0" w:color="auto"/>
            </w:tcBorders>
          </w:tcPr>
          <w:p>
            <w:pPr/>
          </w:p>
        </w:tc>
      </w:tr>
      <w:tr>
        <w:trPr>
          <w:trHeight w:val="28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6" w:lineRule="exact"/>
              <w:ind w:left="949" w:right="0"/>
              <w:jc w:val="left"/>
              <w:rPr>
                <w:rFonts w:ascii="楷体" w:hAnsi="楷体" w:cs="楷体" w:eastAsia="楷体" w:hint="default"/>
                <w:sz w:val="22"/>
                <w:szCs w:val="22"/>
              </w:rPr>
            </w:pPr>
            <w:r>
              <w:rPr>
                <w:rFonts w:ascii="楷体" w:hAnsi="楷体" w:cs="楷体" w:eastAsia="楷体" w:hint="default"/>
                <w:sz w:val="22"/>
                <w:szCs w:val="22"/>
              </w:rPr>
              <w:t>专用设备</w:t>
            </w:r>
          </w:p>
        </w:tc>
        <w:tc>
          <w:tcPr>
            <w:tcW w:w="2665" w:type="dxa"/>
            <w:tcBorders>
              <w:top w:val="nil" w:sz="6" w:space="0" w:color="auto"/>
              <w:left w:val="nil" w:sz="6" w:space="0" w:color="auto"/>
              <w:bottom w:val="nil" w:sz="6" w:space="0" w:color="auto"/>
              <w:right w:val="nil" w:sz="6" w:space="0" w:color="auto"/>
            </w:tcBorders>
          </w:tcPr>
          <w:p>
            <w:pPr>
              <w:pStyle w:val="TableParagraph"/>
              <w:spacing w:line="263" w:lineRule="exact"/>
              <w:ind w:right="903"/>
              <w:jc w:val="right"/>
              <w:rPr>
                <w:rFonts w:ascii="楷体" w:hAnsi="楷体" w:cs="楷体" w:eastAsia="楷体" w:hint="default"/>
                <w:sz w:val="22"/>
                <w:szCs w:val="22"/>
              </w:rPr>
            </w:pPr>
            <w:r>
              <w:rPr>
                <w:rFonts w:ascii="Times New Roman" w:hAnsi="Times New Roman" w:cs="Times New Roman" w:eastAsia="Times New Roman" w:hint="default"/>
                <w:sz w:val="22"/>
                <w:szCs w:val="22"/>
              </w:rPr>
              <w:t>5-10</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年</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7"/>
              <w:jc w:val="right"/>
              <w:rPr>
                <w:rFonts w:ascii="Times New Roman" w:hAnsi="Times New Roman" w:cs="Times New Roman" w:eastAsia="Times New Roman" w:hint="default"/>
                <w:sz w:val="22"/>
                <w:szCs w:val="22"/>
              </w:rPr>
            </w:pPr>
            <w:r>
              <w:rPr>
                <w:rFonts w:ascii="Times New Roman"/>
                <w:spacing w:val="-1"/>
                <w:sz w:val="22"/>
              </w:rPr>
              <w:t>9.50-19.40%</w:t>
            </w:r>
          </w:p>
        </w:tc>
        <w:tc>
          <w:tcPr>
            <w:tcW w:w="912" w:type="dxa"/>
            <w:tcBorders>
              <w:top w:val="nil" w:sz="6" w:space="0" w:color="auto"/>
              <w:left w:val="nil" w:sz="6" w:space="0" w:color="auto"/>
              <w:bottom w:val="nil" w:sz="6" w:space="0" w:color="auto"/>
              <w:right w:val="nil" w:sz="6" w:space="0" w:color="auto"/>
            </w:tcBorders>
          </w:tcPr>
          <w:p>
            <w:pPr/>
          </w:p>
        </w:tc>
      </w:tr>
      <w:tr>
        <w:trPr>
          <w:trHeight w:val="28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5" w:lineRule="exact"/>
              <w:ind w:left="949" w:right="0"/>
              <w:jc w:val="left"/>
              <w:rPr>
                <w:rFonts w:ascii="楷体" w:hAnsi="楷体" w:cs="楷体" w:eastAsia="楷体" w:hint="default"/>
                <w:sz w:val="22"/>
                <w:szCs w:val="22"/>
              </w:rPr>
            </w:pPr>
            <w:r>
              <w:rPr>
                <w:rFonts w:ascii="楷体" w:hAnsi="楷体" w:cs="楷体" w:eastAsia="楷体" w:hint="default"/>
                <w:sz w:val="22"/>
                <w:szCs w:val="22"/>
              </w:rPr>
              <w:t>运输设备</w:t>
            </w:r>
          </w:p>
        </w:tc>
        <w:tc>
          <w:tcPr>
            <w:tcW w:w="2665" w:type="dxa"/>
            <w:tcBorders>
              <w:top w:val="nil" w:sz="6" w:space="0" w:color="auto"/>
              <w:left w:val="nil" w:sz="6" w:space="0" w:color="auto"/>
              <w:bottom w:val="nil" w:sz="6" w:space="0" w:color="auto"/>
              <w:right w:val="nil" w:sz="6" w:space="0" w:color="auto"/>
            </w:tcBorders>
          </w:tcPr>
          <w:p>
            <w:pPr>
              <w:pStyle w:val="TableParagraph"/>
              <w:spacing w:line="262" w:lineRule="exact"/>
              <w:ind w:right="903"/>
              <w:jc w:val="right"/>
              <w:rPr>
                <w:rFonts w:ascii="楷体" w:hAnsi="楷体" w:cs="楷体" w:eastAsia="楷体" w:hint="default"/>
                <w:sz w:val="22"/>
                <w:szCs w:val="22"/>
              </w:rPr>
            </w:pP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7"/>
              <w:jc w:val="right"/>
              <w:rPr>
                <w:rFonts w:ascii="Times New Roman" w:hAnsi="Times New Roman" w:cs="Times New Roman" w:eastAsia="Times New Roman" w:hint="default"/>
                <w:sz w:val="22"/>
                <w:szCs w:val="22"/>
              </w:rPr>
            </w:pPr>
            <w:r>
              <w:rPr>
                <w:rFonts w:ascii="Times New Roman"/>
                <w:spacing w:val="-1"/>
                <w:sz w:val="22"/>
              </w:rPr>
              <w:t>9.50-9.70%</w:t>
            </w:r>
          </w:p>
        </w:tc>
        <w:tc>
          <w:tcPr>
            <w:tcW w:w="912" w:type="dxa"/>
            <w:tcBorders>
              <w:top w:val="nil" w:sz="6" w:space="0" w:color="auto"/>
              <w:left w:val="nil" w:sz="6" w:space="0" w:color="auto"/>
              <w:bottom w:val="nil" w:sz="6" w:space="0" w:color="auto"/>
              <w:right w:val="nil" w:sz="6" w:space="0" w:color="auto"/>
            </w:tcBorders>
          </w:tcPr>
          <w:p>
            <w:pPr/>
          </w:p>
        </w:tc>
      </w:tr>
      <w:tr>
        <w:trPr>
          <w:trHeight w:val="301" w:hRule="exact"/>
        </w:trPr>
        <w:tc>
          <w:tcPr>
            <w:tcW w:w="2910" w:type="dxa"/>
            <w:tcBorders>
              <w:top w:val="nil" w:sz="6" w:space="0" w:color="auto"/>
              <w:left w:val="nil" w:sz="6" w:space="0" w:color="auto"/>
              <w:bottom w:val="single" w:sz="12" w:space="0" w:color="000000"/>
              <w:right w:val="nil" w:sz="6" w:space="0" w:color="auto"/>
            </w:tcBorders>
          </w:tcPr>
          <w:p>
            <w:pPr>
              <w:pStyle w:val="TableParagraph"/>
              <w:spacing w:line="246" w:lineRule="exact"/>
              <w:ind w:left="949" w:right="0"/>
              <w:jc w:val="left"/>
              <w:rPr>
                <w:rFonts w:ascii="楷体" w:hAnsi="楷体" w:cs="楷体" w:eastAsia="楷体" w:hint="default"/>
                <w:sz w:val="22"/>
                <w:szCs w:val="22"/>
              </w:rPr>
            </w:pPr>
            <w:r>
              <w:rPr>
                <w:rFonts w:ascii="楷体" w:hAnsi="楷体" w:cs="楷体" w:eastAsia="楷体" w:hint="default"/>
                <w:sz w:val="22"/>
                <w:szCs w:val="22"/>
              </w:rPr>
              <w:t>电子设备</w:t>
            </w:r>
          </w:p>
        </w:tc>
        <w:tc>
          <w:tcPr>
            <w:tcW w:w="2665" w:type="dxa"/>
            <w:tcBorders>
              <w:top w:val="nil" w:sz="6" w:space="0" w:color="auto"/>
              <w:left w:val="nil" w:sz="6" w:space="0" w:color="auto"/>
              <w:bottom w:val="single" w:sz="12" w:space="0" w:color="000000"/>
              <w:right w:val="nil" w:sz="6" w:space="0" w:color="auto"/>
            </w:tcBorders>
          </w:tcPr>
          <w:p>
            <w:pPr>
              <w:pStyle w:val="TableParagraph"/>
              <w:spacing w:line="263" w:lineRule="exact"/>
              <w:ind w:right="903"/>
              <w:jc w:val="right"/>
              <w:rPr>
                <w:rFonts w:ascii="楷体" w:hAnsi="楷体" w:cs="楷体" w:eastAsia="楷体" w:hint="default"/>
                <w:sz w:val="22"/>
                <w:szCs w:val="22"/>
              </w:rPr>
            </w:pP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w:t>
            </w:r>
          </w:p>
        </w:tc>
        <w:tc>
          <w:tcPr>
            <w:tcW w:w="2111"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27"/>
              <w:jc w:val="right"/>
              <w:rPr>
                <w:rFonts w:ascii="Times New Roman" w:hAnsi="Times New Roman" w:cs="Times New Roman" w:eastAsia="Times New Roman" w:hint="default"/>
                <w:sz w:val="22"/>
                <w:szCs w:val="22"/>
              </w:rPr>
            </w:pPr>
            <w:r>
              <w:rPr>
                <w:rFonts w:ascii="Times New Roman"/>
                <w:spacing w:val="-1"/>
                <w:sz w:val="22"/>
              </w:rPr>
              <w:t>19.00-19.40%</w:t>
            </w:r>
          </w:p>
        </w:tc>
        <w:tc>
          <w:tcPr>
            <w:tcW w:w="912" w:type="dxa"/>
            <w:tcBorders>
              <w:top w:val="nil" w:sz="6" w:space="0" w:color="auto"/>
              <w:left w:val="nil" w:sz="6" w:space="0" w:color="auto"/>
              <w:bottom w:val="single" w:sz="12" w:space="0" w:color="000000"/>
              <w:right w:val="nil" w:sz="6" w:space="0" w:color="auto"/>
            </w:tcBorders>
          </w:tcPr>
          <w:p>
            <w:pPr/>
          </w:p>
        </w:tc>
      </w:tr>
    </w:tbl>
    <w:p>
      <w:pPr>
        <w:spacing w:line="324" w:lineRule="auto" w:before="79"/>
        <w:ind w:left="138" w:right="222" w:firstLine="440"/>
        <w:jc w:val="both"/>
        <w:rPr>
          <w:rFonts w:ascii="楷体" w:hAnsi="楷体" w:cs="楷体" w:eastAsia="楷体" w:hint="default"/>
          <w:sz w:val="22"/>
          <w:szCs w:val="22"/>
        </w:rPr>
      </w:pPr>
      <w:r>
        <w:rPr>
          <w:rFonts w:ascii="楷体" w:hAnsi="楷体" w:cs="楷体" w:eastAsia="楷体" w:hint="default"/>
          <w:spacing w:val="-1"/>
          <w:sz w:val="22"/>
          <w:szCs w:val="22"/>
        </w:rPr>
        <w:t>固定资产后续支出的处理：固定资产的后续支出主要包括修理支出、更新改良支出及装修支</w:t>
      </w:r>
      <w:r>
        <w:rPr>
          <w:rFonts w:ascii="楷体" w:hAnsi="楷体" w:cs="楷体" w:eastAsia="楷体" w:hint="default"/>
          <w:w w:val="99"/>
          <w:sz w:val="22"/>
          <w:szCs w:val="22"/>
        </w:rPr>
        <w:t> </w:t>
      </w:r>
      <w:r>
        <w:rPr>
          <w:rFonts w:ascii="楷体" w:hAnsi="楷体" w:cs="楷体" w:eastAsia="楷体" w:hint="default"/>
          <w:spacing w:val="-1"/>
          <w:sz w:val="22"/>
          <w:szCs w:val="22"/>
        </w:rPr>
        <w:t>出等内容，在相关的经济利益很可能流入且其成本能够可靠的计量时，计入固定资产成本，对于</w:t>
      </w:r>
      <w:r>
        <w:rPr>
          <w:rFonts w:ascii="楷体" w:hAnsi="楷体" w:cs="楷体" w:eastAsia="楷体" w:hint="default"/>
          <w:w w:val="99"/>
          <w:sz w:val="22"/>
          <w:szCs w:val="22"/>
        </w:rPr>
        <w:t> </w:t>
      </w:r>
      <w:r>
        <w:rPr>
          <w:rFonts w:ascii="楷体" w:hAnsi="楷体" w:cs="楷体" w:eastAsia="楷体" w:hint="default"/>
          <w:sz w:val="22"/>
          <w:szCs w:val="22"/>
        </w:rPr>
        <w:t>被替换的部分，终止确认其账面价值；所有其他后续支出于发生时计入当期损益。</w:t>
      </w:r>
    </w:p>
    <w:p>
      <w:pPr>
        <w:spacing w:line="324" w:lineRule="auto" w:before="103"/>
        <w:ind w:left="138" w:right="222" w:firstLine="440"/>
        <w:jc w:val="both"/>
        <w:rPr>
          <w:rFonts w:ascii="楷体" w:hAnsi="楷体" w:cs="楷体" w:eastAsia="楷体" w:hint="default"/>
          <w:sz w:val="22"/>
          <w:szCs w:val="22"/>
        </w:rPr>
      </w:pPr>
      <w:r>
        <w:rPr>
          <w:rFonts w:ascii="楷体" w:hAnsi="楷体" w:cs="楷体" w:eastAsia="楷体" w:hint="default"/>
          <w:spacing w:val="-1"/>
          <w:sz w:val="22"/>
          <w:szCs w:val="22"/>
        </w:rPr>
        <w:t>本公司于每年年度终了，对固定资产的预计使用寿命、预计净残值和折旧方法进行复核，如</w:t>
      </w:r>
      <w:r>
        <w:rPr>
          <w:rFonts w:ascii="楷体" w:hAnsi="楷体" w:cs="楷体" w:eastAsia="楷体" w:hint="default"/>
          <w:w w:val="99"/>
          <w:sz w:val="22"/>
          <w:szCs w:val="22"/>
        </w:rPr>
        <w:t> </w:t>
      </w:r>
      <w:r>
        <w:rPr>
          <w:rFonts w:ascii="楷体" w:hAnsi="楷体" w:cs="楷体" w:eastAsia="楷体" w:hint="default"/>
          <w:sz w:val="22"/>
          <w:szCs w:val="22"/>
        </w:rPr>
        <w:t>发生改变，则作为会计估计变更处理。</w:t>
      </w:r>
    </w:p>
    <w:p>
      <w:pPr>
        <w:spacing w:line="324" w:lineRule="auto" w:before="103"/>
        <w:ind w:left="138" w:right="86" w:firstLine="440"/>
        <w:jc w:val="left"/>
        <w:rPr>
          <w:rFonts w:ascii="楷体" w:hAnsi="楷体" w:cs="楷体" w:eastAsia="楷体" w:hint="default"/>
          <w:sz w:val="22"/>
          <w:szCs w:val="22"/>
        </w:rPr>
      </w:pPr>
      <w:r>
        <w:rPr>
          <w:rFonts w:ascii="楷体" w:hAnsi="楷体" w:cs="楷体" w:eastAsia="楷体" w:hint="default"/>
          <w:sz w:val="22"/>
          <w:szCs w:val="22"/>
        </w:rPr>
        <w:t>当固定资产被处置、或者预期通过使用或处置不能产生经济利益时，终止确认该固定资产。</w:t>
      </w:r>
      <w:r>
        <w:rPr>
          <w:rFonts w:ascii="楷体" w:hAnsi="楷体" w:cs="楷体" w:eastAsia="楷体" w:hint="default"/>
          <w:w w:val="99"/>
          <w:sz w:val="22"/>
          <w:szCs w:val="22"/>
        </w:rPr>
        <w:t> </w:t>
      </w:r>
      <w:r>
        <w:rPr>
          <w:rFonts w:ascii="楷体" w:hAnsi="楷体" w:cs="楷体" w:eastAsia="楷体" w:hint="default"/>
          <w:spacing w:val="-4"/>
          <w:sz w:val="22"/>
          <w:szCs w:val="22"/>
        </w:rPr>
        <w:t>固定资产出售、转让、报废或毁损的处置收入扣除其账面价值和相关税费后的金额计入当期损益。</w:t>
      </w:r>
    </w:p>
    <w:p>
      <w:pPr>
        <w:spacing w:before="103"/>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w:t>
      </w:r>
      <w:r>
        <w:rPr>
          <w:rFonts w:ascii="黑体" w:hAnsi="黑体" w:cs="黑体" w:eastAsia="黑体" w:hint="default"/>
          <w:sz w:val="22"/>
          <w:szCs w:val="22"/>
        </w:rPr>
        <w:t>在建工程</w:t>
      </w:r>
    </w:p>
    <w:p>
      <w:pPr>
        <w:spacing w:line="324" w:lineRule="auto" w:before="163"/>
        <w:ind w:left="137" w:right="223" w:firstLine="440"/>
        <w:jc w:val="both"/>
        <w:rPr>
          <w:rFonts w:ascii="楷体" w:hAnsi="楷体" w:cs="楷体" w:eastAsia="楷体" w:hint="default"/>
          <w:sz w:val="22"/>
          <w:szCs w:val="22"/>
        </w:rPr>
      </w:pPr>
      <w:r>
        <w:rPr>
          <w:rFonts w:ascii="楷体" w:hAnsi="楷体" w:cs="楷体" w:eastAsia="楷体" w:hint="default"/>
          <w:spacing w:val="-1"/>
          <w:sz w:val="22"/>
          <w:szCs w:val="22"/>
        </w:rPr>
        <w:t>在建工程按实际发生的成本计量。自营工程按直接材料、直接工资、直接施工费等计量；出</w:t>
      </w:r>
      <w:r>
        <w:rPr>
          <w:rFonts w:ascii="楷体" w:hAnsi="楷体" w:cs="楷体" w:eastAsia="楷体" w:hint="default"/>
          <w:w w:val="99"/>
          <w:sz w:val="22"/>
          <w:szCs w:val="22"/>
        </w:rPr>
        <w:t> </w:t>
      </w:r>
      <w:r>
        <w:rPr>
          <w:rFonts w:ascii="楷体" w:hAnsi="楷体" w:cs="楷体" w:eastAsia="楷体" w:hint="default"/>
          <w:spacing w:val="-1"/>
          <w:sz w:val="22"/>
          <w:szCs w:val="22"/>
        </w:rPr>
        <w:t>包工程按应支付的工程价款等计量；设备安装工程按所安装设备的价值、安装费用、工程试运转</w:t>
      </w:r>
      <w:r>
        <w:rPr>
          <w:rFonts w:ascii="楷体" w:hAnsi="楷体" w:cs="楷体" w:eastAsia="楷体" w:hint="default"/>
          <w:w w:val="99"/>
          <w:sz w:val="22"/>
          <w:szCs w:val="22"/>
        </w:rPr>
        <w:t> </w:t>
      </w:r>
      <w:r>
        <w:rPr>
          <w:rFonts w:ascii="楷体" w:hAnsi="楷体" w:cs="楷体" w:eastAsia="楷体" w:hint="default"/>
          <w:sz w:val="22"/>
          <w:szCs w:val="22"/>
        </w:rPr>
        <w:t>等所发生的支出等确定工程成本。在建工程成本还包括应当资本化的借款费用和汇兑损益。</w:t>
      </w:r>
    </w:p>
    <w:p>
      <w:pPr>
        <w:spacing w:before="103"/>
        <w:ind w:left="578" w:right="86" w:firstLine="0"/>
        <w:jc w:val="left"/>
        <w:rPr>
          <w:rFonts w:ascii="楷体" w:hAnsi="楷体" w:cs="楷体" w:eastAsia="楷体" w:hint="default"/>
          <w:sz w:val="22"/>
          <w:szCs w:val="22"/>
        </w:rPr>
      </w:pPr>
      <w:r>
        <w:rPr>
          <w:rFonts w:ascii="楷体" w:hAnsi="楷体" w:cs="楷体" w:eastAsia="楷体" w:hint="default"/>
          <w:sz w:val="22"/>
          <w:szCs w:val="22"/>
        </w:rPr>
        <w:t>本公司建造的固定资产在达到预定可使用状态之日起，根据工程预算、造价或工程实际成本</w:t>
      </w:r>
    </w:p>
    <w:p>
      <w:pPr>
        <w:spacing w:after="0"/>
        <w:jc w:val="left"/>
        <w:rPr>
          <w:rFonts w:ascii="楷体" w:hAnsi="楷体" w:cs="楷体" w:eastAsia="楷体" w:hint="default"/>
          <w:sz w:val="22"/>
          <w:szCs w:val="22"/>
        </w:rPr>
        <w:sectPr>
          <w:pgSz w:w="11910" w:h="16840"/>
          <w:pgMar w:header="610" w:footer="784" w:top="1080" w:bottom="980" w:left="1280" w:right="106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line="324" w:lineRule="auto" w:before="31"/>
        <w:ind w:left="138" w:right="208" w:firstLine="0"/>
        <w:jc w:val="left"/>
        <w:rPr>
          <w:rFonts w:ascii="楷体" w:hAnsi="楷体" w:cs="楷体" w:eastAsia="楷体" w:hint="default"/>
          <w:sz w:val="22"/>
          <w:szCs w:val="22"/>
        </w:rPr>
      </w:pPr>
      <w:r>
        <w:rPr>
          <w:rFonts w:ascii="楷体" w:hAnsi="楷体" w:cs="楷体" w:eastAsia="楷体" w:hint="default"/>
          <w:spacing w:val="-1"/>
          <w:sz w:val="22"/>
          <w:szCs w:val="22"/>
        </w:rPr>
        <w:t>等，按估计的价值结转固定资产，次月起开始计提折旧。待办理了竣工决算手续后再对固定资产</w:t>
      </w:r>
      <w:r>
        <w:rPr>
          <w:rFonts w:ascii="楷体" w:hAnsi="楷体" w:cs="楷体" w:eastAsia="楷体" w:hint="default"/>
          <w:w w:val="99"/>
          <w:sz w:val="22"/>
          <w:szCs w:val="22"/>
        </w:rPr>
        <w:t> </w:t>
      </w:r>
      <w:r>
        <w:rPr>
          <w:rFonts w:ascii="楷体" w:hAnsi="楷体" w:cs="楷体" w:eastAsia="楷体" w:hint="default"/>
          <w:sz w:val="22"/>
          <w:szCs w:val="22"/>
        </w:rPr>
        <w:t>原值差异作调整。</w:t>
      </w:r>
    </w:p>
    <w:p>
      <w:pPr>
        <w:spacing w:before="103"/>
        <w:ind w:left="592"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13</w:t>
      </w:r>
      <w:r>
        <w:rPr>
          <w:rFonts w:ascii="宋体" w:hAnsi="宋体" w:cs="宋体" w:eastAsia="宋体" w:hint="default"/>
          <w:b/>
          <w:bCs/>
          <w:sz w:val="22"/>
          <w:szCs w:val="22"/>
        </w:rPr>
        <w:t>．</w:t>
      </w:r>
      <w:r>
        <w:rPr>
          <w:rFonts w:ascii="黑体" w:hAnsi="黑体" w:cs="黑体" w:eastAsia="黑体" w:hint="default"/>
          <w:sz w:val="22"/>
          <w:szCs w:val="22"/>
        </w:rPr>
        <w:t>借款费用</w:t>
      </w:r>
    </w:p>
    <w:p>
      <w:pPr>
        <w:spacing w:line="321" w:lineRule="auto" w:before="163"/>
        <w:ind w:left="138" w:right="99" w:firstLine="440"/>
        <w:jc w:val="left"/>
        <w:rPr>
          <w:rFonts w:ascii="楷体" w:hAnsi="楷体" w:cs="楷体" w:eastAsia="楷体" w:hint="default"/>
          <w:sz w:val="22"/>
          <w:szCs w:val="22"/>
        </w:rPr>
      </w:pPr>
      <w:r>
        <w:rPr>
          <w:rFonts w:ascii="楷体" w:hAnsi="楷体" w:cs="楷体" w:eastAsia="楷体" w:hint="default"/>
          <w:sz w:val="22"/>
          <w:szCs w:val="22"/>
        </w:rPr>
        <w:t>借款费用资本化的确认原则：本公司将发生的、可直接归属于符合资本化条件的资产的购建</w:t>
      </w:r>
      <w:r>
        <w:rPr>
          <w:rFonts w:ascii="楷体" w:hAnsi="楷体" w:cs="楷体" w:eastAsia="楷体" w:hint="default"/>
          <w:w w:val="99"/>
          <w:sz w:val="22"/>
          <w:szCs w:val="22"/>
        </w:rPr>
        <w:t> </w:t>
      </w:r>
      <w:r>
        <w:rPr>
          <w:rFonts w:ascii="楷体" w:hAnsi="楷体" w:cs="楷体" w:eastAsia="楷体" w:hint="default"/>
          <w:sz w:val="22"/>
          <w:szCs w:val="22"/>
        </w:rPr>
        <w:t>或者生产的借款费用予以资本化，计入相关资产成本；其他借款费用，在发生时根据其发生额确</w:t>
      </w:r>
      <w:r>
        <w:rPr>
          <w:rFonts w:ascii="楷体" w:hAnsi="楷体" w:cs="楷体" w:eastAsia="楷体" w:hint="default"/>
          <w:w w:val="99"/>
          <w:sz w:val="22"/>
          <w:szCs w:val="22"/>
        </w:rPr>
        <w:t> </w:t>
      </w:r>
      <w:r>
        <w:rPr>
          <w:rFonts w:ascii="楷体" w:hAnsi="楷体" w:cs="楷体" w:eastAsia="楷体" w:hint="default"/>
          <w:spacing w:val="-4"/>
          <w:sz w:val="22"/>
          <w:szCs w:val="22"/>
        </w:rPr>
        <w:t>认为费用，计入当期损益。符合资本化条件的资产，是指需要经过相当长时间（通常指</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年以上）</w:t>
      </w:r>
      <w:r>
        <w:rPr>
          <w:rFonts w:ascii="楷体" w:hAnsi="楷体" w:cs="楷体" w:eastAsia="楷体" w:hint="default"/>
          <w:w w:val="99"/>
          <w:sz w:val="22"/>
          <w:szCs w:val="22"/>
        </w:rPr>
        <w:t> </w:t>
      </w:r>
      <w:r>
        <w:rPr>
          <w:rFonts w:ascii="楷体" w:hAnsi="楷体" w:cs="楷体" w:eastAsia="楷体" w:hint="default"/>
          <w:sz w:val="22"/>
          <w:szCs w:val="22"/>
        </w:rPr>
        <w:t>的购建或者生产活动才能达到预定可使用或者可销售状态的固定资产、投资性房地产和存货等资</w:t>
      </w:r>
      <w:r>
        <w:rPr>
          <w:rFonts w:ascii="楷体" w:hAnsi="楷体" w:cs="楷体" w:eastAsia="楷体" w:hint="default"/>
          <w:w w:val="99"/>
          <w:sz w:val="22"/>
          <w:szCs w:val="22"/>
        </w:rPr>
        <w:t> </w:t>
      </w:r>
      <w:r>
        <w:rPr>
          <w:rFonts w:ascii="楷体" w:hAnsi="楷体" w:cs="楷体" w:eastAsia="楷体" w:hint="default"/>
          <w:sz w:val="22"/>
          <w:szCs w:val="22"/>
        </w:rPr>
        <w:t>产。</w:t>
      </w:r>
    </w:p>
    <w:p>
      <w:pPr>
        <w:spacing w:line="321" w:lineRule="auto" w:before="105"/>
        <w:ind w:left="137" w:right="222" w:firstLine="440"/>
        <w:jc w:val="both"/>
        <w:rPr>
          <w:rFonts w:ascii="楷体" w:hAnsi="楷体" w:cs="楷体" w:eastAsia="楷体" w:hint="default"/>
          <w:sz w:val="22"/>
          <w:szCs w:val="22"/>
        </w:rPr>
      </w:pPr>
      <w:r>
        <w:rPr>
          <w:rFonts w:ascii="楷体" w:hAnsi="楷体" w:cs="楷体" w:eastAsia="楷体" w:hint="default"/>
          <w:spacing w:val="-1"/>
          <w:sz w:val="22"/>
          <w:szCs w:val="22"/>
        </w:rPr>
        <w:t>借款费用资本化的期间：当资产支出已经发生、借款费用已经发生且为使资产达到预定可使</w:t>
      </w:r>
      <w:r>
        <w:rPr>
          <w:rFonts w:ascii="楷体" w:hAnsi="楷体" w:cs="楷体" w:eastAsia="楷体" w:hint="default"/>
          <w:w w:val="99"/>
          <w:sz w:val="22"/>
          <w:szCs w:val="22"/>
        </w:rPr>
        <w:t> </w:t>
      </w:r>
      <w:r>
        <w:rPr>
          <w:rFonts w:ascii="楷体" w:hAnsi="楷体" w:cs="楷体" w:eastAsia="楷体" w:hint="default"/>
          <w:spacing w:val="-1"/>
          <w:sz w:val="22"/>
          <w:szCs w:val="22"/>
        </w:rPr>
        <w:t>用或者可销售状态所必要的购建或者生产活动已经开始时，本公司将与符合资本化条件的资产相</w:t>
      </w:r>
      <w:r>
        <w:rPr>
          <w:rFonts w:ascii="楷体" w:hAnsi="楷体" w:cs="楷体" w:eastAsia="楷体" w:hint="default"/>
          <w:w w:val="99"/>
          <w:sz w:val="22"/>
          <w:szCs w:val="22"/>
        </w:rPr>
        <w:t> </w:t>
      </w:r>
      <w:r>
        <w:rPr>
          <w:rFonts w:ascii="楷体" w:hAnsi="楷体" w:cs="楷体" w:eastAsia="楷体" w:hint="default"/>
          <w:spacing w:val="-1"/>
          <w:sz w:val="22"/>
          <w:szCs w:val="22"/>
        </w:rPr>
        <w:t>关的借款费用开始资本化。若符合资本化条件的资产在购建或者生产过程中发生非正常中断、且</w:t>
      </w:r>
      <w:r>
        <w:rPr>
          <w:rFonts w:ascii="楷体" w:hAnsi="楷体" w:cs="楷体" w:eastAsia="楷体" w:hint="default"/>
          <w:w w:val="99"/>
          <w:sz w:val="22"/>
          <w:szCs w:val="22"/>
        </w:rPr>
        <w:t> </w:t>
      </w:r>
      <w:r>
        <w:rPr>
          <w:rFonts w:ascii="楷体" w:hAnsi="楷体" w:cs="楷体" w:eastAsia="楷体" w:hint="default"/>
          <w:sz w:val="22"/>
          <w:szCs w:val="22"/>
        </w:rPr>
        <w:t>中断时间连续超过</w:t>
      </w:r>
      <w:r>
        <w:rPr>
          <w:rFonts w:ascii="楷体" w:hAnsi="楷体" w:cs="楷体" w:eastAsia="楷体" w:hint="default"/>
          <w:spacing w:val="-74"/>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9"/>
          <w:sz w:val="22"/>
          <w:szCs w:val="22"/>
        </w:rPr>
        <w:t> </w:t>
      </w:r>
      <w:r>
        <w:rPr>
          <w:rFonts w:ascii="楷体" w:hAnsi="楷体" w:cs="楷体" w:eastAsia="楷体" w:hint="default"/>
          <w:sz w:val="22"/>
          <w:szCs w:val="22"/>
        </w:rPr>
        <w:t>个月，则暂停借款费用的资本化；当购建或者生产符合资本化条件的资产达</w:t>
      </w:r>
      <w:r>
        <w:rPr>
          <w:rFonts w:ascii="楷体" w:hAnsi="楷体" w:cs="楷体" w:eastAsia="楷体" w:hint="default"/>
          <w:w w:val="99"/>
          <w:sz w:val="22"/>
          <w:szCs w:val="22"/>
        </w:rPr>
        <w:t> </w:t>
      </w:r>
      <w:r>
        <w:rPr>
          <w:rFonts w:ascii="楷体" w:hAnsi="楷体" w:cs="楷体" w:eastAsia="楷体" w:hint="default"/>
          <w:sz w:val="22"/>
          <w:szCs w:val="22"/>
        </w:rPr>
        <w:t>到预定可使用或者可销售状态时，借款费用停止资本化。</w:t>
      </w:r>
    </w:p>
    <w:p>
      <w:pPr>
        <w:spacing w:line="324" w:lineRule="auto" w:before="105"/>
        <w:ind w:left="137" w:right="186" w:firstLine="440"/>
        <w:jc w:val="both"/>
        <w:rPr>
          <w:rFonts w:ascii="楷体" w:hAnsi="楷体" w:cs="楷体" w:eastAsia="楷体" w:hint="default"/>
          <w:sz w:val="22"/>
          <w:szCs w:val="22"/>
        </w:rPr>
      </w:pPr>
      <w:r>
        <w:rPr>
          <w:rFonts w:ascii="楷体" w:hAnsi="楷体" w:cs="楷体" w:eastAsia="楷体" w:hint="default"/>
          <w:spacing w:val="4"/>
          <w:sz w:val="22"/>
          <w:szCs w:val="22"/>
        </w:rPr>
        <w:t>借款费用资本化金额的计算方法：为购建或者生产符合资本化条件的资产而借入专门借款</w:t>
      </w:r>
      <w:r>
        <w:rPr>
          <w:rFonts w:ascii="楷体" w:hAnsi="楷体" w:cs="楷体" w:eastAsia="楷体" w:hint="default"/>
          <w:w w:val="99"/>
          <w:sz w:val="22"/>
          <w:szCs w:val="22"/>
        </w:rPr>
        <w:t> </w:t>
      </w:r>
      <w:r>
        <w:rPr>
          <w:rFonts w:ascii="楷体" w:hAnsi="楷体" w:cs="楷体" w:eastAsia="楷体" w:hint="default"/>
          <w:w w:val="95"/>
          <w:sz w:val="22"/>
          <w:szCs w:val="22"/>
        </w:rPr>
        <w:t>时，本公司以专门借款当期实际发生的利息费用扣除将尚未动用的借款资金存入银行取得的利息</w:t>
      </w:r>
      <w:r>
        <w:rPr>
          <w:rFonts w:ascii="楷体" w:hAnsi="楷体" w:cs="楷体" w:eastAsia="楷体" w:hint="default"/>
          <w:spacing w:val="3"/>
          <w:w w:val="95"/>
          <w:sz w:val="22"/>
          <w:szCs w:val="22"/>
        </w:rPr>
        <w:t> </w:t>
      </w:r>
      <w:r>
        <w:rPr>
          <w:rFonts w:ascii="楷体" w:hAnsi="楷体" w:cs="楷体" w:eastAsia="楷体" w:hint="default"/>
          <w:spacing w:val="3"/>
          <w:w w:val="95"/>
          <w:sz w:val="22"/>
          <w:szCs w:val="22"/>
        </w:rPr>
      </w:r>
      <w:r>
        <w:rPr>
          <w:rFonts w:ascii="楷体" w:hAnsi="楷体" w:cs="楷体" w:eastAsia="楷体" w:hint="default"/>
          <w:w w:val="95"/>
          <w:sz w:val="22"/>
          <w:szCs w:val="22"/>
        </w:rPr>
        <w:t>收入或进行暂时性投资取得的投资收益后的差额作为专门借款利息的资本化金额。为购建或者生</w:t>
      </w:r>
      <w:r>
        <w:rPr>
          <w:rFonts w:ascii="楷体" w:hAnsi="楷体" w:cs="楷体" w:eastAsia="楷体" w:hint="default"/>
          <w:spacing w:val="3"/>
          <w:w w:val="95"/>
          <w:sz w:val="22"/>
          <w:szCs w:val="22"/>
        </w:rPr>
        <w:t> </w:t>
      </w:r>
      <w:r>
        <w:rPr>
          <w:rFonts w:ascii="楷体" w:hAnsi="楷体" w:cs="楷体" w:eastAsia="楷体" w:hint="default"/>
          <w:spacing w:val="3"/>
          <w:w w:val="95"/>
          <w:sz w:val="22"/>
          <w:szCs w:val="22"/>
        </w:rPr>
      </w:r>
      <w:r>
        <w:rPr>
          <w:rFonts w:ascii="楷体" w:hAnsi="楷体" w:cs="楷体" w:eastAsia="楷体" w:hint="default"/>
          <w:w w:val="95"/>
          <w:sz w:val="22"/>
          <w:szCs w:val="22"/>
        </w:rPr>
        <w:t>产符合资本化条件的资产占用一般借款时，本公司根据累计资产支出超过专门借款部分的资产支</w:t>
      </w:r>
      <w:r>
        <w:rPr>
          <w:rFonts w:ascii="楷体" w:hAnsi="楷体" w:cs="楷体" w:eastAsia="楷体" w:hint="default"/>
          <w:spacing w:val="3"/>
          <w:w w:val="95"/>
          <w:sz w:val="22"/>
          <w:szCs w:val="22"/>
        </w:rPr>
        <w:t> </w:t>
      </w:r>
      <w:r>
        <w:rPr>
          <w:rFonts w:ascii="楷体" w:hAnsi="楷体" w:cs="楷体" w:eastAsia="楷体" w:hint="default"/>
          <w:spacing w:val="3"/>
          <w:w w:val="95"/>
          <w:sz w:val="22"/>
          <w:szCs w:val="22"/>
        </w:rPr>
      </w:r>
      <w:r>
        <w:rPr>
          <w:rFonts w:ascii="楷体" w:hAnsi="楷体" w:cs="楷体" w:eastAsia="楷体" w:hint="default"/>
          <w:sz w:val="22"/>
          <w:szCs w:val="22"/>
        </w:rPr>
        <w:t>出加权平均数乘以所占用一般借款的加权平均利率，计算确定一般借款应予资本化的利息金额。</w:t>
      </w:r>
    </w:p>
    <w:p>
      <w:pPr>
        <w:spacing w:before="103"/>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14</w:t>
      </w:r>
      <w:r>
        <w:rPr>
          <w:rFonts w:ascii="宋体" w:hAnsi="宋体" w:cs="宋体" w:eastAsia="宋体" w:hint="default"/>
          <w:b/>
          <w:bCs/>
          <w:sz w:val="22"/>
          <w:szCs w:val="22"/>
        </w:rPr>
        <w:t>．</w:t>
      </w:r>
      <w:r>
        <w:rPr>
          <w:rFonts w:ascii="黑体" w:hAnsi="黑体" w:cs="黑体" w:eastAsia="黑体" w:hint="default"/>
          <w:sz w:val="22"/>
          <w:szCs w:val="22"/>
        </w:rPr>
        <w:t>无形资产</w:t>
      </w:r>
    </w:p>
    <w:p>
      <w:pPr>
        <w:spacing w:line="324" w:lineRule="auto" w:before="163"/>
        <w:ind w:left="137" w:right="223" w:firstLine="440"/>
        <w:jc w:val="both"/>
        <w:rPr>
          <w:rFonts w:ascii="楷体" w:hAnsi="楷体" w:cs="楷体" w:eastAsia="楷体" w:hint="default"/>
          <w:sz w:val="22"/>
          <w:szCs w:val="22"/>
        </w:rPr>
      </w:pPr>
      <w:r>
        <w:rPr>
          <w:rFonts w:ascii="楷体" w:hAnsi="楷体" w:cs="楷体" w:eastAsia="楷体" w:hint="default"/>
          <w:spacing w:val="-1"/>
          <w:sz w:val="22"/>
          <w:szCs w:val="22"/>
        </w:rPr>
        <w:t>本公司无形资产主要包括土地使用权、专利技术和非专利技术等。购入的无形资产，按实际</w:t>
      </w:r>
      <w:r>
        <w:rPr>
          <w:rFonts w:ascii="楷体" w:hAnsi="楷体" w:cs="楷体" w:eastAsia="楷体" w:hint="default"/>
          <w:w w:val="99"/>
          <w:sz w:val="22"/>
          <w:szCs w:val="22"/>
        </w:rPr>
        <w:t> </w:t>
      </w:r>
      <w:r>
        <w:rPr>
          <w:rFonts w:ascii="楷体" w:hAnsi="楷体" w:cs="楷体" w:eastAsia="楷体" w:hint="default"/>
          <w:spacing w:val="-1"/>
          <w:sz w:val="22"/>
          <w:szCs w:val="22"/>
        </w:rPr>
        <w:t>支付的价款和相关的其他支出作为实际成本。投资者投入的无形资产，按投资合同或协议约定的</w:t>
      </w:r>
      <w:r>
        <w:rPr>
          <w:rFonts w:ascii="楷体" w:hAnsi="楷体" w:cs="楷体" w:eastAsia="楷体" w:hint="default"/>
          <w:w w:val="99"/>
          <w:sz w:val="22"/>
          <w:szCs w:val="22"/>
        </w:rPr>
        <w:t> </w:t>
      </w:r>
      <w:r>
        <w:rPr>
          <w:rFonts w:ascii="楷体" w:hAnsi="楷体" w:cs="楷体" w:eastAsia="楷体" w:hint="default"/>
          <w:sz w:val="22"/>
          <w:szCs w:val="22"/>
        </w:rPr>
        <w:t>价值确定实际成本，但合同或协议约定价值不公允的，按公允价值确定实际成本。</w:t>
      </w:r>
    </w:p>
    <w:p>
      <w:pPr>
        <w:spacing w:line="324" w:lineRule="auto" w:before="103"/>
        <w:ind w:left="137" w:right="223" w:firstLine="440"/>
        <w:jc w:val="both"/>
        <w:rPr>
          <w:rFonts w:ascii="楷体" w:hAnsi="楷体" w:cs="楷体" w:eastAsia="楷体" w:hint="default"/>
          <w:sz w:val="22"/>
          <w:szCs w:val="22"/>
        </w:rPr>
      </w:pPr>
      <w:r>
        <w:rPr>
          <w:rFonts w:ascii="楷体" w:hAnsi="楷体" w:cs="楷体" w:eastAsia="楷体" w:hint="default"/>
          <w:spacing w:val="-1"/>
          <w:sz w:val="22"/>
          <w:szCs w:val="22"/>
        </w:rPr>
        <w:t>本公司的土地使用权从出让起始日起，按其出让年限平均摊销；本公司专利技术、非专利技</w:t>
      </w:r>
      <w:r>
        <w:rPr>
          <w:rFonts w:ascii="楷体" w:hAnsi="楷体" w:cs="楷体" w:eastAsia="楷体" w:hint="default"/>
          <w:w w:val="99"/>
          <w:sz w:val="22"/>
          <w:szCs w:val="22"/>
        </w:rPr>
        <w:t> </w:t>
      </w:r>
      <w:r>
        <w:rPr>
          <w:rFonts w:ascii="楷体" w:hAnsi="楷体" w:cs="楷体" w:eastAsia="楷体" w:hint="default"/>
          <w:spacing w:val="-1"/>
          <w:sz w:val="22"/>
          <w:szCs w:val="22"/>
        </w:rPr>
        <w:t>术和其他无形资产按预计使用年限、合同规定的受益年限和法律规定的有效年限三者中最短者分</w:t>
      </w:r>
      <w:r>
        <w:rPr>
          <w:rFonts w:ascii="楷体" w:hAnsi="楷体" w:cs="楷体" w:eastAsia="楷体" w:hint="default"/>
          <w:w w:val="99"/>
          <w:sz w:val="22"/>
          <w:szCs w:val="22"/>
        </w:rPr>
        <w:t> </w:t>
      </w:r>
      <w:r>
        <w:rPr>
          <w:rFonts w:ascii="楷体" w:hAnsi="楷体" w:cs="楷体" w:eastAsia="楷体" w:hint="default"/>
          <w:sz w:val="22"/>
          <w:szCs w:val="22"/>
        </w:rPr>
        <w:t>期平均摊销。摊销金额按其受益对象计入相关资产成本和当期损益。</w:t>
      </w:r>
    </w:p>
    <w:p>
      <w:pPr>
        <w:spacing w:line="324" w:lineRule="auto" w:before="103"/>
        <w:ind w:left="137" w:right="113" w:firstLine="440"/>
        <w:jc w:val="both"/>
        <w:rPr>
          <w:rFonts w:ascii="楷体" w:hAnsi="楷体" w:cs="楷体" w:eastAsia="楷体" w:hint="default"/>
          <w:sz w:val="22"/>
          <w:szCs w:val="22"/>
        </w:rPr>
      </w:pPr>
      <w:r>
        <w:rPr>
          <w:rFonts w:ascii="楷体" w:hAnsi="楷体" w:cs="楷体" w:eastAsia="楷体" w:hint="default"/>
          <w:sz w:val="22"/>
          <w:szCs w:val="22"/>
        </w:rPr>
        <w:t>本公司于每年年度终了，对使用寿命有限的无形资产的预计使用寿命及摊销方法进行复核，</w:t>
      </w:r>
      <w:r>
        <w:rPr>
          <w:rFonts w:ascii="楷体" w:hAnsi="楷体" w:cs="楷体" w:eastAsia="楷体" w:hint="default"/>
          <w:w w:val="99"/>
          <w:sz w:val="22"/>
          <w:szCs w:val="22"/>
        </w:rPr>
        <w:t> </w:t>
      </w:r>
      <w:r>
        <w:rPr>
          <w:rFonts w:ascii="楷体" w:hAnsi="楷体" w:cs="楷体" w:eastAsia="楷体" w:hint="default"/>
          <w:sz w:val="22"/>
          <w:szCs w:val="22"/>
        </w:rPr>
        <w:t>如有改变则进行调整。并于每个会计期间，对使用寿命不确定的无形资产的预计使用寿命进行复</w:t>
      </w:r>
      <w:r>
        <w:rPr>
          <w:rFonts w:ascii="楷体" w:hAnsi="楷体" w:cs="楷体" w:eastAsia="楷体" w:hint="default"/>
          <w:w w:val="99"/>
          <w:sz w:val="22"/>
          <w:szCs w:val="22"/>
        </w:rPr>
        <w:t> </w:t>
      </w:r>
      <w:r>
        <w:rPr>
          <w:rFonts w:ascii="楷体" w:hAnsi="楷体" w:cs="楷体" w:eastAsia="楷体" w:hint="default"/>
          <w:spacing w:val="-4"/>
          <w:sz w:val="22"/>
          <w:szCs w:val="22"/>
        </w:rPr>
        <w:t>核，对于有证据表明无形资产的使用寿命是有限的，则估计其使用寿命并在预计使用寿命内摊销。</w:t>
      </w:r>
    </w:p>
    <w:p>
      <w:pPr>
        <w:spacing w:before="103"/>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15</w:t>
      </w:r>
      <w:r>
        <w:rPr>
          <w:rFonts w:ascii="宋体" w:hAnsi="宋体" w:cs="宋体" w:eastAsia="宋体" w:hint="default"/>
          <w:b/>
          <w:bCs/>
          <w:sz w:val="22"/>
          <w:szCs w:val="22"/>
        </w:rPr>
        <w:t>．</w:t>
      </w:r>
      <w:r>
        <w:rPr>
          <w:rFonts w:ascii="黑体" w:hAnsi="黑体" w:cs="黑体" w:eastAsia="黑体" w:hint="default"/>
          <w:sz w:val="22"/>
          <w:szCs w:val="22"/>
        </w:rPr>
        <w:t>研究与开发</w:t>
      </w:r>
    </w:p>
    <w:p>
      <w:pPr>
        <w:spacing w:line="324" w:lineRule="auto" w:before="163"/>
        <w:ind w:left="137" w:right="225" w:firstLine="440"/>
        <w:jc w:val="both"/>
        <w:rPr>
          <w:rFonts w:ascii="楷体" w:hAnsi="楷体" w:cs="楷体" w:eastAsia="楷体" w:hint="default"/>
          <w:sz w:val="22"/>
          <w:szCs w:val="22"/>
        </w:rPr>
      </w:pPr>
      <w:r>
        <w:rPr>
          <w:rFonts w:ascii="楷体" w:hAnsi="楷体" w:cs="楷体" w:eastAsia="楷体" w:hint="default"/>
          <w:spacing w:val="4"/>
          <w:sz w:val="22"/>
          <w:szCs w:val="22"/>
        </w:rPr>
        <w:t>本公司内部研究开发项目支出根据其性质以及研发活动最终形成无形资产是否具有较大不</w:t>
      </w:r>
      <w:r>
        <w:rPr>
          <w:rFonts w:ascii="楷体" w:hAnsi="楷体" w:cs="楷体" w:eastAsia="楷体" w:hint="default"/>
          <w:w w:val="99"/>
          <w:sz w:val="22"/>
          <w:szCs w:val="22"/>
        </w:rPr>
        <w:t> </w:t>
      </w:r>
      <w:r>
        <w:rPr>
          <w:rFonts w:ascii="楷体" w:hAnsi="楷体" w:cs="楷体" w:eastAsia="楷体" w:hint="default"/>
          <w:sz w:val="22"/>
          <w:szCs w:val="22"/>
        </w:rPr>
        <w:t>确定性，分为研究阶段支出和开发阶段支出。</w:t>
      </w:r>
    </w:p>
    <w:p>
      <w:pPr>
        <w:spacing w:line="324" w:lineRule="auto" w:before="103"/>
        <w:ind w:left="137" w:right="111" w:firstLine="440"/>
        <w:jc w:val="left"/>
        <w:rPr>
          <w:rFonts w:ascii="楷体" w:hAnsi="楷体" w:cs="楷体" w:eastAsia="楷体" w:hint="default"/>
          <w:sz w:val="22"/>
          <w:szCs w:val="22"/>
        </w:rPr>
      </w:pPr>
      <w:r>
        <w:rPr>
          <w:rFonts w:ascii="楷体" w:hAnsi="楷体" w:cs="楷体" w:eastAsia="楷体" w:hint="default"/>
          <w:spacing w:val="-4"/>
          <w:sz w:val="22"/>
          <w:szCs w:val="22"/>
        </w:rPr>
        <w:t>自行研究开发的无形资产，其研究阶段的支出，于发生时计入当期损益；其开发阶段的支出，</w:t>
      </w:r>
      <w:r>
        <w:rPr>
          <w:rFonts w:ascii="楷体" w:hAnsi="楷体" w:cs="楷体" w:eastAsia="楷体" w:hint="default"/>
          <w:w w:val="99"/>
          <w:sz w:val="22"/>
          <w:szCs w:val="22"/>
        </w:rPr>
        <w:t> </w:t>
      </w:r>
      <w:r>
        <w:rPr>
          <w:rFonts w:ascii="楷体" w:hAnsi="楷体" w:cs="楷体" w:eastAsia="楷体" w:hint="default"/>
          <w:sz w:val="22"/>
          <w:szCs w:val="22"/>
        </w:rPr>
        <w:t>同时满足下列条件的，确认为资产：</w:t>
      </w:r>
    </w:p>
    <w:p>
      <w:pPr>
        <w:spacing w:after="0" w:line="324" w:lineRule="auto"/>
        <w:jc w:val="left"/>
        <w:rPr>
          <w:rFonts w:ascii="楷体" w:hAnsi="楷体" w:cs="楷体" w:eastAsia="楷体" w:hint="default"/>
          <w:sz w:val="22"/>
          <w:szCs w:val="22"/>
        </w:rPr>
        <w:sectPr>
          <w:pgSz w:w="11910" w:h="16840"/>
          <w:pgMar w:header="610" w:footer="784" w:top="1080" w:bottom="980" w:left="1280" w:right="106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完成该无形资产以使其能够使用或出售在技术上具有可行性；</w:t>
      </w:r>
    </w:p>
    <w:p>
      <w:pPr>
        <w:spacing w:before="162"/>
        <w:ind w:left="592"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具有完成该无形资产并使用或出售的意图；</w:t>
      </w:r>
    </w:p>
    <w:p>
      <w:pPr>
        <w:spacing w:before="163"/>
        <w:ind w:left="592"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运用该无形资产生产的产品存在市场或无形资产自身存在市场；</w:t>
      </w:r>
    </w:p>
    <w:p>
      <w:pPr>
        <w:spacing w:line="307" w:lineRule="auto" w:before="163"/>
        <w:ind w:left="138" w:right="143" w:firstLine="453"/>
        <w:jc w:val="both"/>
        <w:rPr>
          <w:rFonts w:ascii="楷体" w:hAnsi="楷体" w:cs="楷体" w:eastAsia="楷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20"/>
          <w:sz w:val="22"/>
          <w:szCs w:val="22"/>
        </w:rPr>
        <w:t> </w:t>
      </w:r>
      <w:r>
        <w:rPr>
          <w:rFonts w:ascii="楷体" w:hAnsi="楷体" w:cs="楷体" w:eastAsia="楷体" w:hint="default"/>
          <w:sz w:val="22"/>
          <w:szCs w:val="22"/>
        </w:rPr>
        <w:t>有足够的技术、财务资源和其他资源支持，以完成该无形资产的开发，并有能力使用或</w:t>
      </w:r>
      <w:r>
        <w:rPr>
          <w:rFonts w:ascii="楷体" w:hAnsi="楷体" w:cs="楷体" w:eastAsia="楷体" w:hint="default"/>
          <w:w w:val="99"/>
          <w:sz w:val="22"/>
          <w:szCs w:val="22"/>
        </w:rPr>
        <w:t> </w:t>
      </w:r>
      <w:r>
        <w:rPr>
          <w:rFonts w:ascii="楷体" w:hAnsi="楷体" w:cs="楷体" w:eastAsia="楷体" w:hint="default"/>
          <w:sz w:val="22"/>
          <w:szCs w:val="22"/>
        </w:rPr>
        <w:t>出售该无形资产；</w:t>
      </w:r>
    </w:p>
    <w:p>
      <w:pPr>
        <w:spacing w:line="369" w:lineRule="auto" w:before="118"/>
        <w:ind w:left="578" w:right="126" w:firstLine="1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归属于该无形资产开发阶段的支出能够可靠地计量。</w:t>
      </w:r>
      <w:r>
        <w:rPr>
          <w:rFonts w:ascii="楷体" w:hAnsi="楷体" w:cs="楷体" w:eastAsia="楷体" w:hint="default"/>
          <w:w w:val="99"/>
          <w:sz w:val="22"/>
          <w:szCs w:val="22"/>
        </w:rPr>
        <w:t> </w:t>
      </w:r>
      <w:r>
        <w:rPr>
          <w:rFonts w:ascii="楷体" w:hAnsi="楷体" w:cs="楷体" w:eastAsia="楷体" w:hint="default"/>
          <w:spacing w:val="-1"/>
          <w:sz w:val="22"/>
          <w:szCs w:val="22"/>
        </w:rPr>
        <w:t>不满足上述条件的开发阶段的支出，于发生时计入当期损益。前期已计入损益的开发支出不</w:t>
      </w:r>
    </w:p>
    <w:p>
      <w:pPr>
        <w:spacing w:line="271" w:lineRule="exact" w:before="0"/>
        <w:ind w:left="138" w:right="0" w:firstLine="0"/>
        <w:jc w:val="left"/>
        <w:rPr>
          <w:rFonts w:ascii="楷体" w:hAnsi="楷体" w:cs="楷体" w:eastAsia="楷体" w:hint="default"/>
          <w:sz w:val="22"/>
          <w:szCs w:val="22"/>
        </w:rPr>
      </w:pPr>
      <w:r>
        <w:rPr>
          <w:rFonts w:ascii="楷体" w:hAnsi="楷体" w:cs="楷体" w:eastAsia="楷体" w:hint="default"/>
          <w:sz w:val="22"/>
          <w:szCs w:val="22"/>
        </w:rPr>
        <w:t>在以后期间确认为资产。已资本化的开发阶段的支出在资产负债表上列示为开发支出，自该项目</w:t>
      </w:r>
    </w:p>
    <w:p>
      <w:pPr>
        <w:spacing w:before="102"/>
        <w:ind w:left="138" w:right="2246" w:firstLine="0"/>
        <w:jc w:val="left"/>
        <w:rPr>
          <w:rFonts w:ascii="楷体" w:hAnsi="楷体" w:cs="楷体" w:eastAsia="楷体" w:hint="default"/>
          <w:sz w:val="22"/>
          <w:szCs w:val="22"/>
        </w:rPr>
      </w:pPr>
      <w:r>
        <w:rPr>
          <w:rFonts w:ascii="楷体" w:hAnsi="楷体" w:cs="楷体" w:eastAsia="楷体" w:hint="default"/>
          <w:sz w:val="22"/>
          <w:szCs w:val="22"/>
        </w:rPr>
        <w:t>达到预定可使用状态之日起转为无形资产。</w:t>
      </w:r>
    </w:p>
    <w:p>
      <w:pPr>
        <w:spacing w:before="180"/>
        <w:ind w:left="592" w:right="6555"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16</w:t>
      </w:r>
      <w:r>
        <w:rPr>
          <w:rFonts w:ascii="宋体" w:hAnsi="宋体" w:cs="宋体" w:eastAsia="宋体" w:hint="default"/>
          <w:b/>
          <w:bCs/>
          <w:sz w:val="22"/>
          <w:szCs w:val="22"/>
        </w:rPr>
        <w:t>．</w:t>
      </w:r>
      <w:r>
        <w:rPr>
          <w:rFonts w:ascii="黑体" w:hAnsi="黑体" w:cs="黑体" w:eastAsia="黑体" w:hint="default"/>
          <w:sz w:val="22"/>
          <w:szCs w:val="22"/>
        </w:rPr>
        <w:t>非金融资产减值</w:t>
      </w:r>
    </w:p>
    <w:p>
      <w:pPr>
        <w:spacing w:line="324" w:lineRule="auto" w:before="163"/>
        <w:ind w:left="138" w:right="142" w:firstLine="440"/>
        <w:jc w:val="both"/>
        <w:rPr>
          <w:rFonts w:ascii="楷体" w:hAnsi="楷体" w:cs="楷体" w:eastAsia="楷体" w:hint="default"/>
          <w:sz w:val="22"/>
          <w:szCs w:val="22"/>
        </w:rPr>
      </w:pPr>
      <w:r>
        <w:rPr>
          <w:rFonts w:ascii="楷体" w:hAnsi="楷体" w:cs="楷体" w:eastAsia="楷体" w:hint="default"/>
          <w:spacing w:val="-1"/>
          <w:sz w:val="22"/>
          <w:szCs w:val="22"/>
        </w:rPr>
        <w:t>本公司于每一资产负债表日对子公司、合营企业和联营企业的长期股权投资、固定资产、在</w:t>
      </w:r>
      <w:r>
        <w:rPr>
          <w:rFonts w:ascii="楷体" w:hAnsi="楷体" w:cs="楷体" w:eastAsia="楷体" w:hint="default"/>
          <w:w w:val="99"/>
          <w:sz w:val="22"/>
          <w:szCs w:val="22"/>
        </w:rPr>
        <w:t> </w:t>
      </w:r>
      <w:r>
        <w:rPr>
          <w:rFonts w:ascii="楷体" w:hAnsi="楷体" w:cs="楷体" w:eastAsia="楷体" w:hint="default"/>
          <w:spacing w:val="-1"/>
          <w:sz w:val="22"/>
          <w:szCs w:val="22"/>
        </w:rPr>
        <w:t>建工程、使用寿命确定的无形资产等项目进行检查，当存在下列迹象时，表明资产可能发生了减</w:t>
      </w:r>
      <w:r>
        <w:rPr>
          <w:rFonts w:ascii="楷体" w:hAnsi="楷体" w:cs="楷体" w:eastAsia="楷体" w:hint="default"/>
          <w:w w:val="99"/>
          <w:sz w:val="22"/>
          <w:szCs w:val="22"/>
        </w:rPr>
        <w:t> </w:t>
      </w:r>
      <w:r>
        <w:rPr>
          <w:rFonts w:ascii="楷体" w:hAnsi="楷体" w:cs="楷体" w:eastAsia="楷体" w:hint="default"/>
          <w:spacing w:val="-1"/>
          <w:sz w:val="22"/>
          <w:szCs w:val="22"/>
        </w:rPr>
        <w:t>值，本公司将进行减值测试，对商誉和受益年限不确定的无形资产，无论是否存在减值迹象，每</w:t>
      </w:r>
      <w:r>
        <w:rPr>
          <w:rFonts w:ascii="楷体" w:hAnsi="楷体" w:cs="楷体" w:eastAsia="楷体" w:hint="default"/>
          <w:w w:val="99"/>
          <w:sz w:val="22"/>
          <w:szCs w:val="22"/>
        </w:rPr>
        <w:t> </w:t>
      </w:r>
      <w:r>
        <w:rPr>
          <w:rFonts w:ascii="楷体" w:hAnsi="楷体" w:cs="楷体" w:eastAsia="楷体" w:hint="default"/>
          <w:spacing w:val="-1"/>
          <w:sz w:val="22"/>
          <w:szCs w:val="22"/>
        </w:rPr>
        <w:t>年末均进行减值测试。难以对单项资产的可收回金额进行测试的，以该资产所属的资产组或资产</w:t>
      </w:r>
      <w:r>
        <w:rPr>
          <w:rFonts w:ascii="楷体" w:hAnsi="楷体" w:cs="楷体" w:eastAsia="楷体" w:hint="default"/>
          <w:w w:val="99"/>
          <w:sz w:val="22"/>
          <w:szCs w:val="22"/>
        </w:rPr>
        <w:t> </w:t>
      </w:r>
      <w:r>
        <w:rPr>
          <w:rFonts w:ascii="楷体" w:hAnsi="楷体" w:cs="楷体" w:eastAsia="楷体" w:hint="default"/>
          <w:sz w:val="22"/>
          <w:szCs w:val="22"/>
        </w:rPr>
        <w:t>组组合为基础测试。</w:t>
      </w:r>
    </w:p>
    <w:p>
      <w:pPr>
        <w:spacing w:line="324" w:lineRule="auto" w:before="103"/>
        <w:ind w:left="138" w:right="142" w:firstLine="440"/>
        <w:jc w:val="both"/>
        <w:rPr>
          <w:rFonts w:ascii="楷体" w:hAnsi="楷体" w:cs="楷体" w:eastAsia="楷体" w:hint="default"/>
          <w:sz w:val="22"/>
          <w:szCs w:val="22"/>
        </w:rPr>
      </w:pPr>
      <w:r>
        <w:rPr>
          <w:rFonts w:ascii="楷体" w:hAnsi="楷体" w:cs="楷体" w:eastAsia="楷体" w:hint="default"/>
          <w:spacing w:val="-1"/>
          <w:sz w:val="22"/>
          <w:szCs w:val="22"/>
        </w:rPr>
        <w:t>减值测试后，若该资产的账面价值超过其可收回金额，其差额确认为减值损失，上述资产的</w:t>
      </w:r>
      <w:r>
        <w:rPr>
          <w:rFonts w:ascii="楷体" w:hAnsi="楷体" w:cs="楷体" w:eastAsia="楷体" w:hint="default"/>
          <w:w w:val="99"/>
          <w:sz w:val="22"/>
          <w:szCs w:val="22"/>
        </w:rPr>
        <w:t> </w:t>
      </w:r>
      <w:r>
        <w:rPr>
          <w:rFonts w:ascii="楷体" w:hAnsi="楷体" w:cs="楷体" w:eastAsia="楷体" w:hint="default"/>
          <w:spacing w:val="-1"/>
          <w:sz w:val="22"/>
          <w:szCs w:val="22"/>
        </w:rPr>
        <w:t>减值损失一经确认，在以后会计期间不予转回。资产的可收回金额是指资产的公允价值减去处置</w:t>
      </w:r>
      <w:r>
        <w:rPr>
          <w:rFonts w:ascii="楷体" w:hAnsi="楷体" w:cs="楷体" w:eastAsia="楷体" w:hint="default"/>
          <w:w w:val="99"/>
          <w:sz w:val="22"/>
          <w:szCs w:val="22"/>
        </w:rPr>
        <w:t> </w:t>
      </w:r>
      <w:r>
        <w:rPr>
          <w:rFonts w:ascii="楷体" w:hAnsi="楷体" w:cs="楷体" w:eastAsia="楷体" w:hint="default"/>
          <w:sz w:val="22"/>
          <w:szCs w:val="22"/>
        </w:rPr>
        <w:t>费用后的净额与资产预计未来现金流量的现值两者之间的较高者。</w:t>
      </w:r>
    </w:p>
    <w:p>
      <w:pPr>
        <w:spacing w:before="103"/>
        <w:ind w:left="578" w:right="6555" w:firstLine="0"/>
        <w:jc w:val="left"/>
        <w:rPr>
          <w:rFonts w:ascii="楷体" w:hAnsi="楷体" w:cs="楷体" w:eastAsia="楷体" w:hint="default"/>
          <w:sz w:val="22"/>
          <w:szCs w:val="22"/>
        </w:rPr>
      </w:pPr>
      <w:r>
        <w:rPr>
          <w:rFonts w:ascii="楷体" w:hAnsi="楷体" w:cs="楷体" w:eastAsia="楷体" w:hint="default"/>
          <w:sz w:val="22"/>
          <w:szCs w:val="22"/>
        </w:rPr>
        <w:t>出现减值的迹象如下：</w:t>
      </w:r>
    </w:p>
    <w:p>
      <w:pPr>
        <w:spacing w:line="240" w:lineRule="auto" w:before="4"/>
        <w:rPr>
          <w:rFonts w:ascii="楷体" w:hAnsi="楷体" w:cs="楷体" w:eastAsia="楷体" w:hint="default"/>
          <w:sz w:val="11"/>
          <w:szCs w:val="11"/>
        </w:rPr>
      </w:pPr>
    </w:p>
    <w:p>
      <w:pPr>
        <w:spacing w:before="31"/>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4"/>
          <w:sz w:val="22"/>
          <w:szCs w:val="22"/>
        </w:rPr>
        <w:t> </w:t>
      </w:r>
      <w:r>
        <w:rPr>
          <w:rFonts w:ascii="楷体" w:hAnsi="楷体" w:cs="楷体" w:eastAsia="楷体" w:hint="default"/>
          <w:spacing w:val="3"/>
          <w:sz w:val="22"/>
          <w:szCs w:val="22"/>
        </w:rPr>
        <w:t>资产的市价当期大幅度下跌，其跌幅明显高于因时间的推移或者正常使用而预计的下</w:t>
      </w:r>
    </w:p>
    <w:p>
      <w:pPr>
        <w:spacing w:before="85"/>
        <w:ind w:left="138" w:right="6555" w:firstLine="0"/>
        <w:jc w:val="left"/>
        <w:rPr>
          <w:rFonts w:ascii="楷体" w:hAnsi="楷体" w:cs="楷体" w:eastAsia="楷体" w:hint="default"/>
          <w:sz w:val="22"/>
          <w:szCs w:val="22"/>
        </w:rPr>
      </w:pPr>
      <w:r>
        <w:rPr>
          <w:rFonts w:ascii="楷体" w:hAnsi="楷体" w:cs="楷体" w:eastAsia="楷体" w:hint="default"/>
          <w:sz w:val="22"/>
          <w:szCs w:val="22"/>
        </w:rPr>
        <w:t>跌；</w:t>
      </w:r>
    </w:p>
    <w:p>
      <w:pPr>
        <w:spacing w:line="240" w:lineRule="auto" w:before="4"/>
        <w:rPr>
          <w:rFonts w:ascii="楷体" w:hAnsi="楷体" w:cs="楷体" w:eastAsia="楷体" w:hint="default"/>
          <w:sz w:val="11"/>
          <w:szCs w:val="11"/>
        </w:rPr>
      </w:pPr>
    </w:p>
    <w:p>
      <w:pPr>
        <w:spacing w:line="307" w:lineRule="auto" w:before="31"/>
        <w:ind w:left="137" w:right="0" w:firstLine="45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21"/>
          <w:sz w:val="22"/>
          <w:szCs w:val="22"/>
        </w:rPr>
        <w:t> </w:t>
      </w:r>
      <w:r>
        <w:rPr>
          <w:rFonts w:ascii="楷体" w:hAnsi="楷体" w:cs="楷体" w:eastAsia="楷体" w:hint="default"/>
          <w:sz w:val="22"/>
          <w:szCs w:val="22"/>
        </w:rPr>
        <w:t>企业经营所处的经济、技术或者法律等环境以及资产所处的市场在当期或者将在近期发</w:t>
      </w:r>
      <w:r>
        <w:rPr>
          <w:rFonts w:ascii="楷体" w:hAnsi="楷体" w:cs="楷体" w:eastAsia="楷体" w:hint="default"/>
          <w:w w:val="99"/>
          <w:sz w:val="22"/>
          <w:szCs w:val="22"/>
        </w:rPr>
        <w:t> </w:t>
      </w:r>
      <w:r>
        <w:rPr>
          <w:rFonts w:ascii="楷体" w:hAnsi="楷体" w:cs="楷体" w:eastAsia="楷体" w:hint="default"/>
          <w:sz w:val="22"/>
          <w:szCs w:val="22"/>
        </w:rPr>
        <w:t>生重大变化，从而对企业产生不利影响；</w:t>
      </w:r>
    </w:p>
    <w:p>
      <w:pPr>
        <w:spacing w:line="307" w:lineRule="auto" w:before="118"/>
        <w:ind w:left="137" w:right="0" w:firstLine="45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22"/>
          <w:sz w:val="22"/>
          <w:szCs w:val="22"/>
        </w:rPr>
        <w:t> </w:t>
      </w:r>
      <w:r>
        <w:rPr>
          <w:rFonts w:ascii="楷体" w:hAnsi="楷体" w:cs="楷体" w:eastAsia="楷体" w:hint="default"/>
          <w:sz w:val="22"/>
          <w:szCs w:val="22"/>
        </w:rPr>
        <w:t>市场利率或者其他市场投资报酬率在当期已经提高，从而影响企业计算资产预计未来现</w:t>
      </w:r>
      <w:r>
        <w:rPr>
          <w:rFonts w:ascii="楷体" w:hAnsi="楷体" w:cs="楷体" w:eastAsia="楷体" w:hint="default"/>
          <w:w w:val="99"/>
          <w:sz w:val="22"/>
          <w:szCs w:val="22"/>
        </w:rPr>
        <w:t> </w:t>
      </w:r>
      <w:r>
        <w:rPr>
          <w:rFonts w:ascii="楷体" w:hAnsi="楷体" w:cs="楷体" w:eastAsia="楷体" w:hint="default"/>
          <w:sz w:val="22"/>
          <w:szCs w:val="22"/>
        </w:rPr>
        <w:t>金流量现值的折现率，导致资产可收回金额大幅度降低；</w:t>
      </w:r>
    </w:p>
    <w:p>
      <w:pPr>
        <w:spacing w:before="118"/>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有证据表明资产已经陈旧过时或者其实体已经损坏；</w:t>
      </w:r>
    </w:p>
    <w:p>
      <w:pPr>
        <w:spacing w:before="163"/>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资产已经或者将被闲置、终止使用或者计划提前处置；</w:t>
      </w:r>
    </w:p>
    <w:p>
      <w:pPr>
        <w:spacing w:line="307" w:lineRule="auto" w:before="163"/>
        <w:ind w:left="137" w:right="0" w:firstLine="45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(6)</w:t>
      </w:r>
      <w:r>
        <w:rPr>
          <w:rFonts w:ascii="Times New Roman" w:hAnsi="Times New Roman" w:cs="Times New Roman" w:eastAsia="Times New Roman" w:hint="default"/>
          <w:b/>
          <w:bCs/>
          <w:spacing w:val="22"/>
          <w:sz w:val="22"/>
          <w:szCs w:val="22"/>
        </w:rPr>
        <w:t> </w:t>
      </w:r>
      <w:r>
        <w:rPr>
          <w:rFonts w:ascii="楷体" w:hAnsi="楷体" w:cs="楷体" w:eastAsia="楷体" w:hint="default"/>
          <w:sz w:val="22"/>
          <w:szCs w:val="22"/>
        </w:rPr>
        <w:t>企业内部报告的证据表明资产的经济绩效已经低于或者将低于预期，如资产所创造的净</w:t>
      </w:r>
      <w:r>
        <w:rPr>
          <w:rFonts w:ascii="楷体" w:hAnsi="楷体" w:cs="楷体" w:eastAsia="楷体" w:hint="default"/>
          <w:w w:val="99"/>
          <w:sz w:val="22"/>
          <w:szCs w:val="22"/>
        </w:rPr>
        <w:t> </w:t>
      </w:r>
      <w:r>
        <w:rPr>
          <w:rFonts w:ascii="楷体" w:hAnsi="楷体" w:cs="楷体" w:eastAsia="楷体" w:hint="default"/>
          <w:sz w:val="22"/>
          <w:szCs w:val="22"/>
        </w:rPr>
        <w:t>现金流量或者实现的营业利润（或者亏损）远远低于（或者高于）预计金额等；</w:t>
      </w:r>
    </w:p>
    <w:p>
      <w:pPr>
        <w:spacing w:before="118"/>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(7)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其他表明资产可能已经发生减值的迹象。</w:t>
      </w:r>
    </w:p>
    <w:p>
      <w:pPr>
        <w:spacing w:after="0"/>
        <w:jc w:val="left"/>
        <w:rPr>
          <w:rFonts w:ascii="楷体" w:hAnsi="楷体" w:cs="楷体" w:eastAsia="楷体" w:hint="default"/>
          <w:sz w:val="22"/>
          <w:szCs w:val="22"/>
        </w:rPr>
        <w:sectPr>
          <w:pgSz w:w="11910" w:h="16840"/>
          <w:pgMar w:header="610" w:footer="784" w:top="1080" w:bottom="9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591" w:right="6555" w:firstLine="0"/>
        <w:jc w:val="left"/>
        <w:rPr>
          <w:rFonts w:ascii="黑体" w:hAnsi="黑体" w:cs="黑体" w:eastAsia="黑体" w:hint="default"/>
          <w:sz w:val="22"/>
          <w:szCs w:val="22"/>
        </w:rPr>
      </w:pPr>
      <w:r>
        <w:rPr>
          <w:rFonts w:ascii="Times New Roman" w:hAnsi="Times New Roman" w:cs="Times New Roman" w:eastAsia="Times New Roman" w:hint="default"/>
          <w:b/>
          <w:bCs/>
          <w:spacing w:val="2"/>
          <w:sz w:val="22"/>
          <w:szCs w:val="22"/>
        </w:rPr>
        <w:t>17</w:t>
      </w:r>
      <w:r>
        <w:rPr>
          <w:rFonts w:ascii="宋体" w:hAnsi="宋体" w:cs="宋体" w:eastAsia="宋体" w:hint="default"/>
          <w:b/>
          <w:bCs/>
          <w:spacing w:val="2"/>
          <w:sz w:val="22"/>
          <w:szCs w:val="22"/>
        </w:rPr>
        <w:t>．</w:t>
      </w:r>
      <w:r>
        <w:rPr>
          <w:rFonts w:ascii="黑体" w:hAnsi="黑体" w:cs="黑体" w:eastAsia="黑体" w:hint="default"/>
          <w:spacing w:val="2"/>
          <w:sz w:val="22"/>
          <w:szCs w:val="22"/>
        </w:rPr>
        <w:t>商誉</w:t>
      </w:r>
    </w:p>
    <w:p>
      <w:pPr>
        <w:spacing w:line="324" w:lineRule="auto" w:before="162"/>
        <w:ind w:left="138" w:right="142" w:firstLine="440"/>
        <w:jc w:val="both"/>
        <w:rPr>
          <w:rFonts w:ascii="楷体" w:hAnsi="楷体" w:cs="楷体" w:eastAsia="楷体" w:hint="default"/>
          <w:sz w:val="22"/>
          <w:szCs w:val="22"/>
        </w:rPr>
      </w:pPr>
      <w:r>
        <w:rPr>
          <w:rFonts w:ascii="楷体" w:hAnsi="楷体" w:cs="楷体" w:eastAsia="楷体" w:hint="default"/>
          <w:spacing w:val="4"/>
          <w:sz w:val="22"/>
          <w:szCs w:val="22"/>
        </w:rPr>
        <w:t>商誉为股权投资成本或非同一控制下企业合并成本超过应享有的或企业合并中取得的被投</w:t>
      </w:r>
      <w:r>
        <w:rPr>
          <w:rFonts w:ascii="楷体" w:hAnsi="楷体" w:cs="楷体" w:eastAsia="楷体" w:hint="default"/>
          <w:w w:val="99"/>
          <w:sz w:val="22"/>
          <w:szCs w:val="22"/>
        </w:rPr>
        <w:t> </w:t>
      </w:r>
      <w:r>
        <w:rPr>
          <w:rFonts w:ascii="楷体" w:hAnsi="楷体" w:cs="楷体" w:eastAsia="楷体" w:hint="default"/>
          <w:spacing w:val="-1"/>
          <w:sz w:val="22"/>
          <w:szCs w:val="22"/>
        </w:rPr>
        <w:t>资单位或被购买方可辨认净资产于取得日或购买日的公允价值份额的差额。因购买子公司少数股</w:t>
      </w:r>
      <w:r>
        <w:rPr>
          <w:rFonts w:ascii="楷体" w:hAnsi="楷体" w:cs="楷体" w:eastAsia="楷体" w:hint="default"/>
          <w:w w:val="99"/>
          <w:sz w:val="22"/>
          <w:szCs w:val="22"/>
        </w:rPr>
        <w:t> </w:t>
      </w:r>
      <w:r>
        <w:rPr>
          <w:rFonts w:ascii="楷体" w:hAnsi="楷体" w:cs="楷体" w:eastAsia="楷体" w:hint="default"/>
          <w:spacing w:val="-1"/>
          <w:sz w:val="22"/>
          <w:szCs w:val="22"/>
        </w:rPr>
        <w:t>东股权成本大于按照新增持股比例计算应享有自购买日（合并日）开始持续计算的应享有子公司</w:t>
      </w:r>
      <w:r>
        <w:rPr>
          <w:rFonts w:ascii="楷体" w:hAnsi="楷体" w:cs="楷体" w:eastAsia="楷体" w:hint="default"/>
          <w:w w:val="99"/>
          <w:sz w:val="22"/>
          <w:szCs w:val="22"/>
        </w:rPr>
        <w:t> </w:t>
      </w:r>
      <w:r>
        <w:rPr>
          <w:rFonts w:ascii="楷体" w:hAnsi="楷体" w:cs="楷体" w:eastAsia="楷体" w:hint="default"/>
          <w:sz w:val="22"/>
          <w:szCs w:val="22"/>
        </w:rPr>
        <w:t>可辨认净资产公允价值份额之间的差额，不确认商誉。</w:t>
      </w:r>
    </w:p>
    <w:p>
      <w:pPr>
        <w:spacing w:line="324" w:lineRule="auto" w:before="103"/>
        <w:ind w:left="138" w:right="142" w:firstLine="440"/>
        <w:jc w:val="both"/>
        <w:rPr>
          <w:rFonts w:ascii="楷体" w:hAnsi="楷体" w:cs="楷体" w:eastAsia="楷体" w:hint="default"/>
          <w:sz w:val="22"/>
          <w:szCs w:val="22"/>
        </w:rPr>
      </w:pPr>
      <w:r>
        <w:rPr>
          <w:rFonts w:ascii="楷体" w:hAnsi="楷体" w:cs="楷体" w:eastAsia="楷体" w:hint="default"/>
          <w:spacing w:val="-1"/>
          <w:sz w:val="22"/>
          <w:szCs w:val="22"/>
        </w:rPr>
        <w:t>与子公司有关的商誉在合并财务报表上以成本减累计减值准备单独列示，与联营企业和合营</w:t>
      </w:r>
      <w:r>
        <w:rPr>
          <w:rFonts w:ascii="楷体" w:hAnsi="楷体" w:cs="楷体" w:eastAsia="楷体" w:hint="default"/>
          <w:w w:val="99"/>
          <w:sz w:val="22"/>
          <w:szCs w:val="22"/>
        </w:rPr>
        <w:t> </w:t>
      </w:r>
      <w:r>
        <w:rPr>
          <w:rFonts w:ascii="楷体" w:hAnsi="楷体" w:cs="楷体" w:eastAsia="楷体" w:hint="default"/>
          <w:sz w:val="22"/>
          <w:szCs w:val="22"/>
        </w:rPr>
        <w:t>企业有关的商誉，包含在长期股权投资的账面价值中。</w:t>
      </w:r>
    </w:p>
    <w:p>
      <w:pPr>
        <w:spacing w:line="324" w:lineRule="auto" w:before="103"/>
        <w:ind w:left="138" w:right="142" w:firstLine="440"/>
        <w:jc w:val="both"/>
        <w:rPr>
          <w:rFonts w:ascii="楷体" w:hAnsi="楷体" w:cs="楷体" w:eastAsia="楷体" w:hint="default"/>
          <w:sz w:val="22"/>
          <w:szCs w:val="22"/>
        </w:rPr>
      </w:pPr>
      <w:r>
        <w:rPr>
          <w:rFonts w:ascii="楷体" w:hAnsi="楷体" w:cs="楷体" w:eastAsia="楷体" w:hint="default"/>
          <w:spacing w:val="-1"/>
          <w:sz w:val="22"/>
          <w:szCs w:val="22"/>
        </w:rPr>
        <w:t>在财务报表中单独列示的商誉至少每年进行减值测试。减值测试时，商誉的账面价值根据企</w:t>
      </w:r>
      <w:r>
        <w:rPr>
          <w:rFonts w:ascii="楷体" w:hAnsi="楷体" w:cs="楷体" w:eastAsia="楷体" w:hint="default"/>
          <w:w w:val="99"/>
          <w:sz w:val="22"/>
          <w:szCs w:val="22"/>
        </w:rPr>
        <w:t> </w:t>
      </w:r>
      <w:r>
        <w:rPr>
          <w:rFonts w:ascii="楷体" w:hAnsi="楷体" w:cs="楷体" w:eastAsia="楷体" w:hint="default"/>
          <w:sz w:val="22"/>
          <w:szCs w:val="22"/>
        </w:rPr>
        <w:t>业合并的协同效应分摊至受益的资产组或资产组组合。</w:t>
      </w:r>
    </w:p>
    <w:p>
      <w:pPr>
        <w:spacing w:line="369" w:lineRule="auto" w:before="103"/>
        <w:ind w:left="591" w:right="7542"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18</w:t>
      </w:r>
      <w:r>
        <w:rPr>
          <w:rFonts w:ascii="宋体" w:hAnsi="宋体" w:cs="宋体" w:eastAsia="宋体" w:hint="default"/>
          <w:b/>
          <w:bCs/>
          <w:sz w:val="22"/>
          <w:szCs w:val="22"/>
        </w:rPr>
        <w:t>．</w:t>
      </w:r>
      <w:r>
        <w:rPr>
          <w:rFonts w:ascii="黑体" w:hAnsi="黑体" w:cs="黑体" w:eastAsia="黑体" w:hint="default"/>
          <w:sz w:val="22"/>
          <w:szCs w:val="22"/>
        </w:rPr>
        <w:t>职工薪酬</w:t>
      </w:r>
      <w:r>
        <w:rPr>
          <w:rFonts w:ascii="黑体" w:hAnsi="黑体" w:cs="黑体" w:eastAsia="黑体" w:hint="default"/>
          <w:spacing w:val="-101"/>
          <w:sz w:val="22"/>
          <w:szCs w:val="22"/>
        </w:rPr>
        <w:t> </w:t>
      </w: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职工薪酬</w:t>
      </w:r>
    </w:p>
    <w:p>
      <w:pPr>
        <w:spacing w:line="324" w:lineRule="auto" w:before="32"/>
        <w:ind w:left="137" w:right="143" w:firstLine="440"/>
        <w:jc w:val="both"/>
        <w:rPr>
          <w:rFonts w:ascii="楷体" w:hAnsi="楷体" w:cs="楷体" w:eastAsia="楷体" w:hint="default"/>
          <w:sz w:val="22"/>
          <w:szCs w:val="22"/>
        </w:rPr>
      </w:pPr>
      <w:r>
        <w:rPr>
          <w:rFonts w:ascii="楷体" w:hAnsi="楷体" w:cs="楷体" w:eastAsia="楷体" w:hint="default"/>
          <w:spacing w:val="-1"/>
          <w:sz w:val="22"/>
          <w:szCs w:val="22"/>
        </w:rPr>
        <w:t>主要包括工资、奖金、津贴和补贴、职工福利费、社会保险费及住房公积金、工会经费和职</w:t>
      </w:r>
      <w:r>
        <w:rPr>
          <w:rFonts w:ascii="楷体" w:hAnsi="楷体" w:cs="楷体" w:eastAsia="楷体" w:hint="default"/>
          <w:w w:val="99"/>
          <w:sz w:val="22"/>
          <w:szCs w:val="22"/>
        </w:rPr>
        <w:t> </w:t>
      </w:r>
      <w:r>
        <w:rPr>
          <w:rFonts w:ascii="楷体" w:hAnsi="楷体" w:cs="楷体" w:eastAsia="楷体" w:hint="default"/>
          <w:sz w:val="22"/>
          <w:szCs w:val="22"/>
        </w:rPr>
        <w:t>工教育经费等其他与获得职工提供的服务相关的支出。</w:t>
      </w:r>
    </w:p>
    <w:p>
      <w:pPr>
        <w:spacing w:line="324" w:lineRule="auto" w:before="103"/>
        <w:ind w:left="137" w:right="143" w:firstLine="440"/>
        <w:jc w:val="both"/>
        <w:rPr>
          <w:rFonts w:ascii="楷体" w:hAnsi="楷体" w:cs="楷体" w:eastAsia="楷体" w:hint="default"/>
          <w:sz w:val="22"/>
          <w:szCs w:val="22"/>
        </w:rPr>
      </w:pPr>
      <w:r>
        <w:rPr>
          <w:rFonts w:ascii="楷体" w:hAnsi="楷体" w:cs="楷体" w:eastAsia="楷体" w:hint="default"/>
          <w:spacing w:val="-1"/>
          <w:sz w:val="22"/>
          <w:szCs w:val="22"/>
        </w:rPr>
        <w:t>本公司在职工提供服务的会计期间，将应付的职工薪酬确认为负债，并根据职工提供服务的</w:t>
      </w:r>
      <w:r>
        <w:rPr>
          <w:rFonts w:ascii="楷体" w:hAnsi="楷体" w:cs="楷体" w:eastAsia="楷体" w:hint="default"/>
          <w:w w:val="99"/>
          <w:sz w:val="22"/>
          <w:szCs w:val="22"/>
        </w:rPr>
        <w:t> </w:t>
      </w:r>
      <w:r>
        <w:rPr>
          <w:rFonts w:ascii="楷体" w:hAnsi="楷体" w:cs="楷体" w:eastAsia="楷体" w:hint="default"/>
          <w:sz w:val="22"/>
          <w:szCs w:val="22"/>
        </w:rPr>
        <w:t>受益对象计入相关资产成本和费用。因解除与职工的劳动关系而给予的补偿，计入当期损益。</w:t>
      </w:r>
    </w:p>
    <w:p>
      <w:pPr>
        <w:spacing w:line="369" w:lineRule="auto" w:before="103"/>
        <w:ind w:left="577" w:right="127" w:firstLine="1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楷体" w:hAnsi="楷体" w:cs="楷体" w:eastAsia="楷体" w:hint="default"/>
          <w:sz w:val="22"/>
          <w:szCs w:val="22"/>
        </w:rPr>
        <w:t>辞退福利</w:t>
      </w:r>
      <w:r>
        <w:rPr>
          <w:rFonts w:ascii="楷体" w:hAnsi="楷体" w:cs="楷体" w:eastAsia="楷体" w:hint="default"/>
          <w:w w:val="99"/>
          <w:sz w:val="22"/>
          <w:szCs w:val="22"/>
        </w:rPr>
        <w:t> </w:t>
      </w:r>
      <w:r>
        <w:rPr>
          <w:rFonts w:ascii="楷体" w:hAnsi="楷体" w:cs="楷体" w:eastAsia="楷体" w:hint="default"/>
          <w:spacing w:val="-1"/>
          <w:sz w:val="22"/>
          <w:szCs w:val="22"/>
        </w:rPr>
        <w:t>辞退福利是指因解除与职工的劳动关系而给予的补偿，包括本公司决定在职工劳动合同到期</w:t>
      </w:r>
    </w:p>
    <w:p>
      <w:pPr>
        <w:spacing w:line="271" w:lineRule="exact" w:before="0"/>
        <w:ind w:left="137" w:right="0" w:firstLine="0"/>
        <w:jc w:val="left"/>
        <w:rPr>
          <w:rFonts w:ascii="楷体" w:hAnsi="楷体" w:cs="楷体" w:eastAsia="楷体" w:hint="default"/>
          <w:sz w:val="22"/>
          <w:szCs w:val="22"/>
        </w:rPr>
      </w:pPr>
      <w:r>
        <w:rPr>
          <w:rFonts w:ascii="楷体" w:hAnsi="楷体" w:cs="楷体" w:eastAsia="楷体" w:hint="default"/>
          <w:sz w:val="22"/>
          <w:szCs w:val="22"/>
        </w:rPr>
        <w:t>前不论职工愿意与否，解除与职工的劳动关系给予的补偿；本公司在职工劳动合同到期前鼓励职</w:t>
      </w:r>
    </w:p>
    <w:p>
      <w:pPr>
        <w:spacing w:line="391" w:lineRule="auto" w:before="102"/>
        <w:ind w:left="577" w:right="2948" w:hanging="441"/>
        <w:jc w:val="left"/>
        <w:rPr>
          <w:rFonts w:ascii="楷体" w:hAnsi="楷体" w:cs="楷体" w:eastAsia="楷体" w:hint="default"/>
          <w:sz w:val="22"/>
          <w:szCs w:val="22"/>
        </w:rPr>
      </w:pPr>
      <w:r>
        <w:rPr>
          <w:rFonts w:ascii="楷体" w:hAnsi="楷体" w:cs="楷体" w:eastAsia="楷体" w:hint="default"/>
          <w:sz w:val="22"/>
          <w:szCs w:val="22"/>
        </w:rPr>
        <w:t>工自愿接受裁减而给予的补偿；以及本公司实施的内部退休计划。</w:t>
      </w:r>
      <w:r>
        <w:rPr>
          <w:rFonts w:ascii="楷体" w:hAnsi="楷体" w:cs="楷体" w:eastAsia="楷体" w:hint="default"/>
          <w:w w:val="99"/>
          <w:sz w:val="22"/>
          <w:szCs w:val="22"/>
        </w:rPr>
        <w:t> </w:t>
      </w:r>
      <w:r>
        <w:rPr>
          <w:rFonts w:ascii="楷体" w:hAnsi="楷体" w:cs="楷体" w:eastAsia="楷体" w:hint="default"/>
          <w:sz w:val="22"/>
          <w:szCs w:val="22"/>
        </w:rPr>
        <w:t>辞退福利的确认原则：</w:t>
      </w:r>
    </w:p>
    <w:p>
      <w:pPr>
        <w:spacing w:before="41"/>
        <w:ind w:left="705"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企业已经制定正式的解除劳动关系计划或提出自愿裁减建议，并即将实施；</w:t>
      </w:r>
    </w:p>
    <w:p>
      <w:pPr>
        <w:spacing w:line="369" w:lineRule="auto" w:before="163"/>
        <w:ind w:left="577" w:right="2246" w:firstLine="12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企业不能单方面撤回解除劳动关系计划或裁减建议。</w:t>
      </w:r>
      <w:r>
        <w:rPr>
          <w:rFonts w:ascii="楷体" w:hAnsi="楷体" w:cs="楷体" w:eastAsia="楷体" w:hint="default"/>
          <w:w w:val="99"/>
          <w:sz w:val="22"/>
          <w:szCs w:val="22"/>
        </w:rPr>
        <w:t> </w:t>
      </w:r>
      <w:r>
        <w:rPr>
          <w:rFonts w:ascii="楷体" w:hAnsi="楷体" w:cs="楷体" w:eastAsia="楷体" w:hint="default"/>
          <w:sz w:val="22"/>
          <w:szCs w:val="22"/>
        </w:rPr>
        <w:t>辞退福利的计量方法：</w:t>
      </w:r>
    </w:p>
    <w:p>
      <w:pPr>
        <w:spacing w:line="307" w:lineRule="auto" w:before="61"/>
        <w:ind w:left="137" w:right="143" w:firstLine="567"/>
        <w:jc w:val="both"/>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7"/>
          <w:sz w:val="22"/>
          <w:szCs w:val="22"/>
        </w:rPr>
        <w:t> </w:t>
      </w:r>
      <w:r>
        <w:rPr>
          <w:rFonts w:ascii="楷体" w:hAnsi="楷体" w:cs="楷体" w:eastAsia="楷体" w:hint="default"/>
          <w:sz w:val="22"/>
          <w:szCs w:val="22"/>
        </w:rPr>
        <w:t>对于职工没有选择权的辞退计划，根据计划条款规定拟解除劳动关系的职工数量、每一</w:t>
      </w:r>
      <w:r>
        <w:rPr>
          <w:rFonts w:ascii="楷体" w:hAnsi="楷体" w:cs="楷体" w:eastAsia="楷体" w:hint="default"/>
          <w:w w:val="99"/>
          <w:sz w:val="22"/>
          <w:szCs w:val="22"/>
        </w:rPr>
        <w:t> </w:t>
      </w:r>
      <w:r>
        <w:rPr>
          <w:rFonts w:ascii="楷体" w:hAnsi="楷体" w:cs="楷体" w:eastAsia="楷体" w:hint="default"/>
          <w:sz w:val="22"/>
          <w:szCs w:val="22"/>
        </w:rPr>
        <w:t>职工的辞退补偿等计提应付职工薪酬；</w:t>
      </w:r>
    </w:p>
    <w:p>
      <w:pPr>
        <w:spacing w:line="307" w:lineRule="auto" w:before="118"/>
        <w:ind w:left="137" w:right="143" w:firstLine="567"/>
        <w:jc w:val="both"/>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7"/>
          <w:sz w:val="22"/>
          <w:szCs w:val="22"/>
        </w:rPr>
        <w:t> </w:t>
      </w:r>
      <w:r>
        <w:rPr>
          <w:rFonts w:ascii="楷体" w:hAnsi="楷体" w:cs="楷体" w:eastAsia="楷体" w:hint="default"/>
          <w:sz w:val="22"/>
          <w:szCs w:val="22"/>
        </w:rPr>
        <w:t>对于自愿接受裁减的建议，首先预计将会接受裁减建议的职工数量，再根据预计的职工</w:t>
      </w:r>
      <w:r>
        <w:rPr>
          <w:rFonts w:ascii="楷体" w:hAnsi="楷体" w:cs="楷体" w:eastAsia="楷体" w:hint="default"/>
          <w:w w:val="99"/>
          <w:sz w:val="22"/>
          <w:szCs w:val="22"/>
        </w:rPr>
        <w:t> </w:t>
      </w:r>
      <w:r>
        <w:rPr>
          <w:rFonts w:ascii="楷体" w:hAnsi="楷体" w:cs="楷体" w:eastAsia="楷体" w:hint="default"/>
          <w:sz w:val="22"/>
          <w:szCs w:val="22"/>
        </w:rPr>
        <w:t>数量和每一职工的辞退补偿等计提应付职工薪酬。</w:t>
      </w:r>
    </w:p>
    <w:p>
      <w:pPr>
        <w:spacing w:before="118"/>
        <w:ind w:left="577" w:right="6555" w:firstLine="0"/>
        <w:jc w:val="left"/>
        <w:rPr>
          <w:rFonts w:ascii="楷体" w:hAnsi="楷体" w:cs="楷体" w:eastAsia="楷体" w:hint="default"/>
          <w:sz w:val="22"/>
          <w:szCs w:val="22"/>
        </w:rPr>
      </w:pPr>
      <w:r>
        <w:rPr>
          <w:rFonts w:ascii="楷体" w:hAnsi="楷体" w:cs="楷体" w:eastAsia="楷体" w:hint="default"/>
          <w:sz w:val="22"/>
          <w:szCs w:val="22"/>
        </w:rPr>
        <w:t>辞退福利的确认标准：</w:t>
      </w:r>
    </w:p>
    <w:p>
      <w:pPr>
        <w:spacing w:line="316" w:lineRule="auto" w:before="180"/>
        <w:ind w:left="137" w:right="142" w:firstLine="567"/>
        <w:jc w:val="both"/>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8"/>
          <w:sz w:val="22"/>
          <w:szCs w:val="22"/>
        </w:rPr>
        <w:t> </w:t>
      </w:r>
      <w:r>
        <w:rPr>
          <w:rFonts w:ascii="楷体" w:hAnsi="楷体" w:cs="楷体" w:eastAsia="楷体" w:hint="default"/>
          <w:sz w:val="22"/>
          <w:szCs w:val="22"/>
        </w:rPr>
        <w:t>对于分期或分阶段实施的解除劳动关系计划或自愿裁减建议，在每期或每阶段计划符合</w:t>
      </w:r>
      <w:r>
        <w:rPr>
          <w:rFonts w:ascii="楷体" w:hAnsi="楷体" w:cs="楷体" w:eastAsia="楷体" w:hint="default"/>
          <w:w w:val="99"/>
          <w:sz w:val="22"/>
          <w:szCs w:val="22"/>
        </w:rPr>
        <w:t> </w:t>
      </w:r>
      <w:r>
        <w:rPr>
          <w:rFonts w:ascii="楷体" w:hAnsi="楷体" w:cs="楷体" w:eastAsia="楷体" w:hint="default"/>
          <w:spacing w:val="-1"/>
          <w:sz w:val="22"/>
          <w:szCs w:val="22"/>
        </w:rPr>
        <w:t>预计负债确认条件时，将该期或该阶段计划中由提供辞退职工福利产生的预计负债予以确认，计</w:t>
      </w:r>
      <w:r>
        <w:rPr>
          <w:rFonts w:ascii="楷体" w:hAnsi="楷体" w:cs="楷体" w:eastAsia="楷体" w:hint="default"/>
          <w:w w:val="99"/>
          <w:sz w:val="22"/>
          <w:szCs w:val="22"/>
        </w:rPr>
        <w:t> </w:t>
      </w:r>
      <w:r>
        <w:rPr>
          <w:rFonts w:ascii="楷体" w:hAnsi="楷体" w:cs="楷体" w:eastAsia="楷体" w:hint="default"/>
          <w:sz w:val="22"/>
          <w:szCs w:val="22"/>
        </w:rPr>
        <w:t>入该部分计划满足预计负债确认条件的当期管理费用；</w:t>
      </w:r>
    </w:p>
    <w:p>
      <w:pPr>
        <w:spacing w:after="0" w:line="316" w:lineRule="auto"/>
        <w:jc w:val="both"/>
        <w:rPr>
          <w:rFonts w:ascii="楷体" w:hAnsi="楷体" w:cs="楷体" w:eastAsia="楷体" w:hint="default"/>
          <w:sz w:val="22"/>
          <w:szCs w:val="22"/>
        </w:rPr>
        <w:sectPr>
          <w:pgSz w:w="11910" w:h="16840"/>
          <w:pgMar w:header="610" w:footer="784" w:top="1080" w:bottom="9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line="316" w:lineRule="auto" w:before="31"/>
        <w:ind w:left="138" w:right="222" w:firstLine="567"/>
        <w:jc w:val="both"/>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7"/>
          <w:sz w:val="22"/>
          <w:szCs w:val="22"/>
        </w:rPr>
        <w:t> </w:t>
      </w:r>
      <w:r>
        <w:rPr>
          <w:rFonts w:ascii="楷体" w:hAnsi="楷体" w:cs="楷体" w:eastAsia="楷体" w:hint="default"/>
          <w:sz w:val="22"/>
          <w:szCs w:val="22"/>
        </w:rPr>
        <w:t>对于符合规定的内退计划，按照内退计划规定，将自职工停止提供服务日至正常退休日</w:t>
      </w:r>
      <w:r>
        <w:rPr>
          <w:rFonts w:ascii="楷体" w:hAnsi="楷体" w:cs="楷体" w:eastAsia="楷体" w:hint="default"/>
          <w:w w:val="99"/>
          <w:sz w:val="22"/>
          <w:szCs w:val="22"/>
        </w:rPr>
        <w:t> </w:t>
      </w:r>
      <w:r>
        <w:rPr>
          <w:rFonts w:ascii="楷体" w:hAnsi="楷体" w:cs="楷体" w:eastAsia="楷体" w:hint="default"/>
          <w:spacing w:val="-1"/>
          <w:sz w:val="22"/>
          <w:szCs w:val="22"/>
        </w:rPr>
        <w:t>之间期间、企业拟支付的内退人员工资和缴纳的社会保险费等，确认为预计负债，计入当期管理</w:t>
      </w:r>
      <w:r>
        <w:rPr>
          <w:rFonts w:ascii="楷体" w:hAnsi="楷体" w:cs="楷体" w:eastAsia="楷体" w:hint="default"/>
          <w:w w:val="99"/>
          <w:sz w:val="22"/>
          <w:szCs w:val="22"/>
        </w:rPr>
        <w:t> </w:t>
      </w:r>
      <w:r>
        <w:rPr>
          <w:rFonts w:ascii="楷体" w:hAnsi="楷体" w:cs="楷体" w:eastAsia="楷体" w:hint="default"/>
          <w:sz w:val="22"/>
          <w:szCs w:val="22"/>
        </w:rPr>
        <w:t>费用。</w:t>
      </w:r>
    </w:p>
    <w:p>
      <w:pPr>
        <w:spacing w:before="109"/>
        <w:ind w:left="592"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19</w:t>
      </w:r>
      <w:r>
        <w:rPr>
          <w:rFonts w:ascii="宋体" w:hAnsi="宋体" w:cs="宋体" w:eastAsia="宋体" w:hint="default"/>
          <w:b/>
          <w:bCs/>
          <w:sz w:val="22"/>
          <w:szCs w:val="22"/>
        </w:rPr>
        <w:t>．</w:t>
      </w:r>
      <w:r>
        <w:rPr>
          <w:rFonts w:ascii="黑体" w:hAnsi="黑体" w:cs="黑体" w:eastAsia="黑体" w:hint="default"/>
          <w:sz w:val="22"/>
          <w:szCs w:val="22"/>
        </w:rPr>
        <w:t>预计负债及或有负债</w:t>
      </w:r>
    </w:p>
    <w:p>
      <w:pPr>
        <w:spacing w:line="324" w:lineRule="auto" w:before="163"/>
        <w:ind w:left="138" w:right="86" w:firstLine="440"/>
        <w:jc w:val="left"/>
        <w:rPr>
          <w:rFonts w:ascii="楷体" w:hAnsi="楷体" w:cs="楷体" w:eastAsia="楷体" w:hint="default"/>
          <w:sz w:val="22"/>
          <w:szCs w:val="22"/>
        </w:rPr>
      </w:pPr>
      <w:r>
        <w:rPr>
          <w:rFonts w:ascii="楷体" w:hAnsi="楷体" w:cs="楷体" w:eastAsia="楷体" w:hint="default"/>
          <w:sz w:val="22"/>
          <w:szCs w:val="22"/>
        </w:rPr>
        <w:t>当与对外担保、未决诉讼或仲裁、产品质量保证、裁员计划、亏损合同、重组义务、固定资</w:t>
      </w:r>
      <w:r>
        <w:rPr>
          <w:rFonts w:ascii="楷体" w:hAnsi="楷体" w:cs="楷体" w:eastAsia="楷体" w:hint="default"/>
          <w:w w:val="99"/>
          <w:sz w:val="22"/>
          <w:szCs w:val="22"/>
        </w:rPr>
        <w:t> </w:t>
      </w:r>
      <w:r>
        <w:rPr>
          <w:rFonts w:ascii="楷体" w:hAnsi="楷体" w:cs="楷体" w:eastAsia="楷体" w:hint="default"/>
          <w:sz w:val="22"/>
          <w:szCs w:val="22"/>
        </w:rPr>
        <w:t>产弃置义务等或有事项相关的业务同时符合以下条件时，本公司将其确认为负债：该义务是本公</w:t>
      </w:r>
      <w:r>
        <w:rPr>
          <w:rFonts w:ascii="楷体" w:hAnsi="楷体" w:cs="楷体" w:eastAsia="楷体" w:hint="default"/>
          <w:w w:val="99"/>
          <w:sz w:val="22"/>
          <w:szCs w:val="22"/>
        </w:rPr>
        <w:t> </w:t>
      </w:r>
      <w:r>
        <w:rPr>
          <w:rFonts w:ascii="楷体" w:hAnsi="楷体" w:cs="楷体" w:eastAsia="楷体" w:hint="default"/>
          <w:spacing w:val="-4"/>
          <w:sz w:val="22"/>
          <w:szCs w:val="22"/>
        </w:rPr>
        <w:t>司承担的现时义务；该义务的履行很可能导致经济利益流出企业；该义务的金额能够可靠地计量；</w:t>
      </w:r>
      <w:r>
        <w:rPr>
          <w:rFonts w:ascii="楷体" w:hAnsi="楷体" w:cs="楷体" w:eastAsia="楷体" w:hint="default"/>
          <w:spacing w:val="-89"/>
          <w:sz w:val="22"/>
          <w:szCs w:val="22"/>
        </w:rPr>
        <w:t> </w:t>
      </w:r>
      <w:r>
        <w:rPr>
          <w:rFonts w:ascii="楷体" w:hAnsi="楷体" w:cs="楷体" w:eastAsia="楷体" w:hint="default"/>
          <w:spacing w:val="-89"/>
          <w:sz w:val="22"/>
          <w:szCs w:val="22"/>
        </w:rPr>
      </w:r>
      <w:r>
        <w:rPr>
          <w:rFonts w:ascii="楷体" w:hAnsi="楷体" w:cs="楷体" w:eastAsia="楷体" w:hint="default"/>
          <w:sz w:val="22"/>
          <w:szCs w:val="22"/>
        </w:rPr>
        <w:t>该义务是本公司承担的现时义务；该义务的履行很可能导致经济利益流出企业；该义务的金额能</w:t>
      </w:r>
      <w:r>
        <w:rPr>
          <w:rFonts w:ascii="楷体" w:hAnsi="楷体" w:cs="楷体" w:eastAsia="楷体" w:hint="default"/>
          <w:w w:val="99"/>
          <w:sz w:val="22"/>
          <w:szCs w:val="22"/>
        </w:rPr>
        <w:t> </w:t>
      </w:r>
      <w:r>
        <w:rPr>
          <w:rFonts w:ascii="楷体" w:hAnsi="楷体" w:cs="楷体" w:eastAsia="楷体" w:hint="default"/>
          <w:sz w:val="22"/>
          <w:szCs w:val="22"/>
        </w:rPr>
        <w:t>够可靠地计量。</w:t>
      </w:r>
    </w:p>
    <w:p>
      <w:pPr>
        <w:spacing w:line="324" w:lineRule="auto" w:before="103"/>
        <w:ind w:left="138" w:right="222" w:firstLine="440"/>
        <w:jc w:val="both"/>
        <w:rPr>
          <w:rFonts w:ascii="楷体" w:hAnsi="楷体" w:cs="楷体" w:eastAsia="楷体" w:hint="default"/>
          <w:sz w:val="22"/>
          <w:szCs w:val="22"/>
        </w:rPr>
      </w:pPr>
      <w:r>
        <w:rPr>
          <w:rFonts w:ascii="楷体" w:hAnsi="楷体" w:cs="楷体" w:eastAsia="楷体" w:hint="default"/>
          <w:spacing w:val="-1"/>
          <w:sz w:val="22"/>
          <w:szCs w:val="22"/>
        </w:rPr>
        <w:t>预计负债按照履行相关现时义务所需支出的最佳估计数进行初始计量，并综合考虑与或有事</w:t>
      </w:r>
      <w:r>
        <w:rPr>
          <w:rFonts w:ascii="楷体" w:hAnsi="楷体" w:cs="楷体" w:eastAsia="楷体" w:hint="default"/>
          <w:w w:val="99"/>
          <w:sz w:val="22"/>
          <w:szCs w:val="22"/>
        </w:rPr>
        <w:t> </w:t>
      </w:r>
      <w:r>
        <w:rPr>
          <w:rFonts w:ascii="楷体" w:hAnsi="楷体" w:cs="楷体" w:eastAsia="楷体" w:hint="default"/>
          <w:spacing w:val="-1"/>
          <w:sz w:val="22"/>
          <w:szCs w:val="22"/>
        </w:rPr>
        <w:t>项有关的风险、不确定性和货币时间价值等因素。货币时间价值影响重大的，通过对相关未来现</w:t>
      </w:r>
      <w:r>
        <w:rPr>
          <w:rFonts w:ascii="楷体" w:hAnsi="楷体" w:cs="楷体" w:eastAsia="楷体" w:hint="default"/>
          <w:w w:val="99"/>
          <w:sz w:val="22"/>
          <w:szCs w:val="22"/>
        </w:rPr>
        <w:t> </w:t>
      </w:r>
      <w:r>
        <w:rPr>
          <w:rFonts w:ascii="楷体" w:hAnsi="楷体" w:cs="楷体" w:eastAsia="楷体" w:hint="default"/>
          <w:spacing w:val="-1"/>
          <w:sz w:val="22"/>
          <w:szCs w:val="22"/>
        </w:rPr>
        <w:t>金流出进行折现后确定最佳估计数。于资产负债表日对预计负债的账面价值进行复核，如有改变</w:t>
      </w:r>
      <w:r>
        <w:rPr>
          <w:rFonts w:ascii="楷体" w:hAnsi="楷体" w:cs="楷体" w:eastAsia="楷体" w:hint="default"/>
          <w:w w:val="99"/>
          <w:sz w:val="22"/>
          <w:szCs w:val="22"/>
        </w:rPr>
        <w:t> </w:t>
      </w:r>
      <w:r>
        <w:rPr>
          <w:rFonts w:ascii="楷体" w:hAnsi="楷体" w:cs="楷体" w:eastAsia="楷体" w:hint="default"/>
          <w:sz w:val="22"/>
          <w:szCs w:val="22"/>
        </w:rPr>
        <w:t>则对账面价值进行调整以反映当前最佳估计数。</w:t>
      </w:r>
    </w:p>
    <w:p>
      <w:pPr>
        <w:spacing w:line="324" w:lineRule="auto" w:before="103"/>
        <w:ind w:left="137" w:right="223" w:firstLine="440"/>
        <w:jc w:val="both"/>
        <w:rPr>
          <w:rFonts w:ascii="楷体" w:hAnsi="楷体" w:cs="楷体" w:eastAsia="楷体" w:hint="default"/>
          <w:sz w:val="22"/>
          <w:szCs w:val="22"/>
        </w:rPr>
      </w:pPr>
      <w:r>
        <w:rPr>
          <w:rFonts w:ascii="楷体" w:hAnsi="楷体" w:cs="楷体" w:eastAsia="楷体" w:hint="default"/>
          <w:spacing w:val="-1"/>
          <w:sz w:val="22"/>
          <w:szCs w:val="22"/>
        </w:rPr>
        <w:t>对过去的交易或事项形成的潜在义务，其存在需通过未来不确定事项的发生或不发生予以证</w:t>
      </w:r>
      <w:r>
        <w:rPr>
          <w:rFonts w:ascii="楷体" w:hAnsi="楷体" w:cs="楷体" w:eastAsia="楷体" w:hint="default"/>
          <w:w w:val="99"/>
          <w:sz w:val="22"/>
          <w:szCs w:val="22"/>
        </w:rPr>
        <w:t> </w:t>
      </w:r>
      <w:r>
        <w:rPr>
          <w:rFonts w:ascii="楷体" w:hAnsi="楷体" w:cs="楷体" w:eastAsia="楷体" w:hint="default"/>
          <w:spacing w:val="-1"/>
          <w:sz w:val="22"/>
          <w:szCs w:val="22"/>
        </w:rPr>
        <w:t>实；或过去的交易或者事项形成的现时义务，履行该义务不是很可能导致经济利益流出本公司或</w:t>
      </w:r>
      <w:r>
        <w:rPr>
          <w:rFonts w:ascii="楷体" w:hAnsi="楷体" w:cs="楷体" w:eastAsia="楷体" w:hint="default"/>
          <w:w w:val="99"/>
          <w:sz w:val="22"/>
          <w:szCs w:val="22"/>
        </w:rPr>
        <w:t> </w:t>
      </w:r>
      <w:r>
        <w:rPr>
          <w:rFonts w:ascii="楷体" w:hAnsi="楷体" w:cs="楷体" w:eastAsia="楷体" w:hint="default"/>
          <w:sz w:val="22"/>
          <w:szCs w:val="22"/>
        </w:rPr>
        <w:t>该义务的金额不能可靠计量，则本公司会将该潜在义务或现时义务披露为或有负债。</w:t>
      </w:r>
    </w:p>
    <w:p>
      <w:pPr>
        <w:spacing w:before="103"/>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20</w:t>
      </w:r>
      <w:r>
        <w:rPr>
          <w:rFonts w:ascii="宋体" w:hAnsi="宋体" w:cs="宋体" w:eastAsia="宋体" w:hint="default"/>
          <w:b/>
          <w:bCs/>
          <w:sz w:val="22"/>
          <w:szCs w:val="22"/>
        </w:rPr>
        <w:t>．</w:t>
      </w:r>
      <w:r>
        <w:rPr>
          <w:rFonts w:ascii="黑体" w:hAnsi="黑体" w:cs="黑体" w:eastAsia="黑体" w:hint="default"/>
          <w:sz w:val="22"/>
          <w:szCs w:val="22"/>
        </w:rPr>
        <w:t>收入确认方法</w:t>
      </w:r>
    </w:p>
    <w:p>
      <w:pPr>
        <w:spacing w:line="324" w:lineRule="auto" w:before="163"/>
        <w:ind w:left="137" w:right="223" w:firstLine="440"/>
        <w:jc w:val="both"/>
        <w:rPr>
          <w:rFonts w:ascii="楷体" w:hAnsi="楷体" w:cs="楷体" w:eastAsia="楷体" w:hint="default"/>
          <w:sz w:val="22"/>
          <w:szCs w:val="22"/>
        </w:rPr>
      </w:pPr>
      <w:r>
        <w:rPr>
          <w:rFonts w:ascii="楷体" w:hAnsi="楷体" w:cs="楷体" w:eastAsia="楷体" w:hint="default"/>
          <w:spacing w:val="-1"/>
          <w:sz w:val="22"/>
          <w:szCs w:val="22"/>
        </w:rPr>
        <w:t>本公司的营业收入主要包括销售商品收入、提供劳务收入和让渡资产使用权收入。与交易相</w:t>
      </w:r>
      <w:r>
        <w:rPr>
          <w:rFonts w:ascii="楷体" w:hAnsi="楷体" w:cs="楷体" w:eastAsia="楷体" w:hint="default"/>
          <w:w w:val="99"/>
          <w:sz w:val="22"/>
          <w:szCs w:val="22"/>
        </w:rPr>
        <w:t> </w:t>
      </w:r>
      <w:r>
        <w:rPr>
          <w:rFonts w:ascii="楷体" w:hAnsi="楷体" w:cs="楷体" w:eastAsia="楷体" w:hint="default"/>
          <w:spacing w:val="-1"/>
          <w:sz w:val="22"/>
          <w:szCs w:val="22"/>
        </w:rPr>
        <w:t>关的经济利益能够流入本公司，相关的收入能够可靠计量且满足下列各项经营活动的特定收入确</w:t>
      </w:r>
      <w:r>
        <w:rPr>
          <w:rFonts w:ascii="楷体" w:hAnsi="楷体" w:cs="楷体" w:eastAsia="楷体" w:hint="default"/>
          <w:w w:val="99"/>
          <w:sz w:val="22"/>
          <w:szCs w:val="22"/>
        </w:rPr>
        <w:t> </w:t>
      </w:r>
      <w:r>
        <w:rPr>
          <w:rFonts w:ascii="楷体" w:hAnsi="楷体" w:cs="楷体" w:eastAsia="楷体" w:hint="default"/>
          <w:sz w:val="22"/>
          <w:szCs w:val="22"/>
        </w:rPr>
        <w:t>认标准时，确认相关的收入。</w:t>
      </w:r>
    </w:p>
    <w:p>
      <w:pPr>
        <w:spacing w:line="369" w:lineRule="auto" w:before="103"/>
        <w:ind w:left="577" w:right="207" w:firstLine="1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1"/>
          <w:sz w:val="22"/>
          <w:szCs w:val="22"/>
        </w:rPr>
        <w:t> </w:t>
      </w:r>
      <w:r>
        <w:rPr>
          <w:rFonts w:ascii="楷体" w:hAnsi="楷体" w:cs="楷体" w:eastAsia="楷体" w:hint="default"/>
          <w:sz w:val="22"/>
          <w:szCs w:val="22"/>
        </w:rPr>
        <w:t>销售商品收入</w:t>
      </w:r>
      <w:r>
        <w:rPr>
          <w:rFonts w:ascii="楷体" w:hAnsi="楷体" w:cs="楷体" w:eastAsia="楷体" w:hint="default"/>
          <w:w w:val="99"/>
          <w:sz w:val="22"/>
          <w:szCs w:val="22"/>
        </w:rPr>
        <w:t> </w:t>
      </w:r>
      <w:r>
        <w:rPr>
          <w:rFonts w:ascii="楷体" w:hAnsi="楷体" w:cs="楷体" w:eastAsia="楷体" w:hint="default"/>
          <w:spacing w:val="-1"/>
          <w:sz w:val="22"/>
          <w:szCs w:val="22"/>
        </w:rPr>
        <w:t>公司在商品所有权上的主要风险和报酬转移给买方、公司不再对该商品实施继续管理权和实</w:t>
      </w:r>
    </w:p>
    <w:p>
      <w:pPr>
        <w:spacing w:line="271" w:lineRule="exact" w:before="0"/>
        <w:ind w:left="137" w:right="86" w:firstLine="0"/>
        <w:jc w:val="left"/>
        <w:rPr>
          <w:rFonts w:ascii="楷体" w:hAnsi="楷体" w:cs="楷体" w:eastAsia="楷体" w:hint="default"/>
          <w:sz w:val="22"/>
          <w:szCs w:val="22"/>
        </w:rPr>
      </w:pPr>
      <w:r>
        <w:rPr>
          <w:rFonts w:ascii="楷体" w:hAnsi="楷体" w:cs="楷体" w:eastAsia="楷体" w:hint="default"/>
          <w:sz w:val="22"/>
          <w:szCs w:val="22"/>
        </w:rPr>
        <w:t>际控制权、与交易相关的经济利益能够流入企业、并且相关收入和成本能够可靠地计量时确认收</w:t>
      </w:r>
    </w:p>
    <w:p>
      <w:pPr>
        <w:spacing w:before="102"/>
        <w:ind w:left="137" w:right="213" w:firstLine="0"/>
        <w:jc w:val="left"/>
        <w:rPr>
          <w:rFonts w:ascii="楷体" w:hAnsi="楷体" w:cs="楷体" w:eastAsia="楷体" w:hint="default"/>
          <w:sz w:val="22"/>
          <w:szCs w:val="22"/>
        </w:rPr>
      </w:pPr>
      <w:r>
        <w:rPr>
          <w:rFonts w:ascii="楷体" w:hAnsi="楷体" w:cs="楷体" w:eastAsia="楷体" w:hint="default"/>
          <w:sz w:val="22"/>
          <w:szCs w:val="22"/>
        </w:rPr>
        <w:t>入的实现。</w:t>
      </w:r>
    </w:p>
    <w:p>
      <w:pPr>
        <w:spacing w:line="369" w:lineRule="auto" w:before="180"/>
        <w:ind w:left="577" w:right="207" w:firstLine="1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楷体" w:hAnsi="楷体" w:cs="楷体" w:eastAsia="楷体" w:hint="default"/>
          <w:sz w:val="22"/>
          <w:szCs w:val="22"/>
        </w:rPr>
        <w:t>提供劳务收入</w:t>
      </w:r>
      <w:r>
        <w:rPr>
          <w:rFonts w:ascii="楷体" w:hAnsi="楷体" w:cs="楷体" w:eastAsia="楷体" w:hint="default"/>
          <w:w w:val="99"/>
          <w:sz w:val="22"/>
          <w:szCs w:val="22"/>
        </w:rPr>
        <w:t> </w:t>
      </w:r>
      <w:r>
        <w:rPr>
          <w:rFonts w:ascii="楷体" w:hAnsi="楷体" w:cs="楷体" w:eastAsia="楷体" w:hint="default"/>
          <w:spacing w:val="-1"/>
          <w:sz w:val="22"/>
          <w:szCs w:val="22"/>
        </w:rPr>
        <w:t>提供劳务在同一年度内开始并完成的，应当在完成劳务时确认收入。如劳务的开始和完成分</w:t>
      </w:r>
    </w:p>
    <w:p>
      <w:pPr>
        <w:spacing w:line="271" w:lineRule="exact" w:before="0"/>
        <w:ind w:left="137" w:right="86" w:firstLine="0"/>
        <w:jc w:val="left"/>
        <w:rPr>
          <w:rFonts w:ascii="楷体" w:hAnsi="楷体" w:cs="楷体" w:eastAsia="楷体" w:hint="default"/>
          <w:sz w:val="22"/>
          <w:szCs w:val="22"/>
        </w:rPr>
      </w:pPr>
      <w:r>
        <w:rPr>
          <w:rFonts w:ascii="楷体" w:hAnsi="楷体" w:cs="楷体" w:eastAsia="楷体" w:hint="default"/>
          <w:sz w:val="22"/>
          <w:szCs w:val="22"/>
        </w:rPr>
        <w:t>属不同的会计年度，在提供劳务交易的结果能够可靠估计的情况下，公司在资产负债表日按完工</w:t>
      </w:r>
    </w:p>
    <w:p>
      <w:pPr>
        <w:spacing w:line="324" w:lineRule="auto" w:before="102"/>
        <w:ind w:left="137" w:right="209" w:firstLine="0"/>
        <w:jc w:val="left"/>
        <w:rPr>
          <w:rFonts w:ascii="楷体" w:hAnsi="楷体" w:cs="楷体" w:eastAsia="楷体" w:hint="default"/>
          <w:sz w:val="22"/>
          <w:szCs w:val="22"/>
        </w:rPr>
      </w:pPr>
      <w:r>
        <w:rPr>
          <w:rFonts w:ascii="楷体" w:hAnsi="楷体" w:cs="楷体" w:eastAsia="楷体" w:hint="default"/>
          <w:spacing w:val="-1"/>
          <w:sz w:val="22"/>
          <w:szCs w:val="22"/>
        </w:rPr>
        <w:t>百分比法确认相关的劳务收入；在提供劳务交易的结果不能可靠估计的情况下，公司在资产负债</w:t>
      </w:r>
      <w:r>
        <w:rPr>
          <w:rFonts w:ascii="楷体" w:hAnsi="楷体" w:cs="楷体" w:eastAsia="楷体" w:hint="default"/>
          <w:w w:val="99"/>
          <w:sz w:val="22"/>
          <w:szCs w:val="22"/>
        </w:rPr>
        <w:t> </w:t>
      </w:r>
      <w:r>
        <w:rPr>
          <w:rFonts w:ascii="楷体" w:hAnsi="楷体" w:cs="楷体" w:eastAsia="楷体" w:hint="default"/>
          <w:sz w:val="22"/>
          <w:szCs w:val="22"/>
        </w:rPr>
        <w:t>表日对收入分别以下情况予以确认和计量：</w:t>
      </w:r>
    </w:p>
    <w:p>
      <w:pPr>
        <w:spacing w:line="307" w:lineRule="auto" w:before="103"/>
        <w:ind w:left="137" w:right="224" w:firstLine="567"/>
        <w:jc w:val="both"/>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7"/>
          <w:sz w:val="22"/>
          <w:szCs w:val="22"/>
        </w:rPr>
        <w:t> </w:t>
      </w:r>
      <w:r>
        <w:rPr>
          <w:rFonts w:ascii="楷体" w:hAnsi="楷体" w:cs="楷体" w:eastAsia="楷体" w:hint="default"/>
          <w:sz w:val="22"/>
          <w:szCs w:val="22"/>
        </w:rPr>
        <w:t>如果已经发生的劳务成本预计能够得到补偿，按已经发生的劳务成本金额确认收入，并</w:t>
      </w:r>
      <w:r>
        <w:rPr>
          <w:rFonts w:ascii="楷体" w:hAnsi="楷体" w:cs="楷体" w:eastAsia="楷体" w:hint="default"/>
          <w:w w:val="99"/>
          <w:sz w:val="22"/>
          <w:szCs w:val="22"/>
        </w:rPr>
        <w:t> </w:t>
      </w:r>
      <w:r>
        <w:rPr>
          <w:rFonts w:ascii="楷体" w:hAnsi="楷体" w:cs="楷体" w:eastAsia="楷体" w:hint="default"/>
          <w:sz w:val="22"/>
          <w:szCs w:val="22"/>
        </w:rPr>
        <w:t>按相同金额结转成本；</w:t>
      </w:r>
    </w:p>
    <w:p>
      <w:pPr>
        <w:spacing w:before="118"/>
        <w:ind w:left="704" w:right="8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3"/>
          <w:sz w:val="22"/>
          <w:szCs w:val="22"/>
        </w:rPr>
        <w:t> </w:t>
      </w:r>
      <w:r>
        <w:rPr>
          <w:rFonts w:ascii="楷体" w:hAnsi="楷体" w:cs="楷体" w:eastAsia="楷体" w:hint="default"/>
          <w:sz w:val="22"/>
          <w:szCs w:val="22"/>
        </w:rPr>
        <w:t>如果已经发生的劳务成本预计不能全部得到补偿，按能够得到补偿的劳务成本金额确认</w:t>
      </w:r>
    </w:p>
    <w:p>
      <w:pPr>
        <w:spacing w:after="0"/>
        <w:jc w:val="left"/>
        <w:rPr>
          <w:rFonts w:ascii="楷体" w:hAnsi="楷体" w:cs="楷体" w:eastAsia="楷体" w:hint="default"/>
          <w:sz w:val="22"/>
          <w:szCs w:val="22"/>
        </w:rPr>
        <w:sectPr>
          <w:pgSz w:w="11910" w:h="16840"/>
          <w:pgMar w:header="610" w:footer="784" w:top="1080" w:bottom="980" w:left="1280" w:right="106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line="324" w:lineRule="auto" w:before="31"/>
        <w:ind w:left="138" w:right="166" w:firstLine="0"/>
        <w:jc w:val="left"/>
        <w:rPr>
          <w:rFonts w:ascii="楷体" w:hAnsi="楷体" w:cs="楷体" w:eastAsia="楷体" w:hint="default"/>
          <w:sz w:val="22"/>
          <w:szCs w:val="22"/>
        </w:rPr>
      </w:pPr>
      <w:r>
        <w:rPr>
          <w:rFonts w:ascii="楷体" w:hAnsi="楷体" w:cs="楷体" w:eastAsia="楷体" w:hint="default"/>
          <w:sz w:val="22"/>
          <w:szCs w:val="22"/>
        </w:rPr>
        <w:t>收入，并按已经发生的劳务成本，结转当期成本，确认的金额小于已经发生的劳务成本的差额，</w:t>
      </w:r>
      <w:r>
        <w:rPr>
          <w:rFonts w:ascii="楷体" w:hAnsi="楷体" w:cs="楷体" w:eastAsia="楷体" w:hint="default"/>
          <w:w w:val="99"/>
          <w:sz w:val="22"/>
          <w:szCs w:val="22"/>
        </w:rPr>
        <w:t> </w:t>
      </w:r>
      <w:r>
        <w:rPr>
          <w:rFonts w:ascii="楷体" w:hAnsi="楷体" w:cs="楷体" w:eastAsia="楷体" w:hint="default"/>
          <w:sz w:val="22"/>
          <w:szCs w:val="22"/>
        </w:rPr>
        <w:t>作为当期损失；</w:t>
      </w:r>
    </w:p>
    <w:p>
      <w:pPr>
        <w:spacing w:line="307" w:lineRule="auto" w:before="103"/>
        <w:ind w:left="138" w:right="86"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43"/>
          <w:sz w:val="22"/>
          <w:szCs w:val="22"/>
        </w:rPr>
        <w:t> </w:t>
      </w:r>
      <w:r>
        <w:rPr>
          <w:rFonts w:ascii="楷体" w:hAnsi="楷体" w:cs="楷体" w:eastAsia="楷体" w:hint="default"/>
          <w:sz w:val="22"/>
          <w:szCs w:val="22"/>
        </w:rPr>
        <w:t>如果已经发生的劳务成本全部不能得到补偿，应按已经发生的劳务成本作为当期费用，</w:t>
      </w:r>
      <w:r>
        <w:rPr>
          <w:rFonts w:ascii="楷体" w:hAnsi="楷体" w:cs="楷体" w:eastAsia="楷体" w:hint="default"/>
          <w:w w:val="99"/>
          <w:sz w:val="22"/>
          <w:szCs w:val="22"/>
        </w:rPr>
        <w:t> </w:t>
      </w:r>
      <w:r>
        <w:rPr>
          <w:rFonts w:ascii="楷体" w:hAnsi="楷体" w:cs="楷体" w:eastAsia="楷体" w:hint="default"/>
          <w:sz w:val="22"/>
          <w:szCs w:val="22"/>
        </w:rPr>
        <w:t>不确认收入。</w:t>
      </w:r>
    </w:p>
    <w:p>
      <w:pPr>
        <w:spacing w:line="369" w:lineRule="auto" w:before="118"/>
        <w:ind w:left="578" w:right="206" w:firstLine="1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31"/>
          <w:sz w:val="22"/>
          <w:szCs w:val="22"/>
        </w:rPr>
        <w:t> </w:t>
      </w:r>
      <w:r>
        <w:rPr>
          <w:rFonts w:ascii="楷体" w:hAnsi="楷体" w:cs="楷体" w:eastAsia="楷体" w:hint="default"/>
          <w:sz w:val="22"/>
          <w:szCs w:val="22"/>
        </w:rPr>
        <w:t>让渡资产使用权收入</w:t>
      </w:r>
      <w:r>
        <w:rPr>
          <w:rFonts w:ascii="楷体" w:hAnsi="楷体" w:cs="楷体" w:eastAsia="楷体" w:hint="default"/>
          <w:w w:val="99"/>
          <w:sz w:val="22"/>
          <w:szCs w:val="22"/>
        </w:rPr>
        <w:t> </w:t>
      </w:r>
      <w:r>
        <w:rPr>
          <w:rFonts w:ascii="楷体" w:hAnsi="楷体" w:cs="楷体" w:eastAsia="楷体" w:hint="default"/>
          <w:spacing w:val="-1"/>
          <w:sz w:val="22"/>
          <w:szCs w:val="22"/>
        </w:rPr>
        <w:t>以与交易相关的经济利益能够流入本公司，收入的金额能够可靠地计量时，确认让渡资产使</w:t>
      </w:r>
    </w:p>
    <w:p>
      <w:pPr>
        <w:spacing w:line="271" w:lineRule="exact" w:before="0"/>
        <w:ind w:left="138" w:right="213" w:firstLine="0"/>
        <w:jc w:val="left"/>
        <w:rPr>
          <w:rFonts w:ascii="楷体" w:hAnsi="楷体" w:cs="楷体" w:eastAsia="楷体" w:hint="default"/>
          <w:sz w:val="22"/>
          <w:szCs w:val="22"/>
        </w:rPr>
      </w:pPr>
      <w:r>
        <w:rPr>
          <w:rFonts w:ascii="楷体" w:hAnsi="楷体" w:cs="楷体" w:eastAsia="楷体" w:hint="default"/>
          <w:sz w:val="22"/>
          <w:szCs w:val="22"/>
        </w:rPr>
        <w:t>用权收入的实现。</w:t>
      </w:r>
    </w:p>
    <w:p>
      <w:pPr>
        <w:spacing w:before="180"/>
        <w:ind w:left="705" w:right="213"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利息收入按照他人使用本公司货币资金的时间和实际利率计算确定；</w:t>
      </w:r>
    </w:p>
    <w:p>
      <w:pPr>
        <w:spacing w:before="163"/>
        <w:ind w:left="705" w:right="213"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使用费收入按照有关合同或协议约定的收费时间和方法计算确定；</w:t>
      </w:r>
    </w:p>
    <w:p>
      <w:pPr>
        <w:spacing w:before="163"/>
        <w:ind w:left="705" w:right="213"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经营租赁收入按照直线法在租赁期内确认。</w:t>
      </w:r>
    </w:p>
    <w:p>
      <w:pPr>
        <w:spacing w:before="163"/>
        <w:ind w:left="591" w:right="213"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8"/>
          <w:sz w:val="22"/>
          <w:szCs w:val="22"/>
        </w:rPr>
        <w:t> </w:t>
      </w:r>
      <w:r>
        <w:rPr>
          <w:rFonts w:ascii="楷体" w:hAnsi="楷体" w:cs="楷体" w:eastAsia="楷体" w:hint="default"/>
          <w:sz w:val="22"/>
          <w:szCs w:val="22"/>
        </w:rPr>
        <w:t>建造合同收入参见附注四、</w:t>
      </w:r>
      <w:r>
        <w:rPr>
          <w:rFonts w:ascii="Times New Roman" w:hAnsi="Times New Roman" w:cs="Times New Roman" w:eastAsia="Times New Roman" w:hint="default"/>
          <w:sz w:val="22"/>
          <w:szCs w:val="22"/>
        </w:rPr>
        <w:t>21</w:t>
      </w:r>
      <w:r>
        <w:rPr>
          <w:rFonts w:ascii="楷体" w:hAnsi="楷体" w:cs="楷体" w:eastAsia="楷体" w:hint="default"/>
          <w:sz w:val="22"/>
          <w:szCs w:val="22"/>
        </w:rPr>
        <w:t>。</w:t>
      </w:r>
    </w:p>
    <w:p>
      <w:pPr>
        <w:spacing w:before="163"/>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21</w:t>
      </w:r>
      <w:r>
        <w:rPr>
          <w:rFonts w:ascii="宋体" w:hAnsi="宋体" w:cs="宋体" w:eastAsia="宋体" w:hint="default"/>
          <w:b/>
          <w:bCs/>
          <w:sz w:val="22"/>
          <w:szCs w:val="22"/>
        </w:rPr>
        <w:t>．</w:t>
      </w:r>
      <w:r>
        <w:rPr>
          <w:rFonts w:ascii="黑体" w:hAnsi="黑体" w:cs="黑体" w:eastAsia="黑体" w:hint="default"/>
          <w:sz w:val="22"/>
          <w:szCs w:val="22"/>
        </w:rPr>
        <w:t>建造合同</w:t>
      </w:r>
    </w:p>
    <w:p>
      <w:pPr>
        <w:spacing w:line="324" w:lineRule="auto" w:before="163"/>
        <w:ind w:left="137" w:right="223" w:firstLine="440"/>
        <w:jc w:val="both"/>
        <w:rPr>
          <w:rFonts w:ascii="楷体" w:hAnsi="楷体" w:cs="楷体" w:eastAsia="楷体" w:hint="default"/>
          <w:sz w:val="22"/>
          <w:szCs w:val="22"/>
        </w:rPr>
      </w:pPr>
      <w:r>
        <w:rPr>
          <w:rFonts w:ascii="楷体" w:hAnsi="楷体" w:cs="楷体" w:eastAsia="楷体" w:hint="default"/>
          <w:spacing w:val="4"/>
          <w:sz w:val="22"/>
          <w:szCs w:val="22"/>
        </w:rPr>
        <w:t>建造合同的结果能够可靠估计的，于资产负债表日按完工百分比法确认合同收入和合同费</w:t>
      </w:r>
      <w:r>
        <w:rPr>
          <w:rFonts w:ascii="楷体" w:hAnsi="楷体" w:cs="楷体" w:eastAsia="楷体" w:hint="default"/>
          <w:w w:val="99"/>
          <w:sz w:val="22"/>
          <w:szCs w:val="22"/>
        </w:rPr>
        <w:t> </w:t>
      </w:r>
      <w:r>
        <w:rPr>
          <w:rFonts w:ascii="楷体" w:hAnsi="楷体" w:cs="楷体" w:eastAsia="楷体" w:hint="default"/>
          <w:spacing w:val="-1"/>
          <w:sz w:val="22"/>
          <w:szCs w:val="22"/>
        </w:rPr>
        <w:t>用；在建造合同的结果不能可靠地估计时，如果合同成本能够收回的，合同收入根据能够收回的</w:t>
      </w:r>
      <w:r>
        <w:rPr>
          <w:rFonts w:ascii="楷体" w:hAnsi="楷体" w:cs="楷体" w:eastAsia="楷体" w:hint="default"/>
          <w:w w:val="99"/>
          <w:sz w:val="22"/>
          <w:szCs w:val="22"/>
        </w:rPr>
        <w:t> </w:t>
      </w:r>
      <w:r>
        <w:rPr>
          <w:rFonts w:ascii="楷体" w:hAnsi="楷体" w:cs="楷体" w:eastAsia="楷体" w:hint="default"/>
          <w:spacing w:val="-1"/>
          <w:sz w:val="22"/>
          <w:szCs w:val="22"/>
        </w:rPr>
        <w:t>实际合同成本加以确认，合同成本在其发生的当期确认为费用。如果合同成本不可能收回的，应</w:t>
      </w:r>
      <w:r>
        <w:rPr>
          <w:rFonts w:ascii="楷体" w:hAnsi="楷体" w:cs="楷体" w:eastAsia="楷体" w:hint="default"/>
          <w:w w:val="99"/>
          <w:sz w:val="22"/>
          <w:szCs w:val="22"/>
        </w:rPr>
        <w:t> </w:t>
      </w:r>
      <w:r>
        <w:rPr>
          <w:rFonts w:ascii="楷体" w:hAnsi="楷体" w:cs="楷体" w:eastAsia="楷体" w:hint="default"/>
          <w:sz w:val="22"/>
          <w:szCs w:val="22"/>
        </w:rPr>
        <w:t>在发生时立即确认为费用，不确认收入。</w:t>
      </w:r>
    </w:p>
    <w:p>
      <w:pPr>
        <w:spacing w:before="103"/>
        <w:ind w:left="578" w:right="213" w:firstLine="0"/>
        <w:jc w:val="left"/>
        <w:rPr>
          <w:rFonts w:ascii="楷体" w:hAnsi="楷体" w:cs="楷体" w:eastAsia="楷体" w:hint="default"/>
          <w:sz w:val="22"/>
          <w:szCs w:val="22"/>
        </w:rPr>
      </w:pPr>
      <w:r>
        <w:rPr>
          <w:rFonts w:ascii="楷体" w:hAnsi="楷体" w:cs="楷体" w:eastAsia="楷体" w:hint="default"/>
          <w:sz w:val="22"/>
          <w:szCs w:val="22"/>
        </w:rPr>
        <w:t>合同预计总成本将超过合同预计总收入时，将预计损失确认为当期费用。</w:t>
      </w:r>
    </w:p>
    <w:p>
      <w:pPr>
        <w:spacing w:before="180"/>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pacing w:val="2"/>
          <w:sz w:val="22"/>
          <w:szCs w:val="22"/>
        </w:rPr>
        <w:t>22</w:t>
      </w:r>
      <w:r>
        <w:rPr>
          <w:rFonts w:ascii="宋体" w:hAnsi="宋体" w:cs="宋体" w:eastAsia="宋体" w:hint="default"/>
          <w:b/>
          <w:bCs/>
          <w:spacing w:val="2"/>
          <w:sz w:val="22"/>
          <w:szCs w:val="22"/>
        </w:rPr>
        <w:t>．</w:t>
      </w:r>
      <w:r>
        <w:rPr>
          <w:rFonts w:ascii="黑体" w:hAnsi="黑体" w:cs="黑体" w:eastAsia="黑体" w:hint="default"/>
          <w:spacing w:val="2"/>
          <w:sz w:val="22"/>
          <w:szCs w:val="22"/>
        </w:rPr>
        <w:t>租赁</w:t>
      </w:r>
    </w:p>
    <w:p>
      <w:pPr>
        <w:spacing w:line="324" w:lineRule="auto" w:before="163"/>
        <w:ind w:left="137" w:right="207" w:firstLine="440"/>
        <w:jc w:val="left"/>
        <w:rPr>
          <w:rFonts w:ascii="楷体" w:hAnsi="楷体" w:cs="楷体" w:eastAsia="楷体" w:hint="default"/>
          <w:sz w:val="22"/>
          <w:szCs w:val="22"/>
        </w:rPr>
      </w:pPr>
      <w:r>
        <w:rPr>
          <w:rFonts w:ascii="楷体" w:hAnsi="楷体" w:cs="楷体" w:eastAsia="楷体" w:hint="default"/>
          <w:spacing w:val="-1"/>
          <w:sz w:val="22"/>
          <w:szCs w:val="22"/>
        </w:rPr>
        <w:t>本公司租赁分为经营租赁和融资租赁。实质上转移了与资产所有权有关的全部风险和报酬的</w:t>
      </w:r>
      <w:r>
        <w:rPr>
          <w:rFonts w:ascii="楷体" w:hAnsi="楷体" w:cs="楷体" w:eastAsia="楷体" w:hint="default"/>
          <w:w w:val="99"/>
          <w:sz w:val="22"/>
          <w:szCs w:val="22"/>
        </w:rPr>
        <w:t> </w:t>
      </w:r>
      <w:r>
        <w:rPr>
          <w:rFonts w:ascii="楷体" w:hAnsi="楷体" w:cs="楷体" w:eastAsia="楷体" w:hint="default"/>
          <w:sz w:val="22"/>
          <w:szCs w:val="22"/>
        </w:rPr>
        <w:t>租赁为融资租赁。其他的租赁为经营租赁。</w:t>
      </w:r>
    </w:p>
    <w:p>
      <w:pPr>
        <w:spacing w:line="391" w:lineRule="auto" w:before="103"/>
        <w:ind w:left="578" w:right="213" w:firstLine="0"/>
        <w:jc w:val="left"/>
        <w:rPr>
          <w:rFonts w:ascii="楷体" w:hAnsi="楷体" w:cs="楷体" w:eastAsia="楷体" w:hint="default"/>
          <w:sz w:val="22"/>
          <w:szCs w:val="22"/>
        </w:rPr>
      </w:pPr>
      <w:r>
        <w:rPr>
          <w:rFonts w:ascii="楷体" w:hAnsi="楷体" w:cs="楷体" w:eastAsia="楷体" w:hint="default"/>
          <w:sz w:val="22"/>
          <w:szCs w:val="22"/>
        </w:rPr>
        <w:t>经营租赁的租金支出在租赁期内按照直线法计入相关资产成本或当期损益。</w:t>
      </w:r>
      <w:r>
        <w:rPr>
          <w:rFonts w:ascii="楷体" w:hAnsi="楷体" w:cs="楷体" w:eastAsia="楷体" w:hint="default"/>
          <w:w w:val="99"/>
          <w:sz w:val="22"/>
          <w:szCs w:val="22"/>
        </w:rPr>
        <w:t> </w:t>
      </w:r>
      <w:r>
        <w:rPr>
          <w:rFonts w:ascii="楷体" w:hAnsi="楷体" w:cs="楷体" w:eastAsia="楷体" w:hint="default"/>
          <w:spacing w:val="4"/>
          <w:sz w:val="22"/>
          <w:szCs w:val="22"/>
        </w:rPr>
        <w:t>融资租赁按租赁资产的公允价值与最低租赁付款额的现值两者中较低者作为租入资产的入</w:t>
      </w:r>
    </w:p>
    <w:p>
      <w:pPr>
        <w:spacing w:line="251" w:lineRule="exact" w:before="0"/>
        <w:ind w:left="137" w:right="86" w:firstLine="0"/>
        <w:jc w:val="left"/>
        <w:rPr>
          <w:rFonts w:ascii="楷体" w:hAnsi="楷体" w:cs="楷体" w:eastAsia="楷体" w:hint="default"/>
          <w:sz w:val="22"/>
          <w:szCs w:val="22"/>
        </w:rPr>
      </w:pPr>
      <w:r>
        <w:rPr>
          <w:rFonts w:ascii="楷体" w:hAnsi="楷体" w:cs="楷体" w:eastAsia="楷体" w:hint="default"/>
          <w:sz w:val="22"/>
          <w:szCs w:val="22"/>
        </w:rPr>
        <w:t>账价值，租入资产的入账价值与最低租赁付款额之间的差额为未确认融资费用，在租赁期内按实</w:t>
      </w:r>
    </w:p>
    <w:p>
      <w:pPr>
        <w:spacing w:line="379" w:lineRule="auto" w:before="102"/>
        <w:ind w:left="578" w:right="206" w:hanging="441"/>
        <w:jc w:val="left"/>
        <w:rPr>
          <w:rFonts w:ascii="楷体" w:hAnsi="楷体" w:cs="楷体" w:eastAsia="楷体" w:hint="default"/>
          <w:sz w:val="22"/>
          <w:szCs w:val="22"/>
        </w:rPr>
      </w:pPr>
      <w:r>
        <w:rPr>
          <w:rFonts w:ascii="楷体" w:hAnsi="楷体" w:cs="楷体" w:eastAsia="楷体" w:hint="default"/>
          <w:sz w:val="22"/>
          <w:szCs w:val="22"/>
        </w:rPr>
        <w:t>际利率法摊销。最低租赁付款额扣除未确认融资费用后的余额以长期应付款列示。</w:t>
      </w:r>
      <w:r>
        <w:rPr>
          <w:rFonts w:ascii="楷体" w:hAnsi="楷体" w:cs="楷体" w:eastAsia="楷体" w:hint="default"/>
          <w:w w:val="99"/>
          <w:sz w:val="22"/>
          <w:szCs w:val="22"/>
        </w:rPr>
        <w:t> </w:t>
      </w:r>
      <w:r>
        <w:rPr>
          <w:rFonts w:ascii="Times New Roman" w:hAnsi="Times New Roman" w:cs="Times New Roman" w:eastAsia="Times New Roman" w:hint="default"/>
          <w:b/>
          <w:bCs/>
          <w:sz w:val="22"/>
          <w:szCs w:val="22"/>
        </w:rPr>
        <w:t>23</w:t>
      </w:r>
      <w:r>
        <w:rPr>
          <w:rFonts w:ascii="宋体" w:hAnsi="宋体" w:cs="宋体" w:eastAsia="宋体" w:hint="default"/>
          <w:b/>
          <w:bCs/>
          <w:sz w:val="22"/>
          <w:szCs w:val="22"/>
        </w:rPr>
        <w:t>．</w:t>
      </w:r>
      <w:r>
        <w:rPr>
          <w:rFonts w:ascii="黑体" w:hAnsi="黑体" w:cs="黑体" w:eastAsia="黑体" w:hint="default"/>
          <w:sz w:val="22"/>
          <w:szCs w:val="22"/>
        </w:rPr>
        <w:t>政府补助</w:t>
      </w:r>
      <w:r>
        <w:rPr>
          <w:rFonts w:ascii="黑体" w:hAnsi="黑体" w:cs="黑体" w:eastAsia="黑体" w:hint="default"/>
          <w:w w:val="99"/>
          <w:sz w:val="22"/>
          <w:szCs w:val="22"/>
        </w:rPr>
        <w:t> </w:t>
      </w:r>
      <w:r>
        <w:rPr>
          <w:rFonts w:ascii="楷体" w:hAnsi="楷体" w:cs="楷体" w:eastAsia="楷体" w:hint="default"/>
          <w:spacing w:val="-1"/>
          <w:sz w:val="22"/>
          <w:szCs w:val="22"/>
        </w:rPr>
        <w:t>政府补助在本公司能够满足其所附的条件以及能够收到时，予以确认。政府补助为货币性资</w:t>
      </w:r>
    </w:p>
    <w:p>
      <w:pPr>
        <w:spacing w:line="262" w:lineRule="exact" w:before="0"/>
        <w:ind w:left="137" w:right="86" w:firstLine="0"/>
        <w:jc w:val="left"/>
        <w:rPr>
          <w:rFonts w:ascii="楷体" w:hAnsi="楷体" w:cs="楷体" w:eastAsia="楷体" w:hint="default"/>
          <w:sz w:val="22"/>
          <w:szCs w:val="22"/>
        </w:rPr>
      </w:pPr>
      <w:r>
        <w:rPr>
          <w:rFonts w:ascii="楷体" w:hAnsi="楷体" w:cs="楷体" w:eastAsia="楷体" w:hint="default"/>
          <w:sz w:val="22"/>
          <w:szCs w:val="22"/>
        </w:rPr>
        <w:t>产的，按照实际收到的金额计量；对于按照固定的定额标准拨付的补助，按照应收的金额计量。</w:t>
      </w:r>
    </w:p>
    <w:p>
      <w:pPr>
        <w:spacing w:line="307" w:lineRule="auto" w:before="102"/>
        <w:ind w:left="137" w:right="213" w:firstLine="0"/>
        <w:jc w:val="left"/>
        <w:rPr>
          <w:rFonts w:ascii="楷体" w:hAnsi="楷体" w:cs="楷体" w:eastAsia="楷体" w:hint="default"/>
          <w:sz w:val="22"/>
          <w:szCs w:val="22"/>
        </w:rPr>
      </w:pPr>
      <w:r>
        <w:rPr>
          <w:rFonts w:ascii="楷体" w:hAnsi="楷体" w:cs="楷体" w:eastAsia="楷体" w:hint="default"/>
          <w:sz w:val="22"/>
          <w:szCs w:val="22"/>
        </w:rPr>
        <w:t>政府补助为非货币性资产的，按照公允价值计量；公允价值不能可靠取得的，按照名义金额（</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元）计量。</w:t>
      </w:r>
    </w:p>
    <w:p>
      <w:pPr>
        <w:spacing w:line="324" w:lineRule="auto" w:before="118"/>
        <w:ind w:left="137" w:right="86" w:firstLine="440"/>
        <w:jc w:val="left"/>
        <w:rPr>
          <w:rFonts w:ascii="楷体" w:hAnsi="楷体" w:cs="楷体" w:eastAsia="楷体" w:hint="default"/>
          <w:sz w:val="22"/>
          <w:szCs w:val="22"/>
        </w:rPr>
      </w:pPr>
      <w:r>
        <w:rPr>
          <w:rFonts w:ascii="楷体" w:hAnsi="楷体" w:cs="楷体" w:eastAsia="楷体" w:hint="default"/>
          <w:spacing w:val="-4"/>
          <w:sz w:val="22"/>
          <w:szCs w:val="22"/>
        </w:rPr>
        <w:t>与资产相关的政府补助确认为递延收益，并在相关资产使用寿命内平均分配，计入当期损益。</w:t>
      </w:r>
      <w:r>
        <w:rPr>
          <w:rFonts w:ascii="楷体" w:hAnsi="楷体" w:cs="楷体" w:eastAsia="楷体" w:hint="default"/>
          <w:w w:val="99"/>
          <w:sz w:val="22"/>
          <w:szCs w:val="22"/>
        </w:rPr>
        <w:t> </w:t>
      </w:r>
      <w:r>
        <w:rPr>
          <w:rFonts w:ascii="楷体" w:hAnsi="楷体" w:cs="楷体" w:eastAsia="楷体" w:hint="default"/>
          <w:sz w:val="22"/>
          <w:szCs w:val="22"/>
        </w:rPr>
        <w:t>与收益相关的政府补助，用于补偿本公司以后期间的相关费用或损失的，确认为递延收益，并在</w:t>
      </w:r>
    </w:p>
    <w:p>
      <w:pPr>
        <w:spacing w:after="0" w:line="324" w:lineRule="auto"/>
        <w:jc w:val="left"/>
        <w:rPr>
          <w:rFonts w:ascii="楷体" w:hAnsi="楷体" w:cs="楷体" w:eastAsia="楷体" w:hint="default"/>
          <w:sz w:val="22"/>
          <w:szCs w:val="22"/>
        </w:rPr>
        <w:sectPr>
          <w:pgSz w:w="11910" w:h="16840"/>
          <w:pgMar w:header="610" w:footer="784" w:top="1080" w:bottom="980" w:left="1280" w:right="106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line="324" w:lineRule="auto" w:before="31"/>
        <w:ind w:left="138" w:right="208" w:firstLine="0"/>
        <w:jc w:val="left"/>
        <w:rPr>
          <w:rFonts w:ascii="楷体" w:hAnsi="楷体" w:cs="楷体" w:eastAsia="楷体" w:hint="default"/>
          <w:sz w:val="22"/>
          <w:szCs w:val="22"/>
        </w:rPr>
      </w:pPr>
      <w:r>
        <w:rPr>
          <w:rFonts w:ascii="楷体" w:hAnsi="楷体" w:cs="楷体" w:eastAsia="楷体" w:hint="default"/>
          <w:spacing w:val="-1"/>
          <w:sz w:val="22"/>
          <w:szCs w:val="22"/>
        </w:rPr>
        <w:t>确认相关费用的期间，计入当期损益；用于补偿本公司已发生的相关费用或损失的，直接计入当</w:t>
      </w:r>
      <w:r>
        <w:rPr>
          <w:rFonts w:ascii="楷体" w:hAnsi="楷体" w:cs="楷体" w:eastAsia="楷体" w:hint="default"/>
          <w:w w:val="99"/>
          <w:sz w:val="22"/>
          <w:szCs w:val="22"/>
        </w:rPr>
        <w:t> </w:t>
      </w:r>
      <w:r>
        <w:rPr>
          <w:rFonts w:ascii="楷体" w:hAnsi="楷体" w:cs="楷体" w:eastAsia="楷体" w:hint="default"/>
          <w:sz w:val="22"/>
          <w:szCs w:val="22"/>
        </w:rPr>
        <w:t>期损益。</w:t>
      </w:r>
    </w:p>
    <w:p>
      <w:pPr>
        <w:spacing w:before="103"/>
        <w:ind w:left="592"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24</w:t>
      </w:r>
      <w:r>
        <w:rPr>
          <w:rFonts w:ascii="宋体" w:hAnsi="宋体" w:cs="宋体" w:eastAsia="宋体" w:hint="default"/>
          <w:b/>
          <w:bCs/>
          <w:sz w:val="22"/>
          <w:szCs w:val="22"/>
        </w:rPr>
        <w:t>．</w:t>
      </w:r>
      <w:r>
        <w:rPr>
          <w:rFonts w:ascii="黑体" w:hAnsi="黑体" w:cs="黑体" w:eastAsia="黑体" w:hint="default"/>
          <w:sz w:val="22"/>
          <w:szCs w:val="22"/>
        </w:rPr>
        <w:t>递延所得税资产和递延所得税负债</w:t>
      </w:r>
    </w:p>
    <w:p>
      <w:pPr>
        <w:spacing w:line="324" w:lineRule="auto" w:before="163"/>
        <w:ind w:left="138" w:right="86" w:firstLine="440"/>
        <w:jc w:val="left"/>
        <w:rPr>
          <w:rFonts w:ascii="楷体" w:hAnsi="楷体" w:cs="楷体" w:eastAsia="楷体" w:hint="default"/>
          <w:sz w:val="22"/>
          <w:szCs w:val="22"/>
        </w:rPr>
      </w:pPr>
      <w:r>
        <w:rPr>
          <w:rFonts w:ascii="楷体" w:hAnsi="楷体" w:cs="楷体" w:eastAsia="楷体" w:hint="default"/>
          <w:sz w:val="22"/>
          <w:szCs w:val="22"/>
        </w:rPr>
        <w:t>递延所得税资产和递延所得税负债根据资产和负债的计税基础与其账面价值的差额（暂时性</w:t>
      </w:r>
      <w:r>
        <w:rPr>
          <w:rFonts w:ascii="楷体" w:hAnsi="楷体" w:cs="楷体" w:eastAsia="楷体" w:hint="default"/>
          <w:w w:val="99"/>
          <w:sz w:val="22"/>
          <w:szCs w:val="22"/>
        </w:rPr>
        <w:t> </w:t>
      </w:r>
      <w:r>
        <w:rPr>
          <w:rFonts w:ascii="楷体" w:hAnsi="楷体" w:cs="楷体" w:eastAsia="楷体" w:hint="default"/>
          <w:spacing w:val="-4"/>
          <w:sz w:val="22"/>
          <w:szCs w:val="22"/>
        </w:rPr>
        <w:t>差异）计算确认。对于按照税法规定能够于以后年度抵减应纳税所得额的可抵扣亏损和税款抵减，</w:t>
      </w:r>
      <w:r>
        <w:rPr>
          <w:rFonts w:ascii="楷体" w:hAnsi="楷体" w:cs="楷体" w:eastAsia="楷体" w:hint="default"/>
          <w:spacing w:val="-94"/>
          <w:sz w:val="22"/>
          <w:szCs w:val="22"/>
        </w:rPr>
        <w:t> </w:t>
      </w:r>
      <w:r>
        <w:rPr>
          <w:rFonts w:ascii="楷体" w:hAnsi="楷体" w:cs="楷体" w:eastAsia="楷体" w:hint="default"/>
          <w:spacing w:val="-94"/>
          <w:sz w:val="22"/>
          <w:szCs w:val="22"/>
        </w:rPr>
      </w:r>
      <w:r>
        <w:rPr>
          <w:rFonts w:ascii="楷体" w:hAnsi="楷体" w:cs="楷体" w:eastAsia="楷体" w:hint="default"/>
          <w:sz w:val="22"/>
          <w:szCs w:val="22"/>
        </w:rPr>
        <w:t>视同暂时性差异确认相应的递延所得税资产。于资产负债表日，递延所得税资产和递延所得税负</w:t>
      </w:r>
      <w:r>
        <w:rPr>
          <w:rFonts w:ascii="楷体" w:hAnsi="楷体" w:cs="楷体" w:eastAsia="楷体" w:hint="default"/>
          <w:w w:val="99"/>
          <w:sz w:val="22"/>
          <w:szCs w:val="22"/>
        </w:rPr>
        <w:t> </w:t>
      </w:r>
      <w:r>
        <w:rPr>
          <w:rFonts w:ascii="楷体" w:hAnsi="楷体" w:cs="楷体" w:eastAsia="楷体" w:hint="default"/>
          <w:sz w:val="22"/>
          <w:szCs w:val="22"/>
        </w:rPr>
        <w:t>债，按照预期收回该资产或清偿该负债期间的适用税率计量。</w:t>
      </w:r>
    </w:p>
    <w:p>
      <w:pPr>
        <w:spacing w:line="324" w:lineRule="auto" w:before="103"/>
        <w:ind w:left="138" w:right="222" w:firstLine="440"/>
        <w:jc w:val="both"/>
        <w:rPr>
          <w:rFonts w:ascii="楷体" w:hAnsi="楷体" w:cs="楷体" w:eastAsia="楷体" w:hint="default"/>
          <w:sz w:val="22"/>
          <w:szCs w:val="22"/>
        </w:rPr>
      </w:pPr>
      <w:r>
        <w:rPr>
          <w:rFonts w:ascii="楷体" w:hAnsi="楷体" w:cs="楷体" w:eastAsia="楷体" w:hint="default"/>
          <w:spacing w:val="-1"/>
          <w:sz w:val="22"/>
          <w:szCs w:val="22"/>
        </w:rPr>
        <w:t>本公司以很可能取得用来抵扣可抵扣暂时性差异的应纳税所得额为限，确认由可抵扣暂时性</w:t>
      </w:r>
      <w:r>
        <w:rPr>
          <w:rFonts w:ascii="楷体" w:hAnsi="楷体" w:cs="楷体" w:eastAsia="楷体" w:hint="default"/>
          <w:w w:val="99"/>
          <w:sz w:val="22"/>
          <w:szCs w:val="22"/>
        </w:rPr>
        <w:t> </w:t>
      </w:r>
      <w:r>
        <w:rPr>
          <w:rFonts w:ascii="楷体" w:hAnsi="楷体" w:cs="楷体" w:eastAsia="楷体" w:hint="default"/>
          <w:spacing w:val="-1"/>
          <w:sz w:val="22"/>
          <w:szCs w:val="22"/>
        </w:rPr>
        <w:t>差异产生的递延所得税资产。对已确认的递延所得税资产，当预计到未来期间很可能无法获得足</w:t>
      </w:r>
      <w:r>
        <w:rPr>
          <w:rFonts w:ascii="楷体" w:hAnsi="楷体" w:cs="楷体" w:eastAsia="楷体" w:hint="default"/>
          <w:w w:val="99"/>
          <w:sz w:val="22"/>
          <w:szCs w:val="22"/>
        </w:rPr>
        <w:t> </w:t>
      </w:r>
      <w:r>
        <w:rPr>
          <w:rFonts w:ascii="楷体" w:hAnsi="楷体" w:cs="楷体" w:eastAsia="楷体" w:hint="default"/>
          <w:spacing w:val="-1"/>
          <w:sz w:val="22"/>
          <w:szCs w:val="22"/>
        </w:rPr>
        <w:t>够的应纳税所得额用以抵扣递延所得税资产时，应当减记递延所得税资产的账面价值。在很可能</w:t>
      </w:r>
      <w:r>
        <w:rPr>
          <w:rFonts w:ascii="楷体" w:hAnsi="楷体" w:cs="楷体" w:eastAsia="楷体" w:hint="default"/>
          <w:w w:val="99"/>
          <w:sz w:val="22"/>
          <w:szCs w:val="22"/>
        </w:rPr>
        <w:t> </w:t>
      </w:r>
      <w:r>
        <w:rPr>
          <w:rFonts w:ascii="楷体" w:hAnsi="楷体" w:cs="楷体" w:eastAsia="楷体" w:hint="default"/>
          <w:sz w:val="22"/>
          <w:szCs w:val="22"/>
        </w:rPr>
        <w:t>获得足够的应纳税所得额时，减记的金额予以转回。</w:t>
      </w:r>
    </w:p>
    <w:p>
      <w:pPr>
        <w:spacing w:line="324" w:lineRule="auto" w:before="103"/>
        <w:ind w:left="138" w:right="221" w:firstLine="440"/>
        <w:jc w:val="both"/>
        <w:rPr>
          <w:rFonts w:ascii="楷体" w:hAnsi="楷体" w:cs="楷体" w:eastAsia="楷体" w:hint="default"/>
          <w:sz w:val="22"/>
          <w:szCs w:val="22"/>
        </w:rPr>
      </w:pPr>
      <w:r>
        <w:rPr>
          <w:rFonts w:ascii="楷体" w:hAnsi="楷体" w:cs="楷体" w:eastAsia="楷体" w:hint="default"/>
          <w:spacing w:val="-1"/>
          <w:sz w:val="22"/>
          <w:szCs w:val="22"/>
        </w:rPr>
        <w:t>如果不属于企业合并交易且交易发生时既不影响会计利润也不影响应纳税所得额（或可抵扣</w:t>
      </w:r>
      <w:r>
        <w:rPr>
          <w:rFonts w:ascii="楷体" w:hAnsi="楷体" w:cs="楷体" w:eastAsia="楷体" w:hint="default"/>
          <w:w w:val="99"/>
          <w:sz w:val="22"/>
          <w:szCs w:val="22"/>
        </w:rPr>
        <w:t> </w:t>
      </w:r>
      <w:r>
        <w:rPr>
          <w:rFonts w:ascii="楷体" w:hAnsi="楷体" w:cs="楷体" w:eastAsia="楷体" w:hint="default"/>
          <w:spacing w:val="-1"/>
          <w:w w:val="99"/>
          <w:sz w:val="22"/>
          <w:szCs w:val="22"/>
        </w:rPr>
        <w:t>亏损），则该项交易中产生的相关暂时性差异不会产生递延所得税。商誉的初始确认导致的暂时</w:t>
      </w:r>
      <w:r>
        <w:rPr>
          <w:rFonts w:ascii="楷体" w:hAnsi="楷体" w:cs="楷体" w:eastAsia="楷体" w:hint="default"/>
          <w:spacing w:val="-105"/>
          <w:w w:val="99"/>
          <w:sz w:val="22"/>
          <w:szCs w:val="22"/>
        </w:rPr>
        <w:t> </w:t>
      </w:r>
      <w:r>
        <w:rPr>
          <w:rFonts w:ascii="楷体" w:hAnsi="楷体" w:cs="楷体" w:eastAsia="楷体" w:hint="default"/>
          <w:spacing w:val="-105"/>
          <w:w w:val="99"/>
          <w:sz w:val="22"/>
          <w:szCs w:val="22"/>
        </w:rPr>
      </w:r>
      <w:r>
        <w:rPr>
          <w:rFonts w:ascii="楷体" w:hAnsi="楷体" w:cs="楷体" w:eastAsia="楷体" w:hint="default"/>
          <w:sz w:val="22"/>
          <w:szCs w:val="22"/>
        </w:rPr>
        <w:t>性差异不产生相关的递延所得税。</w:t>
      </w:r>
    </w:p>
    <w:p>
      <w:pPr>
        <w:spacing w:line="324" w:lineRule="auto" w:before="103"/>
        <w:ind w:left="138" w:right="217" w:firstLine="440"/>
        <w:jc w:val="both"/>
        <w:rPr>
          <w:rFonts w:ascii="楷体" w:hAnsi="楷体" w:cs="楷体" w:eastAsia="楷体" w:hint="default"/>
          <w:sz w:val="22"/>
          <w:szCs w:val="22"/>
        </w:rPr>
      </w:pPr>
      <w:r>
        <w:rPr>
          <w:rFonts w:ascii="楷体" w:hAnsi="楷体" w:cs="楷体" w:eastAsia="楷体" w:hint="default"/>
          <w:spacing w:val="-1"/>
          <w:sz w:val="22"/>
          <w:szCs w:val="22"/>
        </w:rPr>
        <w:t>资产负债表日，递延所得税资产及递延所得税负债在同时满足以下条件时以抵销后的净额列</w:t>
      </w:r>
      <w:r>
        <w:rPr>
          <w:rFonts w:ascii="楷体" w:hAnsi="楷体" w:cs="楷体" w:eastAsia="楷体" w:hint="default"/>
          <w:w w:val="99"/>
          <w:sz w:val="22"/>
          <w:szCs w:val="22"/>
        </w:rPr>
        <w:t> </w:t>
      </w:r>
      <w:r>
        <w:rPr>
          <w:rFonts w:ascii="楷体" w:hAnsi="楷体" w:cs="楷体" w:eastAsia="楷体" w:hint="default"/>
          <w:spacing w:val="-1"/>
          <w:sz w:val="22"/>
          <w:szCs w:val="22"/>
        </w:rPr>
        <w:t>示：纳税主体拥有以净额结算当期所得税资产及当期所得税负债的法定权利；递延所得税资产及</w:t>
      </w:r>
      <w:r>
        <w:rPr>
          <w:rFonts w:ascii="楷体" w:hAnsi="楷体" w:cs="楷体" w:eastAsia="楷体" w:hint="default"/>
          <w:w w:val="99"/>
          <w:sz w:val="22"/>
          <w:szCs w:val="22"/>
        </w:rPr>
        <w:t> </w:t>
      </w:r>
      <w:r>
        <w:rPr>
          <w:rFonts w:ascii="楷体" w:hAnsi="楷体" w:cs="楷体" w:eastAsia="楷体" w:hint="default"/>
          <w:spacing w:val="4"/>
          <w:sz w:val="22"/>
          <w:szCs w:val="22"/>
        </w:rPr>
        <w:t>递延所得税负债是与同一税收征管部门对同一纳税主体征收的所得税相关或者是对不同的纳税</w:t>
      </w:r>
      <w:r>
        <w:rPr>
          <w:rFonts w:ascii="楷体" w:hAnsi="楷体" w:cs="楷体" w:eastAsia="楷体" w:hint="default"/>
          <w:spacing w:val="6"/>
          <w:w w:val="99"/>
          <w:sz w:val="22"/>
          <w:szCs w:val="22"/>
        </w:rPr>
        <w:t> </w:t>
      </w:r>
      <w:r>
        <w:rPr>
          <w:rFonts w:ascii="楷体" w:hAnsi="楷体" w:cs="楷体" w:eastAsia="楷体" w:hint="default"/>
          <w:spacing w:val="-1"/>
          <w:sz w:val="22"/>
          <w:szCs w:val="22"/>
        </w:rPr>
        <w:t>主体相关，但在未来每一具有重要性的递延所得税资产及负债转回的期间内，涉及的纳税主体意</w:t>
      </w:r>
      <w:r>
        <w:rPr>
          <w:rFonts w:ascii="楷体" w:hAnsi="楷体" w:cs="楷体" w:eastAsia="楷体" w:hint="default"/>
          <w:w w:val="99"/>
          <w:sz w:val="22"/>
          <w:szCs w:val="22"/>
        </w:rPr>
        <w:t> </w:t>
      </w:r>
      <w:r>
        <w:rPr>
          <w:rFonts w:ascii="楷体" w:hAnsi="楷体" w:cs="楷体" w:eastAsia="楷体" w:hint="default"/>
          <w:sz w:val="22"/>
          <w:szCs w:val="22"/>
        </w:rPr>
        <w:t>图以净额结算当期所得税资产和负债或是同时取得资产、清偿负债。</w:t>
      </w:r>
    </w:p>
    <w:p>
      <w:pPr>
        <w:spacing w:before="103"/>
        <w:ind w:left="592"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25</w:t>
      </w:r>
      <w:r>
        <w:rPr>
          <w:rFonts w:ascii="宋体" w:hAnsi="宋体" w:cs="宋体" w:eastAsia="宋体" w:hint="default"/>
          <w:b/>
          <w:bCs/>
          <w:sz w:val="22"/>
          <w:szCs w:val="22"/>
        </w:rPr>
        <w:t>．</w:t>
      </w:r>
      <w:r>
        <w:rPr>
          <w:rFonts w:ascii="黑体" w:hAnsi="黑体" w:cs="黑体" w:eastAsia="黑体" w:hint="default"/>
          <w:sz w:val="22"/>
          <w:szCs w:val="22"/>
        </w:rPr>
        <w:t>所得税的会计核算</w:t>
      </w:r>
    </w:p>
    <w:p>
      <w:pPr>
        <w:spacing w:line="324" w:lineRule="auto" w:before="163"/>
        <w:ind w:left="138" w:right="222" w:firstLine="440"/>
        <w:jc w:val="both"/>
        <w:rPr>
          <w:rFonts w:ascii="楷体" w:hAnsi="楷体" w:cs="楷体" w:eastAsia="楷体" w:hint="default"/>
          <w:sz w:val="22"/>
          <w:szCs w:val="22"/>
        </w:rPr>
      </w:pPr>
      <w:r>
        <w:rPr>
          <w:rFonts w:ascii="楷体" w:hAnsi="楷体" w:cs="楷体" w:eastAsia="楷体" w:hint="default"/>
          <w:spacing w:val="4"/>
          <w:sz w:val="22"/>
          <w:szCs w:val="22"/>
        </w:rPr>
        <w:t>本公司所得税的会计核算采用资产负债表债务法。所得税费用包括当期所得税和递延所得</w:t>
      </w:r>
      <w:r>
        <w:rPr>
          <w:rFonts w:ascii="楷体" w:hAnsi="楷体" w:cs="楷体" w:eastAsia="楷体" w:hint="default"/>
          <w:w w:val="99"/>
          <w:sz w:val="22"/>
          <w:szCs w:val="22"/>
        </w:rPr>
        <w:t> </w:t>
      </w:r>
      <w:r>
        <w:rPr>
          <w:rFonts w:ascii="楷体" w:hAnsi="楷体" w:cs="楷体" w:eastAsia="楷体" w:hint="default"/>
          <w:spacing w:val="-1"/>
          <w:sz w:val="22"/>
          <w:szCs w:val="22"/>
        </w:rPr>
        <w:t>税。将与直接计入股东权益的交易和事项相关的当期所得税和递延所得税计入股东权益，以及企</w:t>
      </w:r>
      <w:r>
        <w:rPr>
          <w:rFonts w:ascii="楷体" w:hAnsi="楷体" w:cs="楷体" w:eastAsia="楷体" w:hint="default"/>
          <w:w w:val="99"/>
          <w:sz w:val="22"/>
          <w:szCs w:val="22"/>
        </w:rPr>
        <w:t> </w:t>
      </w:r>
      <w:r>
        <w:rPr>
          <w:rFonts w:ascii="楷体" w:hAnsi="楷体" w:cs="楷体" w:eastAsia="楷体" w:hint="default"/>
          <w:spacing w:val="-1"/>
          <w:sz w:val="22"/>
          <w:szCs w:val="22"/>
        </w:rPr>
        <w:t>业合并产生的递延所得税调整商誉的账面价值外，其余的当期所得税和递延所得税费用或收益计</w:t>
      </w:r>
      <w:r>
        <w:rPr>
          <w:rFonts w:ascii="楷体" w:hAnsi="楷体" w:cs="楷体" w:eastAsia="楷体" w:hint="default"/>
          <w:w w:val="99"/>
          <w:sz w:val="22"/>
          <w:szCs w:val="22"/>
        </w:rPr>
        <w:t> </w:t>
      </w:r>
      <w:r>
        <w:rPr>
          <w:rFonts w:ascii="楷体" w:hAnsi="楷体" w:cs="楷体" w:eastAsia="楷体" w:hint="default"/>
          <w:sz w:val="22"/>
          <w:szCs w:val="22"/>
        </w:rPr>
        <w:t>入当期损益。</w:t>
      </w:r>
    </w:p>
    <w:p>
      <w:pPr>
        <w:spacing w:line="324" w:lineRule="auto" w:before="103"/>
        <w:ind w:left="137" w:right="222" w:firstLine="440"/>
        <w:jc w:val="both"/>
        <w:rPr>
          <w:rFonts w:ascii="楷体" w:hAnsi="楷体" w:cs="楷体" w:eastAsia="楷体" w:hint="default"/>
          <w:sz w:val="22"/>
          <w:szCs w:val="22"/>
        </w:rPr>
      </w:pPr>
      <w:r>
        <w:rPr>
          <w:rFonts w:ascii="楷体" w:hAnsi="楷体" w:cs="楷体" w:eastAsia="楷体" w:hint="default"/>
          <w:spacing w:val="-1"/>
          <w:sz w:val="22"/>
          <w:szCs w:val="22"/>
        </w:rPr>
        <w:t>当期所得税费用是指企业按照税务规定计算确定的针对当期发生的交易和事项，应纳给税务</w:t>
      </w:r>
      <w:r>
        <w:rPr>
          <w:rFonts w:ascii="楷体" w:hAnsi="楷体" w:cs="楷体" w:eastAsia="楷体" w:hint="default"/>
          <w:w w:val="99"/>
          <w:sz w:val="22"/>
          <w:szCs w:val="22"/>
        </w:rPr>
        <w:t> </w:t>
      </w:r>
      <w:r>
        <w:rPr>
          <w:rFonts w:ascii="楷体" w:hAnsi="楷体" w:cs="楷体" w:eastAsia="楷体" w:hint="default"/>
          <w:spacing w:val="-1"/>
          <w:sz w:val="22"/>
          <w:szCs w:val="22"/>
        </w:rPr>
        <w:t>部门的金额，即应交所得税；递延所得税是指按照资产负债表债务法应予确认的递延所得税资产</w:t>
      </w:r>
      <w:r>
        <w:rPr>
          <w:rFonts w:ascii="楷体" w:hAnsi="楷体" w:cs="楷体" w:eastAsia="楷体" w:hint="default"/>
          <w:w w:val="99"/>
          <w:sz w:val="22"/>
          <w:szCs w:val="22"/>
        </w:rPr>
        <w:t> </w:t>
      </w:r>
      <w:r>
        <w:rPr>
          <w:rFonts w:ascii="楷体" w:hAnsi="楷体" w:cs="楷体" w:eastAsia="楷体" w:hint="default"/>
          <w:sz w:val="22"/>
          <w:szCs w:val="22"/>
        </w:rPr>
        <w:t>和递延所得税负债在期末应有的金额相对于原已确认金额之间的差额。</w:t>
      </w:r>
    </w:p>
    <w:p>
      <w:pPr>
        <w:spacing w:before="103"/>
        <w:ind w:left="591" w:right="213"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26</w:t>
      </w:r>
      <w:r>
        <w:rPr>
          <w:rFonts w:ascii="宋体" w:hAnsi="宋体" w:cs="宋体" w:eastAsia="宋体" w:hint="default"/>
          <w:b/>
          <w:bCs/>
          <w:sz w:val="22"/>
          <w:szCs w:val="22"/>
        </w:rPr>
        <w:t>．</w:t>
      </w:r>
      <w:r>
        <w:rPr>
          <w:rFonts w:ascii="黑体" w:hAnsi="黑体" w:cs="黑体" w:eastAsia="黑体" w:hint="default"/>
          <w:sz w:val="22"/>
          <w:szCs w:val="22"/>
        </w:rPr>
        <w:t>企业合并</w:t>
      </w:r>
    </w:p>
    <w:p>
      <w:pPr>
        <w:spacing w:line="324" w:lineRule="auto" w:before="163"/>
        <w:ind w:left="137" w:right="223" w:firstLine="440"/>
        <w:jc w:val="both"/>
        <w:rPr>
          <w:rFonts w:ascii="楷体" w:hAnsi="楷体" w:cs="楷体" w:eastAsia="楷体" w:hint="default"/>
          <w:sz w:val="22"/>
          <w:szCs w:val="22"/>
        </w:rPr>
      </w:pPr>
      <w:r>
        <w:rPr>
          <w:rFonts w:ascii="楷体" w:hAnsi="楷体" w:cs="楷体" w:eastAsia="楷体" w:hint="default"/>
          <w:spacing w:val="-1"/>
          <w:sz w:val="22"/>
          <w:szCs w:val="22"/>
        </w:rPr>
        <w:t>企业合并是指将两个或两个以上单独的企业合并形成一个报告主体的交易或事项。本公司在</w:t>
      </w:r>
      <w:r>
        <w:rPr>
          <w:rFonts w:ascii="楷体" w:hAnsi="楷体" w:cs="楷体" w:eastAsia="楷体" w:hint="default"/>
          <w:w w:val="99"/>
          <w:sz w:val="22"/>
          <w:szCs w:val="22"/>
        </w:rPr>
        <w:t> </w:t>
      </w:r>
      <w:r>
        <w:rPr>
          <w:rFonts w:ascii="楷体" w:hAnsi="楷体" w:cs="楷体" w:eastAsia="楷体" w:hint="default"/>
          <w:spacing w:val="-1"/>
          <w:sz w:val="22"/>
          <w:szCs w:val="22"/>
        </w:rPr>
        <w:t>合并日或购买日确认因企业合并取得的资产、负债，合并日或购买日为实际取得被合并方或被购</w:t>
      </w:r>
      <w:r>
        <w:rPr>
          <w:rFonts w:ascii="楷体" w:hAnsi="楷体" w:cs="楷体" w:eastAsia="楷体" w:hint="default"/>
          <w:w w:val="99"/>
          <w:sz w:val="22"/>
          <w:szCs w:val="22"/>
        </w:rPr>
        <w:t> </w:t>
      </w:r>
      <w:r>
        <w:rPr>
          <w:rFonts w:ascii="楷体" w:hAnsi="楷体" w:cs="楷体" w:eastAsia="楷体" w:hint="default"/>
          <w:sz w:val="22"/>
          <w:szCs w:val="22"/>
        </w:rPr>
        <w:t>买方控制权的日期。</w:t>
      </w:r>
    </w:p>
    <w:p>
      <w:pPr>
        <w:spacing w:line="324" w:lineRule="auto" w:before="103"/>
        <w:ind w:left="137" w:right="222" w:firstLine="440"/>
        <w:jc w:val="both"/>
        <w:rPr>
          <w:rFonts w:ascii="楷体" w:hAnsi="楷体" w:cs="楷体" w:eastAsia="楷体" w:hint="default"/>
          <w:sz w:val="22"/>
          <w:szCs w:val="22"/>
        </w:rPr>
      </w:pPr>
      <w:r>
        <w:rPr>
          <w:rFonts w:ascii="楷体" w:hAnsi="楷体" w:cs="楷体" w:eastAsia="楷体" w:hint="default"/>
          <w:spacing w:val="-1"/>
          <w:sz w:val="22"/>
          <w:szCs w:val="22"/>
        </w:rPr>
        <w:t>对于同一控制下的企业合并，合并方在企业合并中取得的资产和负债，按照合并日在被合并</w:t>
      </w:r>
      <w:r>
        <w:rPr>
          <w:rFonts w:ascii="楷体" w:hAnsi="楷体" w:cs="楷体" w:eastAsia="楷体" w:hint="default"/>
          <w:w w:val="99"/>
          <w:sz w:val="22"/>
          <w:szCs w:val="22"/>
        </w:rPr>
        <w:t> </w:t>
      </w:r>
      <w:r>
        <w:rPr>
          <w:rFonts w:ascii="楷体" w:hAnsi="楷体" w:cs="楷体" w:eastAsia="楷体" w:hint="default"/>
          <w:spacing w:val="-1"/>
          <w:sz w:val="22"/>
          <w:szCs w:val="22"/>
        </w:rPr>
        <w:t>方的账面价值计量，合并方取得的净资产账面价值与支付的合并对价账面价值的差额，调整资本</w:t>
      </w:r>
    </w:p>
    <w:p>
      <w:pPr>
        <w:spacing w:after="0" w:line="324" w:lineRule="auto"/>
        <w:jc w:val="both"/>
        <w:rPr>
          <w:rFonts w:ascii="楷体" w:hAnsi="楷体" w:cs="楷体" w:eastAsia="楷体" w:hint="default"/>
          <w:sz w:val="22"/>
          <w:szCs w:val="22"/>
        </w:rPr>
        <w:sectPr>
          <w:pgSz w:w="11910" w:h="16840"/>
          <w:pgMar w:header="610" w:footer="784" w:top="1080" w:bottom="980" w:left="1280" w:right="106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line="324" w:lineRule="auto" w:before="31"/>
        <w:ind w:left="138" w:right="128" w:firstLine="0"/>
        <w:jc w:val="left"/>
        <w:rPr>
          <w:rFonts w:ascii="楷体" w:hAnsi="楷体" w:cs="楷体" w:eastAsia="楷体" w:hint="default"/>
          <w:sz w:val="22"/>
          <w:szCs w:val="22"/>
        </w:rPr>
      </w:pPr>
      <w:r>
        <w:rPr>
          <w:rFonts w:ascii="楷体" w:hAnsi="楷体" w:cs="楷体" w:eastAsia="楷体" w:hint="default"/>
          <w:spacing w:val="-1"/>
          <w:sz w:val="22"/>
          <w:szCs w:val="22"/>
        </w:rPr>
        <w:t>公积；资本公积不足冲减的，调整留存收益。为进行企业合并发生的直接相关费用于发生时计入</w:t>
      </w:r>
      <w:r>
        <w:rPr>
          <w:rFonts w:ascii="楷体" w:hAnsi="楷体" w:cs="楷体" w:eastAsia="楷体" w:hint="default"/>
          <w:w w:val="99"/>
          <w:sz w:val="22"/>
          <w:szCs w:val="22"/>
        </w:rPr>
        <w:t> </w:t>
      </w:r>
      <w:r>
        <w:rPr>
          <w:rFonts w:ascii="楷体" w:hAnsi="楷体" w:cs="楷体" w:eastAsia="楷体" w:hint="default"/>
          <w:sz w:val="22"/>
          <w:szCs w:val="22"/>
        </w:rPr>
        <w:t>当期损益。</w:t>
      </w:r>
    </w:p>
    <w:p>
      <w:pPr>
        <w:spacing w:line="324" w:lineRule="auto" w:before="103"/>
        <w:ind w:left="138" w:right="142" w:firstLine="440"/>
        <w:jc w:val="both"/>
        <w:rPr>
          <w:rFonts w:ascii="楷体" w:hAnsi="楷体" w:cs="楷体" w:eastAsia="楷体" w:hint="default"/>
          <w:sz w:val="22"/>
          <w:szCs w:val="22"/>
        </w:rPr>
      </w:pPr>
      <w:r>
        <w:rPr>
          <w:rFonts w:ascii="楷体" w:hAnsi="楷体" w:cs="楷体" w:eastAsia="楷体" w:hint="default"/>
          <w:spacing w:val="-1"/>
          <w:sz w:val="22"/>
          <w:szCs w:val="22"/>
        </w:rPr>
        <w:t>对于非同一控制下企业合并，合并成本为购买方在购买日为取得对被购买方的控制权而付出</w:t>
      </w:r>
      <w:r>
        <w:rPr>
          <w:rFonts w:ascii="楷体" w:hAnsi="楷体" w:cs="楷体" w:eastAsia="楷体" w:hint="default"/>
          <w:w w:val="99"/>
          <w:sz w:val="22"/>
          <w:szCs w:val="22"/>
        </w:rPr>
        <w:t> </w:t>
      </w:r>
      <w:r>
        <w:rPr>
          <w:rFonts w:ascii="楷体" w:hAnsi="楷体" w:cs="楷体" w:eastAsia="楷体" w:hint="default"/>
          <w:spacing w:val="-1"/>
          <w:sz w:val="22"/>
          <w:szCs w:val="22"/>
        </w:rPr>
        <w:t>的资产、发生或承担的负债以及发行的权益性证券的公允价值。合并成本大于合并中取得的被购</w:t>
      </w:r>
      <w:r>
        <w:rPr>
          <w:rFonts w:ascii="楷体" w:hAnsi="楷体" w:cs="楷体" w:eastAsia="楷体" w:hint="default"/>
          <w:w w:val="99"/>
          <w:sz w:val="22"/>
          <w:szCs w:val="22"/>
        </w:rPr>
        <w:t> </w:t>
      </w:r>
      <w:r>
        <w:rPr>
          <w:rFonts w:ascii="楷体" w:hAnsi="楷体" w:cs="楷体" w:eastAsia="楷体" w:hint="default"/>
          <w:spacing w:val="-1"/>
          <w:sz w:val="22"/>
          <w:szCs w:val="22"/>
        </w:rPr>
        <w:t>买方可辨认净资产公允价值份额的差额，确认为商誉；合并成本小于合并中取得的被购买方可辨</w:t>
      </w:r>
      <w:r>
        <w:rPr>
          <w:rFonts w:ascii="楷体" w:hAnsi="楷体" w:cs="楷体" w:eastAsia="楷体" w:hint="default"/>
          <w:w w:val="99"/>
          <w:sz w:val="22"/>
          <w:szCs w:val="22"/>
        </w:rPr>
        <w:t> </w:t>
      </w:r>
      <w:r>
        <w:rPr>
          <w:rFonts w:ascii="楷体" w:hAnsi="楷体" w:cs="楷体" w:eastAsia="楷体" w:hint="default"/>
          <w:spacing w:val="-1"/>
          <w:sz w:val="22"/>
          <w:szCs w:val="22"/>
        </w:rPr>
        <w:t>认净资产公允价值份额的，经复核确认后，计入当期损益。为进行企业合并发生的直接相关费用</w:t>
      </w:r>
      <w:r>
        <w:rPr>
          <w:rFonts w:ascii="楷体" w:hAnsi="楷体" w:cs="楷体" w:eastAsia="楷体" w:hint="default"/>
          <w:w w:val="99"/>
          <w:sz w:val="22"/>
          <w:szCs w:val="22"/>
        </w:rPr>
        <w:t> </w:t>
      </w:r>
      <w:r>
        <w:rPr>
          <w:rFonts w:ascii="楷体" w:hAnsi="楷体" w:cs="楷体" w:eastAsia="楷体" w:hint="default"/>
          <w:sz w:val="22"/>
          <w:szCs w:val="22"/>
        </w:rPr>
        <w:t>计入企业合并成本。</w:t>
      </w:r>
    </w:p>
    <w:p>
      <w:pPr>
        <w:spacing w:before="103"/>
        <w:ind w:left="591" w:right="6555"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27</w:t>
      </w:r>
      <w:r>
        <w:rPr>
          <w:rFonts w:ascii="宋体" w:hAnsi="宋体" w:cs="宋体" w:eastAsia="宋体" w:hint="default"/>
          <w:b/>
          <w:bCs/>
          <w:sz w:val="22"/>
          <w:szCs w:val="22"/>
        </w:rPr>
        <w:t>．</w:t>
      </w:r>
      <w:r>
        <w:rPr>
          <w:rFonts w:ascii="黑体" w:hAnsi="黑体" w:cs="黑体" w:eastAsia="黑体" w:hint="default"/>
          <w:sz w:val="22"/>
          <w:szCs w:val="22"/>
        </w:rPr>
        <w:t>分部报告</w:t>
      </w:r>
    </w:p>
    <w:p>
      <w:pPr>
        <w:spacing w:line="324" w:lineRule="auto" w:before="163"/>
        <w:ind w:left="137" w:right="142" w:firstLine="440"/>
        <w:jc w:val="both"/>
        <w:rPr>
          <w:rFonts w:ascii="楷体" w:hAnsi="楷体" w:cs="楷体" w:eastAsia="楷体" w:hint="default"/>
          <w:sz w:val="22"/>
          <w:szCs w:val="22"/>
        </w:rPr>
      </w:pPr>
      <w:r>
        <w:rPr>
          <w:rFonts w:ascii="楷体" w:hAnsi="楷体" w:cs="楷体" w:eastAsia="楷体" w:hint="default"/>
          <w:spacing w:val="-1"/>
          <w:sz w:val="22"/>
          <w:szCs w:val="22"/>
        </w:rPr>
        <w:t>业务分部是指本公司内可区分的、能够提供单项或一组相关产品或劳务的组成部分，该组成</w:t>
      </w:r>
      <w:r>
        <w:rPr>
          <w:rFonts w:ascii="楷体" w:hAnsi="楷体" w:cs="楷体" w:eastAsia="楷体" w:hint="default"/>
          <w:w w:val="99"/>
          <w:sz w:val="22"/>
          <w:szCs w:val="22"/>
        </w:rPr>
        <w:t> </w:t>
      </w:r>
      <w:r>
        <w:rPr>
          <w:rFonts w:ascii="楷体" w:hAnsi="楷体" w:cs="楷体" w:eastAsia="楷体" w:hint="default"/>
          <w:spacing w:val="-1"/>
          <w:sz w:val="22"/>
          <w:szCs w:val="22"/>
        </w:rPr>
        <w:t>部分承担了不同于其他组成部分的风险和报酬。地区分部是指本公司内可区分的、能够在一个特</w:t>
      </w:r>
      <w:r>
        <w:rPr>
          <w:rFonts w:ascii="楷体" w:hAnsi="楷体" w:cs="楷体" w:eastAsia="楷体" w:hint="default"/>
          <w:w w:val="99"/>
          <w:sz w:val="22"/>
          <w:szCs w:val="22"/>
        </w:rPr>
        <w:t> </w:t>
      </w:r>
      <w:r>
        <w:rPr>
          <w:rFonts w:ascii="楷体" w:hAnsi="楷体" w:cs="楷体" w:eastAsia="楷体" w:hint="default"/>
          <w:spacing w:val="-1"/>
          <w:sz w:val="22"/>
          <w:szCs w:val="22"/>
        </w:rPr>
        <w:t>定的经济环境内提供产品或劳务的组成部分。该组成部分承担了不同于在其他经济环境内提供产</w:t>
      </w:r>
      <w:r>
        <w:rPr>
          <w:rFonts w:ascii="楷体" w:hAnsi="楷体" w:cs="楷体" w:eastAsia="楷体" w:hint="default"/>
          <w:w w:val="99"/>
          <w:sz w:val="22"/>
          <w:szCs w:val="22"/>
        </w:rPr>
        <w:t> </w:t>
      </w:r>
      <w:r>
        <w:rPr>
          <w:rFonts w:ascii="楷体" w:hAnsi="楷体" w:cs="楷体" w:eastAsia="楷体" w:hint="default"/>
          <w:sz w:val="22"/>
          <w:szCs w:val="22"/>
        </w:rPr>
        <w:t>品或劳务的组成部分的风险和报酬。</w:t>
      </w:r>
    </w:p>
    <w:p>
      <w:pPr>
        <w:spacing w:before="103"/>
        <w:ind w:left="591" w:right="6555"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28</w:t>
      </w:r>
      <w:r>
        <w:rPr>
          <w:rFonts w:ascii="宋体" w:hAnsi="宋体" w:cs="宋体" w:eastAsia="宋体" w:hint="default"/>
          <w:b/>
          <w:bCs/>
          <w:sz w:val="22"/>
          <w:szCs w:val="22"/>
        </w:rPr>
        <w:t>．</w:t>
      </w:r>
      <w:r>
        <w:rPr>
          <w:rFonts w:ascii="黑体" w:hAnsi="黑体" w:cs="黑体" w:eastAsia="黑体" w:hint="default"/>
          <w:sz w:val="22"/>
          <w:szCs w:val="22"/>
        </w:rPr>
        <w:t>终止经营</w:t>
      </w:r>
    </w:p>
    <w:p>
      <w:pPr>
        <w:spacing w:line="324" w:lineRule="auto" w:before="163"/>
        <w:ind w:left="137" w:right="143" w:firstLine="440"/>
        <w:jc w:val="both"/>
        <w:rPr>
          <w:rFonts w:ascii="楷体" w:hAnsi="楷体" w:cs="楷体" w:eastAsia="楷体" w:hint="default"/>
          <w:sz w:val="22"/>
          <w:szCs w:val="22"/>
        </w:rPr>
      </w:pPr>
      <w:r>
        <w:rPr>
          <w:rFonts w:ascii="楷体" w:hAnsi="楷体" w:cs="楷体" w:eastAsia="楷体" w:hint="default"/>
          <w:spacing w:val="-1"/>
          <w:sz w:val="22"/>
          <w:szCs w:val="22"/>
        </w:rPr>
        <w:t>终止经营指本公司已被处置或被划归为持有待售的、在经营和编制财务报表时能够单独区分</w:t>
      </w:r>
      <w:r>
        <w:rPr>
          <w:rFonts w:ascii="楷体" w:hAnsi="楷体" w:cs="楷体" w:eastAsia="楷体" w:hint="default"/>
          <w:w w:val="99"/>
          <w:sz w:val="22"/>
          <w:szCs w:val="22"/>
        </w:rPr>
        <w:t> </w:t>
      </w:r>
      <w:r>
        <w:rPr>
          <w:rFonts w:ascii="楷体" w:hAnsi="楷体" w:cs="楷体" w:eastAsia="楷体" w:hint="default"/>
          <w:spacing w:val="-1"/>
          <w:sz w:val="22"/>
          <w:szCs w:val="22"/>
        </w:rPr>
        <w:t>的组成部分，该组成部分按照本公司计划将整体或部分进行处置。同时满足下列条件的本公司组</w:t>
      </w:r>
      <w:r>
        <w:rPr>
          <w:rFonts w:ascii="楷体" w:hAnsi="楷体" w:cs="楷体" w:eastAsia="楷体" w:hint="default"/>
          <w:w w:val="99"/>
          <w:sz w:val="22"/>
          <w:szCs w:val="22"/>
        </w:rPr>
        <w:t> </w:t>
      </w:r>
      <w:r>
        <w:rPr>
          <w:rFonts w:ascii="楷体" w:hAnsi="楷体" w:cs="楷体" w:eastAsia="楷体" w:hint="default"/>
          <w:spacing w:val="-1"/>
          <w:sz w:val="22"/>
          <w:szCs w:val="22"/>
        </w:rPr>
        <w:t>成部分被划归为持有待售：本公司已经就处置该组成部分作出决议、本公司已经与受让方签订了</w:t>
      </w:r>
      <w:r>
        <w:rPr>
          <w:rFonts w:ascii="楷体" w:hAnsi="楷体" w:cs="楷体" w:eastAsia="楷体" w:hint="default"/>
          <w:w w:val="99"/>
          <w:sz w:val="22"/>
          <w:szCs w:val="22"/>
        </w:rPr>
        <w:t> </w:t>
      </w:r>
      <w:r>
        <w:rPr>
          <w:rFonts w:ascii="楷体" w:hAnsi="楷体" w:cs="楷体" w:eastAsia="楷体" w:hint="default"/>
          <w:sz w:val="22"/>
          <w:szCs w:val="22"/>
        </w:rPr>
        <w:t>不可撤销的转让协议以及该项转让将在一年内完成。</w:t>
      </w:r>
    </w:p>
    <w:p>
      <w:pPr>
        <w:spacing w:before="103"/>
        <w:ind w:left="591" w:right="224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29</w:t>
      </w:r>
      <w:r>
        <w:rPr>
          <w:rFonts w:ascii="宋体" w:hAnsi="宋体" w:cs="宋体" w:eastAsia="宋体" w:hint="default"/>
          <w:b/>
          <w:bCs/>
          <w:sz w:val="22"/>
          <w:szCs w:val="22"/>
        </w:rPr>
        <w:t>．</w:t>
      </w:r>
      <w:r>
        <w:rPr>
          <w:rFonts w:ascii="黑体" w:hAnsi="黑体" w:cs="黑体" w:eastAsia="黑体" w:hint="default"/>
          <w:sz w:val="22"/>
          <w:szCs w:val="22"/>
        </w:rPr>
        <w:t>金融工具的公允价值确定</w:t>
      </w:r>
    </w:p>
    <w:p>
      <w:pPr>
        <w:spacing w:line="324" w:lineRule="auto" w:before="163"/>
        <w:ind w:left="137" w:right="106" w:firstLine="440"/>
        <w:jc w:val="both"/>
        <w:rPr>
          <w:rFonts w:ascii="楷体" w:hAnsi="楷体" w:cs="楷体" w:eastAsia="楷体" w:hint="default"/>
          <w:sz w:val="22"/>
          <w:szCs w:val="22"/>
        </w:rPr>
      </w:pPr>
      <w:r>
        <w:rPr>
          <w:rFonts w:ascii="楷体" w:hAnsi="楷体" w:cs="楷体" w:eastAsia="楷体" w:hint="default"/>
          <w:w w:val="95"/>
          <w:sz w:val="22"/>
          <w:szCs w:val="22"/>
        </w:rPr>
        <w:t>存在活跃市场的金融工具，以活跃市场中的先行出价确定其公允价值。不存在活跃市场的金</w:t>
      </w:r>
      <w:r>
        <w:rPr>
          <w:rFonts w:ascii="楷体" w:hAnsi="楷体" w:cs="楷体" w:eastAsia="楷体" w:hint="default"/>
          <w:w w:val="99"/>
          <w:sz w:val="22"/>
          <w:szCs w:val="22"/>
        </w:rPr>
        <w:t> </w:t>
      </w:r>
      <w:r>
        <w:rPr>
          <w:rFonts w:ascii="楷体" w:hAnsi="楷体" w:cs="楷体" w:eastAsia="楷体" w:hint="default"/>
          <w:w w:val="95"/>
          <w:sz w:val="22"/>
          <w:szCs w:val="22"/>
        </w:rPr>
        <w:t>融工具，采用估值技术确定其公允价值。估值技术包括参考熟悉情况并自愿交易的各方最近进行</w:t>
      </w:r>
      <w:r>
        <w:rPr>
          <w:rFonts w:ascii="楷体" w:hAnsi="楷体" w:cs="楷体" w:eastAsia="楷体" w:hint="default"/>
          <w:spacing w:val="2"/>
          <w:w w:val="95"/>
          <w:sz w:val="22"/>
          <w:szCs w:val="22"/>
        </w:rPr>
        <w:t> </w:t>
      </w:r>
      <w:r>
        <w:rPr>
          <w:rFonts w:ascii="楷体" w:hAnsi="楷体" w:cs="楷体" w:eastAsia="楷体" w:hint="default"/>
          <w:spacing w:val="2"/>
          <w:w w:val="95"/>
          <w:sz w:val="22"/>
          <w:szCs w:val="22"/>
        </w:rPr>
      </w:r>
      <w:r>
        <w:rPr>
          <w:rFonts w:ascii="楷体" w:hAnsi="楷体" w:cs="楷体" w:eastAsia="楷体" w:hint="default"/>
          <w:w w:val="95"/>
          <w:sz w:val="22"/>
          <w:szCs w:val="22"/>
        </w:rPr>
        <w:t>的市场交易中使用的价格、参照实质上相同的其他金融资产的当前公允价值、现金流量折现法和</w:t>
      </w:r>
      <w:r>
        <w:rPr>
          <w:rFonts w:ascii="楷体" w:hAnsi="楷体" w:cs="楷体" w:eastAsia="楷体" w:hint="default"/>
          <w:spacing w:val="3"/>
          <w:w w:val="95"/>
          <w:sz w:val="22"/>
          <w:szCs w:val="22"/>
        </w:rPr>
        <w:t> </w:t>
      </w:r>
      <w:r>
        <w:rPr>
          <w:rFonts w:ascii="楷体" w:hAnsi="楷体" w:cs="楷体" w:eastAsia="楷体" w:hint="default"/>
          <w:spacing w:val="3"/>
          <w:w w:val="95"/>
          <w:sz w:val="22"/>
          <w:szCs w:val="22"/>
        </w:rPr>
      </w:r>
      <w:r>
        <w:rPr>
          <w:rFonts w:ascii="楷体" w:hAnsi="楷体" w:cs="楷体" w:eastAsia="楷体" w:hint="default"/>
          <w:sz w:val="22"/>
          <w:szCs w:val="22"/>
        </w:rPr>
        <w:t>期权定价模型等。采用估值技术时，尽可能多使用市场参数，不使用与本公司特定相关的参数。</w:t>
      </w:r>
    </w:p>
    <w:p>
      <w:pPr>
        <w:spacing w:before="103"/>
        <w:ind w:left="591" w:right="224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30</w:t>
      </w:r>
      <w:r>
        <w:rPr>
          <w:rFonts w:ascii="宋体" w:hAnsi="宋体" w:cs="宋体" w:eastAsia="宋体" w:hint="default"/>
          <w:b/>
          <w:bCs/>
          <w:sz w:val="22"/>
          <w:szCs w:val="22"/>
        </w:rPr>
        <w:t>．</w:t>
      </w:r>
      <w:r>
        <w:rPr>
          <w:rFonts w:ascii="黑体" w:hAnsi="黑体" w:cs="黑体" w:eastAsia="黑体" w:hint="default"/>
          <w:sz w:val="22"/>
          <w:szCs w:val="22"/>
        </w:rPr>
        <w:t>合并财务报表的编制方法</w:t>
      </w:r>
    </w:p>
    <w:p>
      <w:pPr>
        <w:spacing w:before="163"/>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合并范围的确定原则：合并财务报表的合并范围包括本公司及全部子公司；</w:t>
      </w:r>
    </w:p>
    <w:p>
      <w:pPr>
        <w:spacing w:before="163"/>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楷体" w:hAnsi="楷体" w:cs="楷体" w:eastAsia="楷体" w:hint="default"/>
          <w:sz w:val="22"/>
          <w:szCs w:val="22"/>
        </w:rPr>
        <w:t>合并财务报表所采用的会计方法：本公司合并财务报表是按照《企业会计准则第 </w:t>
      </w:r>
      <w:r>
        <w:rPr>
          <w:rFonts w:ascii="Times New Roman" w:hAnsi="Times New Roman" w:cs="Times New Roman" w:eastAsia="Times New Roman" w:hint="default"/>
          <w:sz w:val="22"/>
          <w:szCs w:val="22"/>
        </w:rPr>
        <w:t>33</w:t>
      </w:r>
      <w:r>
        <w:rPr>
          <w:rFonts w:ascii="Times New Roman" w:hAnsi="Times New Roman" w:cs="Times New Roman" w:eastAsia="Times New Roman" w:hint="default"/>
          <w:spacing w:val="18"/>
          <w:sz w:val="22"/>
          <w:szCs w:val="22"/>
        </w:rPr>
        <w:t> </w:t>
      </w:r>
      <w:r>
        <w:rPr>
          <w:rFonts w:ascii="楷体" w:hAnsi="楷体" w:cs="楷体" w:eastAsia="楷体" w:hint="default"/>
          <w:sz w:val="22"/>
          <w:szCs w:val="22"/>
        </w:rPr>
        <w:t>号</w:t>
      </w:r>
    </w:p>
    <w:p>
      <w:pPr>
        <w:spacing w:line="391" w:lineRule="auto" w:before="85"/>
        <w:ind w:left="578" w:right="0" w:hanging="441"/>
        <w:jc w:val="left"/>
        <w:rPr>
          <w:rFonts w:ascii="楷体" w:hAnsi="楷体" w:cs="楷体" w:eastAsia="楷体" w:hint="default"/>
          <w:sz w:val="22"/>
          <w:szCs w:val="22"/>
        </w:rPr>
      </w:pPr>
      <w:r>
        <w:rPr>
          <w:rFonts w:ascii="楷体" w:hAnsi="楷体" w:cs="楷体" w:eastAsia="楷体" w:hint="default"/>
          <w:sz w:val="22"/>
          <w:szCs w:val="22"/>
        </w:rPr>
        <w:t>－合并财务报表》及相关规定的要求编制。</w:t>
      </w:r>
      <w:r>
        <w:rPr>
          <w:rFonts w:ascii="楷体" w:hAnsi="楷体" w:cs="楷体" w:eastAsia="楷体" w:hint="default"/>
          <w:w w:val="99"/>
          <w:sz w:val="22"/>
          <w:szCs w:val="22"/>
        </w:rPr>
        <w:t> </w:t>
      </w:r>
      <w:r>
        <w:rPr>
          <w:rFonts w:ascii="楷体" w:hAnsi="楷体" w:cs="楷体" w:eastAsia="楷体" w:hint="default"/>
          <w:spacing w:val="4"/>
          <w:sz w:val="22"/>
          <w:szCs w:val="22"/>
        </w:rPr>
        <w:t>子公司少数股东应占有的权益和损益分别在合并资产负债表中股东权益项目下和合并利润</w:t>
      </w:r>
    </w:p>
    <w:p>
      <w:pPr>
        <w:spacing w:line="251" w:lineRule="exact" w:before="0"/>
        <w:ind w:left="137" w:right="6555" w:firstLine="0"/>
        <w:jc w:val="left"/>
        <w:rPr>
          <w:rFonts w:ascii="楷体" w:hAnsi="楷体" w:cs="楷体" w:eastAsia="楷体" w:hint="default"/>
          <w:sz w:val="22"/>
          <w:szCs w:val="22"/>
        </w:rPr>
      </w:pPr>
      <w:r>
        <w:rPr>
          <w:rFonts w:ascii="楷体" w:hAnsi="楷体" w:cs="楷体" w:eastAsia="楷体" w:hint="default"/>
          <w:sz w:val="22"/>
          <w:szCs w:val="22"/>
        </w:rPr>
        <w:t>表净利润项目下进行列示。</w:t>
      </w:r>
    </w:p>
    <w:p>
      <w:pPr>
        <w:spacing w:line="324" w:lineRule="auto" w:before="180"/>
        <w:ind w:left="137" w:right="143" w:firstLine="440"/>
        <w:jc w:val="both"/>
        <w:rPr>
          <w:rFonts w:ascii="楷体" w:hAnsi="楷体" w:cs="楷体" w:eastAsia="楷体" w:hint="default"/>
          <w:sz w:val="22"/>
          <w:szCs w:val="22"/>
        </w:rPr>
      </w:pPr>
      <w:r>
        <w:rPr>
          <w:rFonts w:ascii="楷体" w:hAnsi="楷体" w:cs="楷体" w:eastAsia="楷体" w:hint="default"/>
          <w:spacing w:val="-1"/>
          <w:sz w:val="22"/>
          <w:szCs w:val="22"/>
        </w:rPr>
        <w:t>子公司与本公司采用的会计政策或会计期间不一致的，在编制合并财务报表时，按照本公司</w:t>
      </w:r>
      <w:r>
        <w:rPr>
          <w:rFonts w:ascii="楷体" w:hAnsi="楷体" w:cs="楷体" w:eastAsia="楷体" w:hint="default"/>
          <w:w w:val="99"/>
          <w:sz w:val="22"/>
          <w:szCs w:val="22"/>
        </w:rPr>
        <w:t> </w:t>
      </w:r>
      <w:r>
        <w:rPr>
          <w:rFonts w:ascii="楷体" w:hAnsi="楷体" w:cs="楷体" w:eastAsia="楷体" w:hint="default"/>
          <w:spacing w:val="-1"/>
          <w:sz w:val="22"/>
          <w:szCs w:val="22"/>
        </w:rPr>
        <w:t>的会计政策或会计期间对子公司财务报表进行必要的调整。合并时合并范围内的所有重大内部交</w:t>
      </w:r>
      <w:r>
        <w:rPr>
          <w:rFonts w:ascii="楷体" w:hAnsi="楷体" w:cs="楷体" w:eastAsia="楷体" w:hint="default"/>
          <w:w w:val="99"/>
          <w:sz w:val="22"/>
          <w:szCs w:val="22"/>
        </w:rPr>
        <w:t> </w:t>
      </w:r>
      <w:r>
        <w:rPr>
          <w:rFonts w:ascii="楷体" w:hAnsi="楷体" w:cs="楷体" w:eastAsia="楷体" w:hint="default"/>
          <w:spacing w:val="-1"/>
          <w:sz w:val="22"/>
          <w:szCs w:val="22"/>
        </w:rPr>
        <w:t>易和往来业已抵销。内部交易发生的未实现损失，有证据表明该损失是相关资产减值损失的，则</w:t>
      </w:r>
      <w:r>
        <w:rPr>
          <w:rFonts w:ascii="楷体" w:hAnsi="楷体" w:cs="楷体" w:eastAsia="楷体" w:hint="default"/>
          <w:w w:val="99"/>
          <w:sz w:val="22"/>
          <w:szCs w:val="22"/>
        </w:rPr>
        <w:t> </w:t>
      </w:r>
      <w:r>
        <w:rPr>
          <w:rFonts w:ascii="楷体" w:hAnsi="楷体" w:cs="楷体" w:eastAsia="楷体" w:hint="default"/>
          <w:sz w:val="22"/>
          <w:szCs w:val="22"/>
        </w:rPr>
        <w:t>全额确认该损失。</w:t>
      </w:r>
    </w:p>
    <w:p>
      <w:pPr>
        <w:spacing w:after="0" w:line="324" w:lineRule="auto"/>
        <w:jc w:val="both"/>
        <w:rPr>
          <w:rFonts w:ascii="楷体" w:hAnsi="楷体" w:cs="楷体" w:eastAsia="楷体" w:hint="default"/>
          <w:sz w:val="22"/>
          <w:szCs w:val="22"/>
        </w:rPr>
        <w:sectPr>
          <w:pgSz w:w="11910" w:h="16840"/>
          <w:pgMar w:header="610" w:footer="784" w:top="1080" w:bottom="9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line="324" w:lineRule="auto" w:before="31"/>
        <w:ind w:left="138" w:right="142" w:firstLine="440"/>
        <w:jc w:val="both"/>
        <w:rPr>
          <w:rFonts w:ascii="楷体" w:hAnsi="楷体" w:cs="楷体" w:eastAsia="楷体" w:hint="default"/>
          <w:sz w:val="22"/>
          <w:szCs w:val="22"/>
        </w:rPr>
      </w:pPr>
      <w:r>
        <w:rPr>
          <w:rFonts w:ascii="楷体" w:hAnsi="楷体" w:cs="楷体" w:eastAsia="楷体" w:hint="default"/>
          <w:spacing w:val="-1"/>
          <w:sz w:val="22"/>
          <w:szCs w:val="22"/>
        </w:rPr>
        <w:t>本公司自少数股东处购买股权，因购买少数股东股权的长期投资成本与按照新增持股比例计</w:t>
      </w:r>
      <w:r>
        <w:rPr>
          <w:rFonts w:ascii="楷体" w:hAnsi="楷体" w:cs="楷体" w:eastAsia="楷体" w:hint="default"/>
          <w:w w:val="99"/>
          <w:sz w:val="22"/>
          <w:szCs w:val="22"/>
        </w:rPr>
        <w:t> </w:t>
      </w:r>
      <w:r>
        <w:rPr>
          <w:rFonts w:ascii="楷体" w:hAnsi="楷体" w:cs="楷体" w:eastAsia="楷体" w:hint="default"/>
          <w:spacing w:val="-1"/>
          <w:sz w:val="22"/>
          <w:szCs w:val="22"/>
        </w:rPr>
        <w:t>算的应享有子公司自购买日（合并日）开始持续计算的可辨认净资产份额之间的差额，调整合并</w:t>
      </w:r>
      <w:r>
        <w:rPr>
          <w:rFonts w:ascii="楷体" w:hAnsi="楷体" w:cs="楷体" w:eastAsia="楷体" w:hint="default"/>
          <w:w w:val="99"/>
          <w:sz w:val="22"/>
          <w:szCs w:val="22"/>
        </w:rPr>
        <w:t> </w:t>
      </w:r>
      <w:r>
        <w:rPr>
          <w:rFonts w:ascii="楷体" w:hAnsi="楷体" w:cs="楷体" w:eastAsia="楷体" w:hint="default"/>
          <w:sz w:val="22"/>
          <w:szCs w:val="22"/>
        </w:rPr>
        <w:t>资产负债表中的资本公积，资本公积不足冲减的，调整留存收益。</w:t>
      </w:r>
    </w:p>
    <w:p>
      <w:pPr>
        <w:spacing w:line="324" w:lineRule="auto" w:before="103"/>
        <w:ind w:left="138" w:right="104" w:firstLine="440"/>
        <w:jc w:val="both"/>
        <w:rPr>
          <w:rFonts w:ascii="楷体" w:hAnsi="楷体" w:cs="楷体" w:eastAsia="楷体" w:hint="default"/>
          <w:sz w:val="22"/>
          <w:szCs w:val="22"/>
        </w:rPr>
      </w:pPr>
      <w:r>
        <w:rPr>
          <w:rFonts w:ascii="楷体" w:hAnsi="楷体" w:cs="楷体" w:eastAsia="楷体" w:hint="default"/>
          <w:w w:val="95"/>
          <w:sz w:val="22"/>
          <w:szCs w:val="22"/>
        </w:rPr>
        <w:t>如果少数股东的亏损超过少数股东在该子公司所有者权益中的份额，除公司章程或协议规定</w:t>
      </w:r>
      <w:r>
        <w:rPr>
          <w:rFonts w:ascii="楷体" w:hAnsi="楷体" w:cs="楷体" w:eastAsia="楷体" w:hint="default"/>
          <w:w w:val="99"/>
          <w:sz w:val="22"/>
          <w:szCs w:val="22"/>
        </w:rPr>
        <w:t> </w:t>
      </w:r>
      <w:r>
        <w:rPr>
          <w:rFonts w:ascii="楷体" w:hAnsi="楷体" w:cs="楷体" w:eastAsia="楷体" w:hint="default"/>
          <w:sz w:val="22"/>
          <w:szCs w:val="22"/>
        </w:rPr>
        <w:t>少数股东有义务承担并且少数股东有能力予以弥补的部分以外，其余部分冲减母公司股东权益。</w:t>
      </w:r>
      <w:r>
        <w:rPr>
          <w:rFonts w:ascii="楷体" w:hAnsi="楷体" w:cs="楷体" w:eastAsia="楷体" w:hint="default"/>
          <w:w w:val="99"/>
          <w:sz w:val="22"/>
          <w:szCs w:val="22"/>
        </w:rPr>
        <w:t> </w:t>
      </w:r>
      <w:r>
        <w:rPr>
          <w:rFonts w:ascii="楷体" w:hAnsi="楷体" w:cs="楷体" w:eastAsia="楷体" w:hint="default"/>
          <w:sz w:val="22"/>
          <w:szCs w:val="22"/>
        </w:rPr>
        <w:t>如果子公司以后年度实现利润，在弥补了由母公司股东权益所承担的属于少数股东的损失之前，</w:t>
      </w:r>
      <w:r>
        <w:rPr>
          <w:rFonts w:ascii="楷体" w:hAnsi="楷体" w:cs="楷体" w:eastAsia="楷体" w:hint="default"/>
          <w:w w:val="99"/>
          <w:sz w:val="22"/>
          <w:szCs w:val="22"/>
        </w:rPr>
        <w:t> </w:t>
      </w:r>
      <w:r>
        <w:rPr>
          <w:rFonts w:ascii="楷体" w:hAnsi="楷体" w:cs="楷体" w:eastAsia="楷体" w:hint="default"/>
          <w:sz w:val="22"/>
          <w:szCs w:val="22"/>
        </w:rPr>
        <w:t>所有利润全部归属于母公司股东权益。</w:t>
      </w:r>
    </w:p>
    <w:p>
      <w:pPr>
        <w:spacing w:line="324" w:lineRule="auto" w:before="103"/>
        <w:ind w:left="138" w:right="142" w:firstLine="440"/>
        <w:jc w:val="both"/>
        <w:rPr>
          <w:rFonts w:ascii="楷体" w:hAnsi="楷体" w:cs="楷体" w:eastAsia="楷体" w:hint="default"/>
          <w:sz w:val="22"/>
          <w:szCs w:val="22"/>
        </w:rPr>
      </w:pPr>
      <w:r>
        <w:rPr>
          <w:rFonts w:ascii="楷体" w:hAnsi="楷体" w:cs="楷体" w:eastAsia="楷体" w:hint="default"/>
          <w:spacing w:val="-1"/>
          <w:sz w:val="22"/>
          <w:szCs w:val="22"/>
        </w:rPr>
        <w:t>对于非同一控制下企业合并取得的子公司，在编制合并财务报表时，以购买日可辨认净资产</w:t>
      </w:r>
      <w:r>
        <w:rPr>
          <w:rFonts w:ascii="楷体" w:hAnsi="楷体" w:cs="楷体" w:eastAsia="楷体" w:hint="default"/>
          <w:w w:val="99"/>
          <w:sz w:val="22"/>
          <w:szCs w:val="22"/>
        </w:rPr>
        <w:t> </w:t>
      </w:r>
      <w:r>
        <w:rPr>
          <w:rFonts w:ascii="楷体" w:hAnsi="楷体" w:cs="楷体" w:eastAsia="楷体" w:hint="default"/>
          <w:spacing w:val="-1"/>
          <w:sz w:val="22"/>
          <w:szCs w:val="22"/>
        </w:rPr>
        <w:t>公允价值为基础对其个别财务报表进行调整，并自购买日起将被购买子公司的资产、负债、经营</w:t>
      </w:r>
      <w:r>
        <w:rPr>
          <w:rFonts w:ascii="楷体" w:hAnsi="楷体" w:cs="楷体" w:eastAsia="楷体" w:hint="default"/>
          <w:w w:val="99"/>
          <w:sz w:val="22"/>
          <w:szCs w:val="22"/>
        </w:rPr>
        <w:t> </w:t>
      </w:r>
      <w:r>
        <w:rPr>
          <w:rFonts w:ascii="楷体" w:hAnsi="楷体" w:cs="楷体" w:eastAsia="楷体" w:hint="default"/>
          <w:spacing w:val="-1"/>
          <w:sz w:val="22"/>
          <w:szCs w:val="22"/>
        </w:rPr>
        <w:t>成果和现金流量合并纳入本公司财务报表中；对于同一控制下企业合并取得的子公司，视同该企</w:t>
      </w:r>
      <w:r>
        <w:rPr>
          <w:rFonts w:ascii="楷体" w:hAnsi="楷体" w:cs="楷体" w:eastAsia="楷体" w:hint="default"/>
          <w:w w:val="99"/>
          <w:sz w:val="22"/>
          <w:szCs w:val="22"/>
        </w:rPr>
        <w:t> </w:t>
      </w:r>
      <w:r>
        <w:rPr>
          <w:rFonts w:ascii="楷体" w:hAnsi="楷体" w:cs="楷体" w:eastAsia="楷体" w:hint="default"/>
          <w:spacing w:val="-1"/>
          <w:sz w:val="22"/>
          <w:szCs w:val="22"/>
        </w:rPr>
        <w:t>业于合并当期的年初已经存在，从合并当期的年初起将其资产、负债、经营成果和现金流量，按</w:t>
      </w:r>
      <w:r>
        <w:rPr>
          <w:rFonts w:ascii="楷体" w:hAnsi="楷体" w:cs="楷体" w:eastAsia="楷体" w:hint="default"/>
          <w:w w:val="99"/>
          <w:sz w:val="22"/>
          <w:szCs w:val="22"/>
        </w:rPr>
        <w:t> </w:t>
      </w:r>
      <w:r>
        <w:rPr>
          <w:rFonts w:ascii="楷体" w:hAnsi="楷体" w:cs="楷体" w:eastAsia="楷体" w:hint="default"/>
          <w:sz w:val="22"/>
          <w:szCs w:val="22"/>
        </w:rPr>
        <w:t>原账面价值纳入合并财务报表，并对前期比较报表进行相应调整。</w:t>
      </w:r>
    </w:p>
    <w:p>
      <w:pPr>
        <w:pStyle w:val="Heading3"/>
        <w:spacing w:line="240" w:lineRule="auto" w:before="10"/>
        <w:ind w:left="620" w:right="6555"/>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五、 税项</w:t>
      </w:r>
      <w:r>
        <w:rPr>
          <w:rFonts w:ascii="Microsoft JhengHei" w:hAnsi="Microsoft JhengHei" w:cs="Microsoft JhengHei" w:eastAsia="Microsoft JhengHei" w:hint="default"/>
          <w:b w:val="0"/>
          <w:bCs w:val="0"/>
        </w:rPr>
      </w:r>
    </w:p>
    <w:p>
      <w:pPr>
        <w:spacing w:before="142"/>
        <w:ind w:left="578" w:right="2246" w:firstLine="0"/>
        <w:jc w:val="left"/>
        <w:rPr>
          <w:rFonts w:ascii="楷体" w:hAnsi="楷体" w:cs="楷体" w:eastAsia="楷体" w:hint="default"/>
          <w:sz w:val="22"/>
          <w:szCs w:val="22"/>
        </w:rPr>
      </w:pPr>
      <w:r>
        <w:rPr>
          <w:rFonts w:ascii="楷体" w:hAnsi="楷体" w:cs="楷体" w:eastAsia="楷体" w:hint="default"/>
          <w:sz w:val="22"/>
          <w:szCs w:val="22"/>
        </w:rPr>
        <w:t>本公司适用的主要税种及税率如下：</w:t>
      </w:r>
    </w:p>
    <w:p>
      <w:pPr>
        <w:spacing w:before="180"/>
        <w:ind w:left="578" w:right="6555" w:firstLine="0"/>
        <w:jc w:val="left"/>
        <w:rPr>
          <w:rFonts w:ascii="黑体" w:hAnsi="黑体" w:cs="黑体" w:eastAsia="黑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1"/>
          <w:sz w:val="22"/>
          <w:szCs w:val="22"/>
        </w:rPr>
        <w:t> </w:t>
      </w:r>
      <w:r>
        <w:rPr>
          <w:rFonts w:ascii="黑体" w:hAnsi="黑体" w:cs="黑体" w:eastAsia="黑体" w:hint="default"/>
          <w:sz w:val="22"/>
          <w:szCs w:val="22"/>
        </w:rPr>
        <w:t>企业所得税</w:t>
      </w:r>
    </w:p>
    <w:p>
      <w:pPr>
        <w:spacing w:before="180"/>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w w:val="99"/>
          <w:sz w:val="22"/>
          <w:szCs w:val="22"/>
        </w:rPr>
        <w:t>(1)</w:t>
      </w:r>
      <w:r>
        <w:rPr>
          <w:rFonts w:ascii="Times New Roman" w:hAnsi="Times New Roman" w:cs="Times New Roman" w:eastAsia="Times New Roman" w:hint="default"/>
          <w:b/>
          <w:bCs/>
          <w:sz w:val="22"/>
          <w:szCs w:val="22"/>
        </w:rPr>
        <w:t>   </w:t>
      </w:r>
      <w:r>
        <w:rPr>
          <w:rFonts w:ascii="Times New Roman" w:hAnsi="Times New Roman" w:cs="Times New Roman" w:eastAsia="Times New Roman" w:hint="default"/>
          <w:b/>
          <w:bCs/>
          <w:spacing w:val="-24"/>
          <w:sz w:val="22"/>
          <w:szCs w:val="22"/>
        </w:rPr>
        <w:t> </w:t>
      </w:r>
      <w:r>
        <w:rPr>
          <w:rFonts w:ascii="楷体" w:hAnsi="楷体" w:cs="楷体" w:eastAsia="楷体" w:hint="default"/>
          <w:spacing w:val="1"/>
          <w:w w:val="99"/>
          <w:sz w:val="22"/>
          <w:szCs w:val="22"/>
        </w:rPr>
        <w:t>全</w:t>
      </w:r>
      <w:r>
        <w:rPr>
          <w:rFonts w:ascii="楷体" w:hAnsi="楷体" w:cs="楷体" w:eastAsia="楷体" w:hint="default"/>
          <w:w w:val="99"/>
          <w:sz w:val="22"/>
          <w:szCs w:val="22"/>
        </w:rPr>
        <w:t>国人</w:t>
      </w:r>
      <w:r>
        <w:rPr>
          <w:rFonts w:ascii="楷体" w:hAnsi="楷体" w:cs="楷体" w:eastAsia="楷体" w:hint="default"/>
          <w:spacing w:val="1"/>
          <w:w w:val="99"/>
          <w:sz w:val="22"/>
          <w:szCs w:val="22"/>
        </w:rPr>
        <w:t>民</w:t>
      </w:r>
      <w:r>
        <w:rPr>
          <w:rFonts w:ascii="楷体" w:hAnsi="楷体" w:cs="楷体" w:eastAsia="楷体" w:hint="default"/>
          <w:w w:val="99"/>
          <w:sz w:val="22"/>
          <w:szCs w:val="22"/>
        </w:rPr>
        <w:t>代</w:t>
      </w:r>
      <w:r>
        <w:rPr>
          <w:rFonts w:ascii="楷体" w:hAnsi="楷体" w:cs="楷体" w:eastAsia="楷体" w:hint="default"/>
          <w:spacing w:val="1"/>
          <w:w w:val="99"/>
          <w:sz w:val="22"/>
          <w:szCs w:val="22"/>
        </w:rPr>
        <w:t>表</w:t>
      </w:r>
      <w:r>
        <w:rPr>
          <w:rFonts w:ascii="楷体" w:hAnsi="楷体" w:cs="楷体" w:eastAsia="楷体" w:hint="default"/>
          <w:w w:val="99"/>
          <w:sz w:val="22"/>
          <w:szCs w:val="22"/>
        </w:rPr>
        <w:t>大会于</w:t>
      </w:r>
      <w:r>
        <w:rPr>
          <w:rFonts w:ascii="楷体" w:hAnsi="楷体" w:cs="楷体" w:eastAsia="楷体" w:hint="default"/>
          <w:spacing w:val="-47"/>
          <w:sz w:val="22"/>
          <w:szCs w:val="22"/>
        </w:rPr>
        <w:t> </w:t>
      </w:r>
      <w:r>
        <w:rPr>
          <w:rFonts w:ascii="Times New Roman" w:hAnsi="Times New Roman" w:cs="Times New Roman" w:eastAsia="Times New Roman" w:hint="default"/>
          <w:w w:val="99"/>
          <w:sz w:val="22"/>
          <w:szCs w:val="22"/>
        </w:rPr>
        <w:t>2</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07</w:t>
      </w:r>
      <w:r>
        <w:rPr>
          <w:rFonts w:ascii="Times New Roman" w:hAnsi="Times New Roman" w:cs="Times New Roman" w:eastAsia="Times New Roman" w:hint="default"/>
          <w:spacing w:val="8"/>
          <w:sz w:val="22"/>
          <w:szCs w:val="22"/>
        </w:rPr>
        <w:t> </w:t>
      </w:r>
      <w:r>
        <w:rPr>
          <w:rFonts w:ascii="楷体" w:hAnsi="楷体" w:cs="楷体" w:eastAsia="楷体" w:hint="default"/>
          <w:w w:val="99"/>
          <w:sz w:val="22"/>
          <w:szCs w:val="22"/>
        </w:rPr>
        <w:t>年</w:t>
      </w:r>
      <w:r>
        <w:rPr>
          <w:rFonts w:ascii="楷体" w:hAnsi="楷体" w:cs="楷体" w:eastAsia="楷体" w:hint="default"/>
          <w:spacing w:val="-48"/>
          <w:sz w:val="22"/>
          <w:szCs w:val="22"/>
        </w:rPr>
        <w:t> </w:t>
      </w:r>
      <w:r>
        <w:rPr>
          <w:rFonts w:ascii="Times New Roman" w:hAnsi="Times New Roman" w:cs="Times New Roman" w:eastAsia="Times New Roman" w:hint="default"/>
          <w:w w:val="99"/>
          <w:sz w:val="22"/>
          <w:szCs w:val="22"/>
        </w:rPr>
        <w:t>3</w:t>
      </w:r>
      <w:r>
        <w:rPr>
          <w:rFonts w:ascii="Times New Roman" w:hAnsi="Times New Roman" w:cs="Times New Roman" w:eastAsia="Times New Roman" w:hint="default"/>
          <w:spacing w:val="6"/>
          <w:sz w:val="22"/>
          <w:szCs w:val="22"/>
        </w:rPr>
        <w:t> </w:t>
      </w:r>
      <w:r>
        <w:rPr>
          <w:rFonts w:ascii="楷体" w:hAnsi="楷体" w:cs="楷体" w:eastAsia="楷体" w:hint="default"/>
          <w:w w:val="99"/>
          <w:sz w:val="22"/>
          <w:szCs w:val="22"/>
        </w:rPr>
        <w:t>月</w:t>
      </w:r>
      <w:r>
        <w:rPr>
          <w:rFonts w:ascii="楷体" w:hAnsi="楷体" w:cs="楷体" w:eastAsia="楷体" w:hint="default"/>
          <w:spacing w:val="-47"/>
          <w:sz w:val="22"/>
          <w:szCs w:val="22"/>
        </w:rPr>
        <w:t> </w:t>
      </w:r>
      <w:r>
        <w:rPr>
          <w:rFonts w:ascii="Times New Roman" w:hAnsi="Times New Roman" w:cs="Times New Roman" w:eastAsia="Times New Roman" w:hint="default"/>
          <w:spacing w:val="-1"/>
          <w:w w:val="99"/>
          <w:sz w:val="22"/>
          <w:szCs w:val="22"/>
        </w:rPr>
        <w:t>1</w:t>
      </w:r>
      <w:r>
        <w:rPr>
          <w:rFonts w:ascii="Times New Roman" w:hAnsi="Times New Roman" w:cs="Times New Roman" w:eastAsia="Times New Roman" w:hint="default"/>
          <w:w w:val="99"/>
          <w:sz w:val="22"/>
          <w:szCs w:val="22"/>
        </w:rPr>
        <w:t>6</w:t>
      </w:r>
      <w:r>
        <w:rPr>
          <w:rFonts w:ascii="Times New Roman" w:hAnsi="Times New Roman" w:cs="Times New Roman" w:eastAsia="Times New Roman" w:hint="default"/>
          <w:spacing w:val="7"/>
          <w:sz w:val="22"/>
          <w:szCs w:val="22"/>
        </w:rPr>
        <w:t> </w:t>
      </w:r>
      <w:r>
        <w:rPr>
          <w:rFonts w:ascii="楷体" w:hAnsi="楷体" w:cs="楷体" w:eastAsia="楷体" w:hint="default"/>
          <w:w w:val="99"/>
          <w:sz w:val="22"/>
          <w:szCs w:val="22"/>
        </w:rPr>
        <w:t>日</w:t>
      </w:r>
      <w:r>
        <w:rPr>
          <w:rFonts w:ascii="楷体" w:hAnsi="楷体" w:cs="楷体" w:eastAsia="楷体" w:hint="default"/>
          <w:spacing w:val="1"/>
          <w:w w:val="99"/>
          <w:sz w:val="22"/>
          <w:szCs w:val="22"/>
        </w:rPr>
        <w:t>通</w:t>
      </w:r>
      <w:r>
        <w:rPr>
          <w:rFonts w:ascii="楷体" w:hAnsi="楷体" w:cs="楷体" w:eastAsia="楷体" w:hint="default"/>
          <w:w w:val="99"/>
          <w:sz w:val="22"/>
          <w:szCs w:val="22"/>
        </w:rPr>
        <w:t>过了</w:t>
      </w:r>
      <w:r>
        <w:rPr>
          <w:rFonts w:ascii="楷体" w:hAnsi="楷体" w:cs="楷体" w:eastAsia="楷体" w:hint="default"/>
          <w:spacing w:val="1"/>
          <w:w w:val="99"/>
          <w:sz w:val="22"/>
          <w:szCs w:val="22"/>
        </w:rPr>
        <w:t>《</w:t>
      </w:r>
      <w:r>
        <w:rPr>
          <w:rFonts w:ascii="楷体" w:hAnsi="楷体" w:cs="楷体" w:eastAsia="楷体" w:hint="default"/>
          <w:w w:val="99"/>
          <w:sz w:val="22"/>
          <w:szCs w:val="22"/>
        </w:rPr>
        <w:t>中华</w:t>
      </w:r>
      <w:r>
        <w:rPr>
          <w:rFonts w:ascii="楷体" w:hAnsi="楷体" w:cs="楷体" w:eastAsia="楷体" w:hint="default"/>
          <w:spacing w:val="1"/>
          <w:w w:val="99"/>
          <w:sz w:val="22"/>
          <w:szCs w:val="22"/>
        </w:rPr>
        <w:t>人</w:t>
      </w:r>
      <w:r>
        <w:rPr>
          <w:rFonts w:ascii="楷体" w:hAnsi="楷体" w:cs="楷体" w:eastAsia="楷体" w:hint="default"/>
          <w:w w:val="99"/>
          <w:sz w:val="22"/>
          <w:szCs w:val="22"/>
        </w:rPr>
        <w:t>民</w:t>
      </w:r>
      <w:r>
        <w:rPr>
          <w:rFonts w:ascii="楷体" w:hAnsi="楷体" w:cs="楷体" w:eastAsia="楷体" w:hint="default"/>
          <w:spacing w:val="1"/>
          <w:w w:val="99"/>
          <w:sz w:val="22"/>
          <w:szCs w:val="22"/>
        </w:rPr>
        <w:t>共</w:t>
      </w:r>
      <w:r>
        <w:rPr>
          <w:rFonts w:ascii="楷体" w:hAnsi="楷体" w:cs="楷体" w:eastAsia="楷体" w:hint="default"/>
          <w:w w:val="99"/>
          <w:sz w:val="22"/>
          <w:szCs w:val="22"/>
        </w:rPr>
        <w:t>和国</w:t>
      </w:r>
      <w:r>
        <w:rPr>
          <w:rFonts w:ascii="楷体" w:hAnsi="楷体" w:cs="楷体" w:eastAsia="楷体" w:hint="default"/>
          <w:spacing w:val="1"/>
          <w:w w:val="99"/>
          <w:sz w:val="22"/>
          <w:szCs w:val="22"/>
        </w:rPr>
        <w:t>企</w:t>
      </w:r>
      <w:r>
        <w:rPr>
          <w:rFonts w:ascii="楷体" w:hAnsi="楷体" w:cs="楷体" w:eastAsia="楷体" w:hint="default"/>
          <w:w w:val="99"/>
          <w:sz w:val="22"/>
          <w:szCs w:val="22"/>
        </w:rPr>
        <w:t>业</w:t>
      </w:r>
      <w:r>
        <w:rPr>
          <w:rFonts w:ascii="楷体" w:hAnsi="楷体" w:cs="楷体" w:eastAsia="楷体" w:hint="default"/>
          <w:spacing w:val="1"/>
          <w:w w:val="99"/>
          <w:sz w:val="22"/>
          <w:szCs w:val="22"/>
        </w:rPr>
        <w:t>所</w:t>
      </w:r>
      <w:r>
        <w:rPr>
          <w:rFonts w:ascii="楷体" w:hAnsi="楷体" w:cs="楷体" w:eastAsia="楷体" w:hint="default"/>
          <w:w w:val="99"/>
          <w:sz w:val="22"/>
          <w:szCs w:val="22"/>
        </w:rPr>
        <w:t>得税</w:t>
      </w:r>
      <w:r>
        <w:rPr>
          <w:rFonts w:ascii="楷体" w:hAnsi="楷体" w:cs="楷体" w:eastAsia="楷体" w:hint="default"/>
          <w:spacing w:val="1"/>
          <w:w w:val="99"/>
          <w:sz w:val="22"/>
          <w:szCs w:val="22"/>
        </w:rPr>
        <w:t>法</w:t>
      </w:r>
      <w:r>
        <w:rPr>
          <w:rFonts w:ascii="楷体" w:hAnsi="楷体" w:cs="楷体" w:eastAsia="楷体" w:hint="default"/>
          <w:spacing w:val="-110"/>
          <w:w w:val="99"/>
          <w:sz w:val="22"/>
          <w:szCs w:val="22"/>
        </w:rPr>
        <w:t>》</w:t>
      </w:r>
      <w:r>
        <w:rPr>
          <w:rFonts w:ascii="楷体" w:hAnsi="楷体" w:cs="楷体" w:eastAsia="楷体" w:hint="default"/>
          <w:w w:val="99"/>
          <w:sz w:val="22"/>
          <w:szCs w:val="22"/>
        </w:rPr>
        <w:t>（</w:t>
      </w:r>
      <w:r>
        <w:rPr>
          <w:rFonts w:ascii="楷体" w:hAnsi="楷体" w:cs="楷体" w:eastAsia="楷体" w:hint="default"/>
          <w:spacing w:val="1"/>
          <w:w w:val="99"/>
          <w:sz w:val="22"/>
          <w:szCs w:val="22"/>
        </w:rPr>
        <w:t>以</w:t>
      </w:r>
      <w:r>
        <w:rPr>
          <w:rFonts w:ascii="楷体" w:hAnsi="楷体" w:cs="楷体" w:eastAsia="楷体" w:hint="default"/>
          <w:w w:val="99"/>
          <w:sz w:val="22"/>
          <w:szCs w:val="22"/>
        </w:rPr>
        <w:t>下</w:t>
      </w:r>
      <w:r>
        <w:rPr>
          <w:rFonts w:ascii="楷体" w:hAnsi="楷体" w:cs="楷体" w:eastAsia="楷体" w:hint="default"/>
          <w:sz w:val="22"/>
          <w:szCs w:val="22"/>
        </w:rPr>
      </w:r>
    </w:p>
    <w:p>
      <w:pPr>
        <w:spacing w:before="85"/>
        <w:ind w:left="138" w:right="0" w:firstLine="0"/>
        <w:jc w:val="left"/>
        <w:rPr>
          <w:rFonts w:ascii="楷体" w:hAnsi="楷体" w:cs="楷体" w:eastAsia="楷体" w:hint="default"/>
          <w:sz w:val="22"/>
          <w:szCs w:val="22"/>
        </w:rPr>
      </w:pPr>
      <w:r>
        <w:rPr>
          <w:rFonts w:ascii="楷体" w:hAnsi="楷体" w:cs="楷体" w:eastAsia="楷体" w:hint="default"/>
          <w:spacing w:val="1"/>
          <w:w w:val="99"/>
          <w:sz w:val="22"/>
          <w:szCs w:val="22"/>
        </w:rPr>
        <w:t>简</w:t>
      </w:r>
      <w:r>
        <w:rPr>
          <w:rFonts w:ascii="楷体" w:hAnsi="楷体" w:cs="楷体" w:eastAsia="楷体" w:hint="default"/>
          <w:w w:val="99"/>
          <w:sz w:val="22"/>
          <w:szCs w:val="22"/>
        </w:rPr>
        <w:t>称“</w:t>
      </w:r>
      <w:r>
        <w:rPr>
          <w:rFonts w:ascii="楷体" w:hAnsi="楷体" w:cs="楷体" w:eastAsia="楷体" w:hint="default"/>
          <w:spacing w:val="1"/>
          <w:w w:val="99"/>
          <w:sz w:val="22"/>
          <w:szCs w:val="22"/>
        </w:rPr>
        <w:t>新</w:t>
      </w:r>
      <w:r>
        <w:rPr>
          <w:rFonts w:ascii="楷体" w:hAnsi="楷体" w:cs="楷体" w:eastAsia="楷体" w:hint="default"/>
          <w:w w:val="99"/>
          <w:sz w:val="22"/>
          <w:szCs w:val="22"/>
        </w:rPr>
        <w:t>所</w:t>
      </w:r>
      <w:r>
        <w:rPr>
          <w:rFonts w:ascii="楷体" w:hAnsi="楷体" w:cs="楷体" w:eastAsia="楷体" w:hint="default"/>
          <w:spacing w:val="1"/>
          <w:w w:val="99"/>
          <w:sz w:val="22"/>
          <w:szCs w:val="22"/>
        </w:rPr>
        <w:t>得</w:t>
      </w:r>
      <w:r>
        <w:rPr>
          <w:rFonts w:ascii="楷体" w:hAnsi="楷体" w:cs="楷体" w:eastAsia="楷体" w:hint="default"/>
          <w:w w:val="99"/>
          <w:sz w:val="22"/>
          <w:szCs w:val="22"/>
        </w:rPr>
        <w:t>税</w:t>
      </w:r>
      <w:r>
        <w:rPr>
          <w:rFonts w:ascii="楷体" w:hAnsi="楷体" w:cs="楷体" w:eastAsia="楷体" w:hint="default"/>
          <w:spacing w:val="1"/>
          <w:w w:val="99"/>
          <w:sz w:val="22"/>
          <w:szCs w:val="22"/>
        </w:rPr>
        <w:t>法</w:t>
      </w:r>
      <w:r>
        <w:rPr>
          <w:rFonts w:ascii="楷体" w:hAnsi="楷体" w:cs="楷体" w:eastAsia="楷体" w:hint="default"/>
          <w:spacing w:val="-110"/>
          <w:w w:val="99"/>
          <w:sz w:val="22"/>
          <w:szCs w:val="22"/>
        </w:rPr>
        <w:t>”）</w:t>
      </w:r>
      <w:r>
        <w:rPr>
          <w:rFonts w:ascii="楷体" w:hAnsi="楷体" w:cs="楷体" w:eastAsia="楷体" w:hint="default"/>
          <w:w w:val="99"/>
          <w:sz w:val="22"/>
          <w:szCs w:val="22"/>
        </w:rPr>
        <w:t>，</w:t>
      </w:r>
      <w:r>
        <w:rPr>
          <w:rFonts w:ascii="楷体" w:hAnsi="楷体" w:cs="楷体" w:eastAsia="楷体" w:hint="default"/>
          <w:spacing w:val="1"/>
          <w:w w:val="99"/>
          <w:sz w:val="22"/>
          <w:szCs w:val="22"/>
        </w:rPr>
        <w:t>新</w:t>
      </w:r>
      <w:r>
        <w:rPr>
          <w:rFonts w:ascii="楷体" w:hAnsi="楷体" w:cs="楷体" w:eastAsia="楷体" w:hint="default"/>
          <w:w w:val="99"/>
          <w:sz w:val="22"/>
          <w:szCs w:val="22"/>
        </w:rPr>
        <w:t>所得</w:t>
      </w:r>
      <w:r>
        <w:rPr>
          <w:rFonts w:ascii="楷体" w:hAnsi="楷体" w:cs="楷体" w:eastAsia="楷体" w:hint="default"/>
          <w:spacing w:val="1"/>
          <w:w w:val="99"/>
          <w:sz w:val="22"/>
          <w:szCs w:val="22"/>
        </w:rPr>
        <w:t>税</w:t>
      </w:r>
      <w:r>
        <w:rPr>
          <w:rFonts w:ascii="楷体" w:hAnsi="楷体" w:cs="楷体" w:eastAsia="楷体" w:hint="default"/>
          <w:w w:val="99"/>
          <w:sz w:val="22"/>
          <w:szCs w:val="22"/>
        </w:rPr>
        <w:t>法自</w:t>
      </w:r>
      <w:r>
        <w:rPr>
          <w:rFonts w:ascii="楷体" w:hAnsi="楷体" w:cs="楷体" w:eastAsia="楷体" w:hint="default"/>
          <w:spacing w:val="-42"/>
          <w:sz w:val="22"/>
          <w:szCs w:val="22"/>
        </w:rPr>
        <w:t> </w:t>
      </w:r>
      <w:r>
        <w:rPr>
          <w:rFonts w:ascii="Times New Roman" w:hAnsi="Times New Roman" w:cs="Times New Roman" w:eastAsia="Times New Roman" w:hint="default"/>
          <w:spacing w:val="-1"/>
          <w:w w:val="99"/>
          <w:sz w:val="22"/>
          <w:szCs w:val="22"/>
        </w:rPr>
        <w:t>2</w:t>
      </w:r>
      <w:r>
        <w:rPr>
          <w:rFonts w:ascii="Times New Roman" w:hAnsi="Times New Roman" w:cs="Times New Roman" w:eastAsia="Times New Roman" w:hint="default"/>
          <w:w w:val="99"/>
          <w:sz w:val="22"/>
          <w:szCs w:val="22"/>
        </w:rPr>
        <w:t>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8</w:t>
      </w:r>
      <w:r>
        <w:rPr>
          <w:rFonts w:ascii="Times New Roman" w:hAnsi="Times New Roman" w:cs="Times New Roman" w:eastAsia="Times New Roman" w:hint="default"/>
          <w:spacing w:val="11"/>
          <w:sz w:val="22"/>
          <w:szCs w:val="22"/>
        </w:rPr>
        <w:t> </w:t>
      </w:r>
      <w:r>
        <w:rPr>
          <w:rFonts w:ascii="楷体" w:hAnsi="楷体" w:cs="楷体" w:eastAsia="楷体" w:hint="default"/>
          <w:w w:val="99"/>
          <w:sz w:val="22"/>
          <w:szCs w:val="22"/>
        </w:rPr>
        <w:t>年</w:t>
      </w:r>
      <w:r>
        <w:rPr>
          <w:rFonts w:ascii="楷体" w:hAnsi="楷体" w:cs="楷体" w:eastAsia="楷体" w:hint="default"/>
          <w:spacing w:val="-43"/>
          <w:sz w:val="22"/>
          <w:szCs w:val="22"/>
        </w:rPr>
        <w:t> </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11"/>
          <w:sz w:val="22"/>
          <w:szCs w:val="22"/>
        </w:rPr>
        <w:t> </w:t>
      </w:r>
      <w:r>
        <w:rPr>
          <w:rFonts w:ascii="楷体" w:hAnsi="楷体" w:cs="楷体" w:eastAsia="楷体" w:hint="default"/>
          <w:w w:val="99"/>
          <w:sz w:val="22"/>
          <w:szCs w:val="22"/>
        </w:rPr>
        <w:t>月</w:t>
      </w:r>
      <w:r>
        <w:rPr>
          <w:rFonts w:ascii="楷体" w:hAnsi="楷体" w:cs="楷体" w:eastAsia="楷体" w:hint="default"/>
          <w:spacing w:val="-42"/>
          <w:sz w:val="22"/>
          <w:szCs w:val="22"/>
        </w:rPr>
        <w:t> </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11"/>
          <w:sz w:val="22"/>
          <w:szCs w:val="22"/>
        </w:rPr>
        <w:t> </w:t>
      </w:r>
      <w:r>
        <w:rPr>
          <w:rFonts w:ascii="楷体" w:hAnsi="楷体" w:cs="楷体" w:eastAsia="楷体" w:hint="default"/>
          <w:w w:val="99"/>
          <w:sz w:val="22"/>
          <w:szCs w:val="22"/>
        </w:rPr>
        <w:t>日起</w:t>
      </w:r>
      <w:r>
        <w:rPr>
          <w:rFonts w:ascii="楷体" w:hAnsi="楷体" w:cs="楷体" w:eastAsia="楷体" w:hint="default"/>
          <w:spacing w:val="1"/>
          <w:w w:val="99"/>
          <w:sz w:val="22"/>
          <w:szCs w:val="22"/>
        </w:rPr>
        <w:t>施</w:t>
      </w:r>
      <w:r>
        <w:rPr>
          <w:rFonts w:ascii="楷体" w:hAnsi="楷体" w:cs="楷体" w:eastAsia="楷体" w:hint="default"/>
          <w:w w:val="99"/>
          <w:sz w:val="22"/>
          <w:szCs w:val="22"/>
        </w:rPr>
        <w:t>行。</w:t>
      </w:r>
      <w:r>
        <w:rPr>
          <w:rFonts w:ascii="楷体" w:hAnsi="楷体" w:cs="楷体" w:eastAsia="楷体" w:hint="default"/>
          <w:spacing w:val="1"/>
          <w:w w:val="99"/>
          <w:sz w:val="22"/>
          <w:szCs w:val="22"/>
        </w:rPr>
        <w:t>本</w:t>
      </w:r>
      <w:r>
        <w:rPr>
          <w:rFonts w:ascii="楷体" w:hAnsi="楷体" w:cs="楷体" w:eastAsia="楷体" w:hint="default"/>
          <w:w w:val="99"/>
          <w:sz w:val="22"/>
          <w:szCs w:val="22"/>
        </w:rPr>
        <w:t>公</w:t>
      </w:r>
      <w:r>
        <w:rPr>
          <w:rFonts w:ascii="楷体" w:hAnsi="楷体" w:cs="楷体" w:eastAsia="楷体" w:hint="default"/>
          <w:spacing w:val="1"/>
          <w:w w:val="99"/>
          <w:sz w:val="22"/>
          <w:szCs w:val="22"/>
        </w:rPr>
        <w:t>司</w:t>
      </w:r>
      <w:r>
        <w:rPr>
          <w:rFonts w:ascii="楷体" w:hAnsi="楷体" w:cs="楷体" w:eastAsia="楷体" w:hint="default"/>
          <w:w w:val="99"/>
          <w:sz w:val="22"/>
          <w:szCs w:val="22"/>
        </w:rPr>
        <w:t>及境</w:t>
      </w:r>
      <w:r>
        <w:rPr>
          <w:rFonts w:ascii="楷体" w:hAnsi="楷体" w:cs="楷体" w:eastAsia="楷体" w:hint="default"/>
          <w:spacing w:val="1"/>
          <w:w w:val="99"/>
          <w:sz w:val="22"/>
          <w:szCs w:val="22"/>
        </w:rPr>
        <w:t>内</w:t>
      </w:r>
      <w:r>
        <w:rPr>
          <w:rFonts w:ascii="楷体" w:hAnsi="楷体" w:cs="楷体" w:eastAsia="楷体" w:hint="default"/>
          <w:w w:val="99"/>
          <w:sz w:val="22"/>
          <w:szCs w:val="22"/>
        </w:rPr>
        <w:t>子</w:t>
      </w:r>
      <w:r>
        <w:rPr>
          <w:rFonts w:ascii="楷体" w:hAnsi="楷体" w:cs="楷体" w:eastAsia="楷体" w:hint="default"/>
          <w:spacing w:val="1"/>
          <w:w w:val="99"/>
          <w:sz w:val="22"/>
          <w:szCs w:val="22"/>
        </w:rPr>
        <w:t>公</w:t>
      </w:r>
      <w:r>
        <w:rPr>
          <w:rFonts w:ascii="楷体" w:hAnsi="楷体" w:cs="楷体" w:eastAsia="楷体" w:hint="default"/>
          <w:w w:val="99"/>
          <w:sz w:val="22"/>
          <w:szCs w:val="22"/>
        </w:rPr>
        <w:t>司适</w:t>
      </w:r>
      <w:r>
        <w:rPr>
          <w:rFonts w:ascii="楷体" w:hAnsi="楷体" w:cs="楷体" w:eastAsia="楷体" w:hint="default"/>
          <w:spacing w:val="1"/>
          <w:w w:val="99"/>
          <w:sz w:val="22"/>
          <w:szCs w:val="22"/>
        </w:rPr>
        <w:t>用</w:t>
      </w:r>
      <w:r>
        <w:rPr>
          <w:rFonts w:ascii="楷体" w:hAnsi="楷体" w:cs="楷体" w:eastAsia="楷体" w:hint="default"/>
          <w:w w:val="99"/>
          <w:sz w:val="22"/>
          <w:szCs w:val="22"/>
        </w:rPr>
        <w:t>的</w:t>
      </w:r>
      <w:r>
        <w:rPr>
          <w:rFonts w:ascii="楷体" w:hAnsi="楷体" w:cs="楷体" w:eastAsia="楷体" w:hint="default"/>
          <w:spacing w:val="1"/>
          <w:w w:val="99"/>
          <w:sz w:val="22"/>
          <w:szCs w:val="22"/>
        </w:rPr>
        <w:t>企</w:t>
      </w:r>
      <w:r>
        <w:rPr>
          <w:rFonts w:ascii="楷体" w:hAnsi="楷体" w:cs="楷体" w:eastAsia="楷体" w:hint="default"/>
          <w:w w:val="99"/>
          <w:sz w:val="22"/>
          <w:szCs w:val="22"/>
        </w:rPr>
        <w:t>业</w:t>
      </w:r>
      <w:r>
        <w:rPr>
          <w:rFonts w:ascii="楷体" w:hAnsi="楷体" w:cs="楷体" w:eastAsia="楷体" w:hint="default"/>
          <w:sz w:val="22"/>
          <w:szCs w:val="22"/>
        </w:rPr>
      </w:r>
    </w:p>
    <w:p>
      <w:pPr>
        <w:spacing w:line="369" w:lineRule="auto" w:before="85"/>
        <w:ind w:left="578" w:right="534" w:hanging="441"/>
        <w:jc w:val="left"/>
        <w:rPr>
          <w:rFonts w:ascii="楷体" w:hAnsi="楷体" w:cs="楷体" w:eastAsia="楷体" w:hint="default"/>
          <w:sz w:val="22"/>
          <w:szCs w:val="22"/>
        </w:rPr>
      </w:pPr>
      <w:r>
        <w:rPr>
          <w:rFonts w:ascii="楷体" w:hAnsi="楷体" w:cs="楷体" w:eastAsia="楷体" w:hint="default"/>
          <w:sz w:val="22"/>
          <w:szCs w:val="22"/>
        </w:rPr>
        <w:t>所得税率自</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日起从</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33%</w:t>
      </w:r>
      <w:r>
        <w:rPr>
          <w:rFonts w:ascii="楷体" w:hAnsi="楷体" w:cs="楷体" w:eastAsia="楷体" w:hint="default"/>
          <w:sz w:val="22"/>
          <w:szCs w:val="22"/>
        </w:rPr>
        <w:t>调整为</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25%</w:t>
      </w:r>
      <w:r>
        <w:rPr>
          <w:rFonts w:ascii="楷体" w:hAnsi="楷体" w:cs="楷体" w:eastAsia="楷体" w:hint="default"/>
          <w:sz w:val="22"/>
          <w:szCs w:val="22"/>
        </w:rPr>
        <w:t>。</w:t>
      </w:r>
      <w:r>
        <w:rPr>
          <w:rFonts w:ascii="楷体" w:hAnsi="楷体" w:cs="楷体" w:eastAsia="楷体" w:hint="default"/>
          <w:w w:val="99"/>
          <w:sz w:val="22"/>
          <w:szCs w:val="22"/>
        </w:rPr>
        <w:t> </w:t>
      </w:r>
      <w:r>
        <w:rPr>
          <w:rFonts w:ascii="楷体" w:hAnsi="楷体" w:cs="楷体" w:eastAsia="楷体" w:hint="default"/>
          <w:sz w:val="22"/>
          <w:szCs w:val="22"/>
        </w:rPr>
        <w:t>除下述公司外，本公司及境内各子公司适用的所得税率为</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25%</w:t>
      </w:r>
      <w:r>
        <w:rPr>
          <w:rFonts w:ascii="楷体" w:hAnsi="楷体" w:cs="楷体" w:eastAsia="楷体" w:hint="default"/>
          <w:sz w:val="22"/>
          <w:szCs w:val="22"/>
        </w:rPr>
        <w:t>（</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年：</w:t>
      </w:r>
      <w:r>
        <w:rPr>
          <w:rFonts w:ascii="Times New Roman" w:hAnsi="Times New Roman" w:cs="Times New Roman" w:eastAsia="Times New Roman" w:hint="default"/>
          <w:sz w:val="22"/>
          <w:szCs w:val="22"/>
        </w:rPr>
        <w:t>33%</w:t>
      </w:r>
      <w:r>
        <w:rPr>
          <w:rFonts w:ascii="楷体" w:hAnsi="楷体" w:cs="楷体" w:eastAsia="楷体" w:hint="default"/>
          <w:sz w:val="22"/>
          <w:szCs w:val="22"/>
        </w:rPr>
        <w:t>、</w:t>
      </w:r>
      <w:r>
        <w:rPr>
          <w:rFonts w:ascii="Times New Roman" w:hAnsi="Times New Roman" w:cs="Times New Roman" w:eastAsia="Times New Roman" w:hint="default"/>
          <w:sz w:val="22"/>
          <w:szCs w:val="22"/>
        </w:rPr>
        <w:t>15%</w:t>
      </w:r>
      <w:r>
        <w:rPr>
          <w:rFonts w:ascii="楷体" w:hAnsi="楷体" w:cs="楷体" w:eastAsia="楷体" w:hint="default"/>
          <w:sz w:val="22"/>
          <w:szCs w:val="22"/>
        </w:rPr>
        <w:t>）</w:t>
      </w:r>
      <w:r>
        <w:rPr>
          <w:rFonts w:ascii="楷体" w:hAnsi="楷体" w:cs="楷体" w:eastAsia="楷体" w:hint="default"/>
          <w:w w:val="99"/>
          <w:sz w:val="22"/>
          <w:szCs w:val="22"/>
        </w:rPr>
        <w:t> </w:t>
      </w:r>
      <w:r>
        <w:rPr>
          <w:rFonts w:ascii="楷体" w:hAnsi="楷体" w:cs="楷体" w:eastAsia="楷体" w:hint="default"/>
          <w:sz w:val="22"/>
          <w:szCs w:val="22"/>
        </w:rPr>
        <w:t>本公司</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年度享受税收优惠的主要子公司的税率列示如下：</w:t>
      </w:r>
    </w:p>
    <w:p>
      <w:pPr>
        <w:spacing w:line="240" w:lineRule="auto" w:before="4"/>
        <w:rPr>
          <w:rFonts w:ascii="楷体" w:hAnsi="楷体" w:cs="楷体" w:eastAsia="楷体" w:hint="default"/>
          <w:sz w:val="2"/>
          <w:szCs w:val="2"/>
        </w:rPr>
      </w:pPr>
    </w:p>
    <w:tbl>
      <w:tblPr>
        <w:tblW w:w="0" w:type="auto"/>
        <w:jc w:val="left"/>
        <w:tblInd w:w="440" w:type="dxa"/>
        <w:tblLayout w:type="fixed"/>
        <w:tblCellMar>
          <w:top w:w="0" w:type="dxa"/>
          <w:left w:w="0" w:type="dxa"/>
          <w:bottom w:w="0" w:type="dxa"/>
          <w:right w:w="0" w:type="dxa"/>
        </w:tblCellMar>
        <w:tblLook w:val="01E0"/>
      </w:tblPr>
      <w:tblGrid>
        <w:gridCol w:w="3859"/>
        <w:gridCol w:w="1477"/>
        <w:gridCol w:w="2031"/>
        <w:gridCol w:w="1222"/>
      </w:tblGrid>
      <w:tr>
        <w:trPr>
          <w:trHeight w:val="304" w:hRule="exact"/>
        </w:trPr>
        <w:tc>
          <w:tcPr>
            <w:tcW w:w="3859" w:type="dxa"/>
            <w:tcBorders>
              <w:top w:val="single" w:sz="12" w:space="0" w:color="000000"/>
              <w:left w:val="nil" w:sz="6" w:space="0" w:color="auto"/>
              <w:bottom w:val="single" w:sz="4" w:space="0" w:color="000000"/>
              <w:right w:val="nil" w:sz="6" w:space="0" w:color="auto"/>
            </w:tcBorders>
          </w:tcPr>
          <w:p>
            <w:pPr>
              <w:pStyle w:val="TableParagraph"/>
              <w:spacing w:line="245" w:lineRule="exact"/>
              <w:ind w:left="11" w:right="0"/>
              <w:jc w:val="center"/>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477" w:type="dxa"/>
            <w:tcBorders>
              <w:top w:val="single" w:sz="12" w:space="0" w:color="000000"/>
              <w:left w:val="nil" w:sz="6" w:space="0" w:color="auto"/>
              <w:bottom w:val="single" w:sz="4" w:space="0" w:color="000000"/>
              <w:right w:val="nil" w:sz="6" w:space="0" w:color="auto"/>
            </w:tcBorders>
          </w:tcPr>
          <w:p>
            <w:pPr>
              <w:pStyle w:val="TableParagraph"/>
              <w:spacing w:line="245" w:lineRule="exact"/>
              <w:ind w:right="0"/>
              <w:jc w:val="center"/>
              <w:rPr>
                <w:rFonts w:ascii="宋体" w:hAnsi="宋体" w:cs="宋体" w:eastAsia="宋体" w:hint="default"/>
                <w:sz w:val="22"/>
                <w:szCs w:val="22"/>
              </w:rPr>
            </w:pPr>
            <w:r>
              <w:rPr>
                <w:rFonts w:ascii="宋体" w:hAnsi="宋体" w:cs="宋体" w:eastAsia="宋体" w:hint="default"/>
                <w:b/>
                <w:bCs/>
                <w:sz w:val="22"/>
                <w:szCs w:val="22"/>
              </w:rPr>
              <w:t>优惠税率</w:t>
            </w:r>
            <w:r>
              <w:rPr>
                <w:rFonts w:ascii="宋体" w:hAnsi="宋体" w:cs="宋体" w:eastAsia="宋体" w:hint="default"/>
                <w:sz w:val="22"/>
                <w:szCs w:val="22"/>
              </w:rPr>
            </w:r>
          </w:p>
        </w:tc>
        <w:tc>
          <w:tcPr>
            <w:tcW w:w="2031" w:type="dxa"/>
            <w:tcBorders>
              <w:top w:val="single" w:sz="12" w:space="0" w:color="000000"/>
              <w:left w:val="nil" w:sz="6" w:space="0" w:color="auto"/>
              <w:bottom w:val="single" w:sz="4" w:space="0" w:color="000000"/>
              <w:right w:val="nil" w:sz="6" w:space="0" w:color="auto"/>
            </w:tcBorders>
          </w:tcPr>
          <w:p>
            <w:pPr>
              <w:pStyle w:val="TableParagraph"/>
              <w:spacing w:line="245" w:lineRule="exact"/>
              <w:ind w:right="43"/>
              <w:jc w:val="center"/>
              <w:rPr>
                <w:rFonts w:ascii="宋体" w:hAnsi="宋体" w:cs="宋体" w:eastAsia="宋体" w:hint="default"/>
                <w:sz w:val="22"/>
                <w:szCs w:val="22"/>
              </w:rPr>
            </w:pPr>
            <w:r>
              <w:rPr>
                <w:rFonts w:ascii="宋体" w:hAnsi="宋体" w:cs="宋体" w:eastAsia="宋体" w:hint="default"/>
                <w:b/>
                <w:bCs/>
                <w:sz w:val="22"/>
                <w:szCs w:val="22"/>
              </w:rPr>
              <w:t>优惠原因</w:t>
            </w:r>
            <w:r>
              <w:rPr>
                <w:rFonts w:ascii="宋体" w:hAnsi="宋体" w:cs="宋体" w:eastAsia="宋体" w:hint="default"/>
                <w:sz w:val="22"/>
                <w:szCs w:val="22"/>
              </w:rPr>
            </w:r>
          </w:p>
        </w:tc>
        <w:tc>
          <w:tcPr>
            <w:tcW w:w="1222" w:type="dxa"/>
            <w:tcBorders>
              <w:top w:val="single" w:sz="12" w:space="0" w:color="000000"/>
              <w:left w:val="nil" w:sz="6" w:space="0" w:color="auto"/>
              <w:bottom w:val="single" w:sz="4" w:space="0" w:color="000000"/>
              <w:right w:val="nil" w:sz="6" w:space="0" w:color="auto"/>
            </w:tcBorders>
          </w:tcPr>
          <w:p>
            <w:pPr>
              <w:pStyle w:val="TableParagraph"/>
              <w:spacing w:line="245" w:lineRule="exact"/>
              <w:ind w:left="377" w:right="0"/>
              <w:jc w:val="left"/>
              <w:rPr>
                <w:rFonts w:ascii="宋体" w:hAnsi="宋体" w:cs="宋体" w:eastAsia="宋体" w:hint="default"/>
                <w:sz w:val="22"/>
                <w:szCs w:val="22"/>
              </w:rPr>
            </w:pPr>
            <w:r>
              <w:rPr>
                <w:rFonts w:ascii="宋体" w:hAnsi="宋体" w:cs="宋体" w:eastAsia="宋体" w:hint="default"/>
                <w:b/>
                <w:bCs/>
                <w:sz w:val="22"/>
                <w:szCs w:val="22"/>
              </w:rPr>
              <w:t>注释</w:t>
            </w:r>
            <w:r>
              <w:rPr>
                <w:rFonts w:ascii="宋体" w:hAnsi="宋体" w:cs="宋体" w:eastAsia="宋体" w:hint="default"/>
                <w:sz w:val="22"/>
                <w:szCs w:val="22"/>
              </w:rPr>
            </w:r>
          </w:p>
        </w:tc>
      </w:tr>
      <w:tr>
        <w:trPr>
          <w:trHeight w:val="277" w:hRule="exact"/>
        </w:trPr>
        <w:tc>
          <w:tcPr>
            <w:tcW w:w="3859" w:type="dxa"/>
            <w:tcBorders>
              <w:top w:val="single" w:sz="4" w:space="0" w:color="000000"/>
              <w:left w:val="nil" w:sz="6" w:space="0" w:color="auto"/>
              <w:bottom w:val="nil" w:sz="6" w:space="0" w:color="auto"/>
              <w:right w:val="nil" w:sz="6" w:space="0" w:color="auto"/>
            </w:tcBorders>
          </w:tcPr>
          <w:p>
            <w:pPr>
              <w:pStyle w:val="TableParagraph"/>
              <w:spacing w:line="245" w:lineRule="exact"/>
              <w:ind w:left="41" w:right="0"/>
              <w:jc w:val="left"/>
              <w:rPr>
                <w:rFonts w:ascii="楷体" w:hAnsi="楷体" w:cs="楷体" w:eastAsia="楷体" w:hint="default"/>
                <w:sz w:val="22"/>
                <w:szCs w:val="22"/>
              </w:rPr>
            </w:pPr>
            <w:r>
              <w:rPr>
                <w:rFonts w:ascii="楷体" w:hAnsi="楷体" w:cs="楷体" w:eastAsia="楷体" w:hint="default"/>
                <w:sz w:val="22"/>
                <w:szCs w:val="22"/>
              </w:rPr>
              <w:t>同方股份有限公司</w:t>
            </w:r>
          </w:p>
        </w:tc>
        <w:tc>
          <w:tcPr>
            <w:tcW w:w="147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 w:right="0"/>
              <w:jc w:val="center"/>
              <w:rPr>
                <w:rFonts w:ascii="Times New Roman" w:hAnsi="Times New Roman" w:cs="Times New Roman" w:eastAsia="Times New Roman" w:hint="default"/>
                <w:sz w:val="22"/>
                <w:szCs w:val="22"/>
              </w:rPr>
            </w:pPr>
            <w:r>
              <w:rPr>
                <w:rFonts w:ascii="Times New Roman"/>
                <w:sz w:val="22"/>
              </w:rPr>
              <w:t>15%</w:t>
            </w:r>
          </w:p>
        </w:tc>
        <w:tc>
          <w:tcPr>
            <w:tcW w:w="2031" w:type="dxa"/>
            <w:tcBorders>
              <w:top w:val="single" w:sz="4" w:space="0" w:color="000000"/>
              <w:left w:val="nil" w:sz="6" w:space="0" w:color="auto"/>
              <w:bottom w:val="single" w:sz="6" w:space="0" w:color="000000"/>
              <w:right w:val="nil" w:sz="6" w:space="0" w:color="auto"/>
            </w:tcBorders>
          </w:tcPr>
          <w:p>
            <w:pPr>
              <w:pStyle w:val="TableParagraph"/>
              <w:spacing w:line="229" w:lineRule="exact"/>
              <w:ind w:right="42"/>
              <w:jc w:val="center"/>
              <w:rPr>
                <w:rFonts w:ascii="楷体" w:hAnsi="楷体" w:cs="楷体" w:eastAsia="楷体" w:hint="default"/>
                <w:sz w:val="22"/>
                <w:szCs w:val="22"/>
              </w:rPr>
            </w:pPr>
            <w:r>
              <w:rPr>
                <w:rFonts w:ascii="楷体" w:hAnsi="楷体" w:cs="楷体" w:eastAsia="楷体" w:hint="default"/>
                <w:sz w:val="22"/>
                <w:szCs w:val="22"/>
              </w:rPr>
              <w:t>高新技术企业</w:t>
            </w:r>
          </w:p>
        </w:tc>
        <w:tc>
          <w:tcPr>
            <w:tcW w:w="1222" w:type="dxa"/>
            <w:tcBorders>
              <w:top w:val="single" w:sz="4" w:space="0" w:color="000000"/>
              <w:left w:val="nil" w:sz="6" w:space="0" w:color="auto"/>
              <w:bottom w:val="single" w:sz="6" w:space="0" w:color="000000"/>
              <w:right w:val="nil" w:sz="6" w:space="0" w:color="auto"/>
            </w:tcBorders>
          </w:tcPr>
          <w:p>
            <w:pPr>
              <w:pStyle w:val="TableParagraph"/>
              <w:spacing w:line="246" w:lineRule="exact"/>
              <w:ind w:left="406" w:right="0"/>
              <w:jc w:val="left"/>
              <w:rPr>
                <w:rFonts w:ascii="Times New Roman" w:hAnsi="Times New Roman" w:cs="Times New Roman" w:eastAsia="Times New Roman" w:hint="default"/>
                <w:sz w:val="22"/>
                <w:szCs w:val="22"/>
              </w:rPr>
            </w:pPr>
            <w:r>
              <w:rPr>
                <w:rFonts w:ascii="楷体" w:hAnsi="楷体" w:cs="楷体" w:eastAsia="楷体" w:hint="default"/>
                <w:sz w:val="22"/>
                <w:szCs w:val="22"/>
              </w:rPr>
              <w:t>注</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w:t>
            </w:r>
          </w:p>
        </w:tc>
      </w:tr>
      <w:tr>
        <w:trPr>
          <w:trHeight w:val="284"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57" w:lineRule="exact"/>
              <w:ind w:left="41" w:right="0"/>
              <w:jc w:val="left"/>
              <w:rPr>
                <w:rFonts w:ascii="楷体" w:hAnsi="楷体" w:cs="楷体" w:eastAsia="楷体" w:hint="default"/>
                <w:sz w:val="22"/>
                <w:szCs w:val="22"/>
              </w:rPr>
            </w:pPr>
            <w:r>
              <w:rPr>
                <w:rFonts w:ascii="楷体" w:hAnsi="楷体" w:cs="楷体" w:eastAsia="楷体" w:hint="default"/>
                <w:sz w:val="22"/>
                <w:szCs w:val="22"/>
              </w:rPr>
              <w:t>泰豪科技股份有限公司</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 w:right="0"/>
              <w:jc w:val="center"/>
              <w:rPr>
                <w:rFonts w:ascii="Times New Roman" w:hAnsi="Times New Roman" w:cs="Times New Roman" w:eastAsia="Times New Roman" w:hint="default"/>
                <w:sz w:val="22"/>
                <w:szCs w:val="22"/>
              </w:rPr>
            </w:pPr>
            <w:r>
              <w:rPr>
                <w:rFonts w:ascii="Times New Roman"/>
                <w:sz w:val="22"/>
              </w:rPr>
              <w:t>15%</w:t>
            </w:r>
          </w:p>
        </w:tc>
        <w:tc>
          <w:tcPr>
            <w:tcW w:w="2031"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42"/>
              <w:jc w:val="center"/>
              <w:rPr>
                <w:rFonts w:ascii="楷体" w:hAnsi="楷体" w:cs="楷体" w:eastAsia="楷体" w:hint="default"/>
                <w:sz w:val="22"/>
                <w:szCs w:val="22"/>
              </w:rPr>
            </w:pPr>
            <w:r>
              <w:rPr>
                <w:rFonts w:ascii="楷体" w:hAnsi="楷体" w:cs="楷体" w:eastAsia="楷体" w:hint="default"/>
                <w:sz w:val="22"/>
                <w:szCs w:val="22"/>
              </w:rPr>
              <w:t>高新技术企业</w:t>
            </w:r>
          </w:p>
        </w:tc>
        <w:tc>
          <w:tcPr>
            <w:tcW w:w="1222" w:type="dxa"/>
            <w:tcBorders>
              <w:top w:val="single" w:sz="6" w:space="0" w:color="000000"/>
              <w:left w:val="nil" w:sz="6" w:space="0" w:color="auto"/>
              <w:bottom w:val="single" w:sz="6" w:space="0" w:color="000000"/>
              <w:right w:val="nil" w:sz="6" w:space="0" w:color="auto"/>
            </w:tcBorders>
          </w:tcPr>
          <w:p>
            <w:pPr>
              <w:pStyle w:val="TableParagraph"/>
              <w:spacing w:line="250" w:lineRule="exact"/>
              <w:ind w:left="406" w:right="0"/>
              <w:jc w:val="left"/>
              <w:rPr>
                <w:rFonts w:ascii="Times New Roman" w:hAnsi="Times New Roman" w:cs="Times New Roman" w:eastAsia="Times New Roman" w:hint="default"/>
                <w:sz w:val="22"/>
                <w:szCs w:val="22"/>
              </w:rPr>
            </w:pPr>
            <w:r>
              <w:rPr>
                <w:rFonts w:ascii="楷体" w:hAnsi="楷体" w:cs="楷体" w:eastAsia="楷体" w:hint="default"/>
                <w:sz w:val="22"/>
                <w:szCs w:val="22"/>
              </w:rPr>
              <w:t>注</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w:t>
            </w:r>
          </w:p>
        </w:tc>
      </w:tr>
      <w:tr>
        <w:trPr>
          <w:trHeight w:val="284"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57" w:lineRule="exact"/>
              <w:ind w:left="41" w:right="0"/>
              <w:jc w:val="left"/>
              <w:rPr>
                <w:rFonts w:ascii="楷体" w:hAnsi="楷体" w:cs="楷体" w:eastAsia="楷体" w:hint="default"/>
                <w:sz w:val="22"/>
                <w:szCs w:val="22"/>
              </w:rPr>
            </w:pPr>
            <w:r>
              <w:rPr>
                <w:rFonts w:ascii="楷体" w:hAnsi="楷体" w:cs="楷体" w:eastAsia="楷体" w:hint="default"/>
                <w:sz w:val="22"/>
                <w:szCs w:val="22"/>
              </w:rPr>
              <w:t>同方威视技术股份有限公司</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 w:right="0"/>
              <w:jc w:val="center"/>
              <w:rPr>
                <w:rFonts w:ascii="Times New Roman" w:hAnsi="Times New Roman" w:cs="Times New Roman" w:eastAsia="Times New Roman" w:hint="default"/>
                <w:sz w:val="22"/>
                <w:szCs w:val="22"/>
              </w:rPr>
            </w:pPr>
            <w:r>
              <w:rPr>
                <w:rFonts w:ascii="Times New Roman"/>
                <w:sz w:val="22"/>
              </w:rPr>
              <w:t>15%</w:t>
            </w:r>
          </w:p>
        </w:tc>
        <w:tc>
          <w:tcPr>
            <w:tcW w:w="2031"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42"/>
              <w:jc w:val="center"/>
              <w:rPr>
                <w:rFonts w:ascii="楷体" w:hAnsi="楷体" w:cs="楷体" w:eastAsia="楷体" w:hint="default"/>
                <w:sz w:val="22"/>
                <w:szCs w:val="22"/>
              </w:rPr>
            </w:pPr>
            <w:r>
              <w:rPr>
                <w:rFonts w:ascii="楷体" w:hAnsi="楷体" w:cs="楷体" w:eastAsia="楷体" w:hint="default"/>
                <w:sz w:val="22"/>
                <w:szCs w:val="22"/>
              </w:rPr>
              <w:t>高新技术企业</w:t>
            </w:r>
          </w:p>
        </w:tc>
        <w:tc>
          <w:tcPr>
            <w:tcW w:w="1222" w:type="dxa"/>
            <w:tcBorders>
              <w:top w:val="single" w:sz="6" w:space="0" w:color="000000"/>
              <w:left w:val="nil" w:sz="6" w:space="0" w:color="auto"/>
              <w:bottom w:val="single" w:sz="6" w:space="0" w:color="000000"/>
              <w:right w:val="nil" w:sz="6" w:space="0" w:color="auto"/>
            </w:tcBorders>
          </w:tcPr>
          <w:p>
            <w:pPr>
              <w:pStyle w:val="TableParagraph"/>
              <w:spacing w:line="250" w:lineRule="exact"/>
              <w:ind w:left="406" w:right="0"/>
              <w:jc w:val="left"/>
              <w:rPr>
                <w:rFonts w:ascii="Times New Roman" w:hAnsi="Times New Roman" w:cs="Times New Roman" w:eastAsia="Times New Roman" w:hint="default"/>
                <w:sz w:val="22"/>
                <w:szCs w:val="22"/>
              </w:rPr>
            </w:pPr>
            <w:r>
              <w:rPr>
                <w:rFonts w:ascii="楷体" w:hAnsi="楷体" w:cs="楷体" w:eastAsia="楷体" w:hint="default"/>
                <w:sz w:val="22"/>
                <w:szCs w:val="22"/>
              </w:rPr>
              <w:t>注</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w:t>
            </w:r>
          </w:p>
        </w:tc>
      </w:tr>
      <w:tr>
        <w:trPr>
          <w:trHeight w:val="284"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55" w:lineRule="exact"/>
              <w:ind w:left="41" w:right="0"/>
              <w:jc w:val="left"/>
              <w:rPr>
                <w:rFonts w:ascii="楷体" w:hAnsi="楷体" w:cs="楷体" w:eastAsia="楷体" w:hint="default"/>
                <w:sz w:val="22"/>
                <w:szCs w:val="22"/>
              </w:rPr>
            </w:pPr>
            <w:r>
              <w:rPr>
                <w:rFonts w:ascii="楷体" w:hAnsi="楷体" w:cs="楷体" w:eastAsia="楷体" w:hint="default"/>
                <w:sz w:val="22"/>
                <w:szCs w:val="22"/>
              </w:rPr>
              <w:t>北京同方微电子有限公司</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center"/>
              <w:rPr>
                <w:rFonts w:ascii="Times New Roman" w:hAnsi="Times New Roman" w:cs="Times New Roman" w:eastAsia="Times New Roman" w:hint="default"/>
                <w:sz w:val="22"/>
                <w:szCs w:val="22"/>
              </w:rPr>
            </w:pPr>
            <w:r>
              <w:rPr>
                <w:rFonts w:ascii="Times New Roman"/>
                <w:sz w:val="22"/>
              </w:rPr>
              <w:t>7.5%</w:t>
            </w:r>
          </w:p>
        </w:tc>
        <w:tc>
          <w:tcPr>
            <w:tcW w:w="2031" w:type="dxa"/>
            <w:tcBorders>
              <w:top w:val="single" w:sz="6" w:space="0" w:color="000000"/>
              <w:left w:val="nil" w:sz="6" w:space="0" w:color="auto"/>
              <w:bottom w:val="single" w:sz="6" w:space="0" w:color="000000"/>
              <w:right w:val="nil" w:sz="6" w:space="0" w:color="auto"/>
            </w:tcBorders>
          </w:tcPr>
          <w:p>
            <w:pPr>
              <w:pStyle w:val="TableParagraph"/>
              <w:spacing w:line="233" w:lineRule="exact"/>
              <w:ind w:right="42"/>
              <w:jc w:val="center"/>
              <w:rPr>
                <w:rFonts w:ascii="楷体" w:hAnsi="楷体" w:cs="楷体" w:eastAsia="楷体" w:hint="default"/>
                <w:sz w:val="22"/>
                <w:szCs w:val="22"/>
              </w:rPr>
            </w:pPr>
            <w:r>
              <w:rPr>
                <w:rFonts w:ascii="楷体" w:hAnsi="楷体" w:cs="楷体" w:eastAsia="楷体" w:hint="default"/>
                <w:sz w:val="22"/>
                <w:szCs w:val="22"/>
              </w:rPr>
              <w:t>高新技术企业</w:t>
            </w:r>
          </w:p>
        </w:tc>
        <w:tc>
          <w:tcPr>
            <w:tcW w:w="1222" w:type="dxa"/>
            <w:tcBorders>
              <w:top w:val="single" w:sz="6" w:space="0" w:color="000000"/>
              <w:left w:val="nil" w:sz="6" w:space="0" w:color="auto"/>
              <w:bottom w:val="single" w:sz="6" w:space="0" w:color="000000"/>
              <w:right w:val="nil" w:sz="6" w:space="0" w:color="auto"/>
            </w:tcBorders>
          </w:tcPr>
          <w:p>
            <w:pPr>
              <w:pStyle w:val="TableParagraph"/>
              <w:spacing w:line="249" w:lineRule="exact"/>
              <w:ind w:left="406" w:right="0"/>
              <w:jc w:val="left"/>
              <w:rPr>
                <w:rFonts w:ascii="Times New Roman" w:hAnsi="Times New Roman" w:cs="Times New Roman" w:eastAsia="Times New Roman" w:hint="default"/>
                <w:sz w:val="22"/>
                <w:szCs w:val="22"/>
              </w:rPr>
            </w:pPr>
            <w:r>
              <w:rPr>
                <w:rFonts w:ascii="楷体" w:hAnsi="楷体" w:cs="楷体" w:eastAsia="楷体" w:hint="default"/>
                <w:sz w:val="22"/>
                <w:szCs w:val="22"/>
              </w:rPr>
              <w:t>注</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w:t>
            </w:r>
          </w:p>
        </w:tc>
      </w:tr>
      <w:tr>
        <w:trPr>
          <w:trHeight w:val="283"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55" w:lineRule="exact"/>
              <w:ind w:left="41" w:right="0"/>
              <w:jc w:val="left"/>
              <w:rPr>
                <w:rFonts w:ascii="楷体" w:hAnsi="楷体" w:cs="楷体" w:eastAsia="楷体" w:hint="default"/>
                <w:sz w:val="22"/>
                <w:szCs w:val="22"/>
              </w:rPr>
            </w:pPr>
            <w:r>
              <w:rPr>
                <w:rFonts w:ascii="楷体" w:hAnsi="楷体" w:cs="楷体" w:eastAsia="楷体" w:hint="default"/>
                <w:sz w:val="22"/>
                <w:szCs w:val="22"/>
              </w:rPr>
              <w:t>同方光盘股份有限公司</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 w:right="0"/>
              <w:jc w:val="center"/>
              <w:rPr>
                <w:rFonts w:ascii="Times New Roman" w:hAnsi="Times New Roman" w:cs="Times New Roman" w:eastAsia="Times New Roman" w:hint="default"/>
                <w:sz w:val="22"/>
                <w:szCs w:val="22"/>
              </w:rPr>
            </w:pPr>
            <w:r>
              <w:rPr>
                <w:rFonts w:ascii="Times New Roman"/>
                <w:sz w:val="22"/>
              </w:rPr>
              <w:t>15%</w:t>
            </w:r>
          </w:p>
        </w:tc>
        <w:tc>
          <w:tcPr>
            <w:tcW w:w="2031" w:type="dxa"/>
            <w:tcBorders>
              <w:top w:val="single" w:sz="6" w:space="0" w:color="000000"/>
              <w:left w:val="nil" w:sz="6" w:space="0" w:color="auto"/>
              <w:bottom w:val="single" w:sz="6" w:space="0" w:color="000000"/>
              <w:right w:val="nil" w:sz="6" w:space="0" w:color="auto"/>
            </w:tcBorders>
          </w:tcPr>
          <w:p>
            <w:pPr>
              <w:pStyle w:val="TableParagraph"/>
              <w:spacing w:line="233" w:lineRule="exact"/>
              <w:ind w:right="42"/>
              <w:jc w:val="center"/>
              <w:rPr>
                <w:rFonts w:ascii="楷体" w:hAnsi="楷体" w:cs="楷体" w:eastAsia="楷体" w:hint="default"/>
                <w:sz w:val="22"/>
                <w:szCs w:val="22"/>
              </w:rPr>
            </w:pPr>
            <w:r>
              <w:rPr>
                <w:rFonts w:ascii="楷体" w:hAnsi="楷体" w:cs="楷体" w:eastAsia="楷体" w:hint="default"/>
                <w:sz w:val="22"/>
                <w:szCs w:val="22"/>
              </w:rPr>
              <w:t>高新技术企业</w:t>
            </w:r>
          </w:p>
        </w:tc>
        <w:tc>
          <w:tcPr>
            <w:tcW w:w="1222" w:type="dxa"/>
            <w:tcBorders>
              <w:top w:val="single" w:sz="6" w:space="0" w:color="000000"/>
              <w:left w:val="nil" w:sz="6" w:space="0" w:color="auto"/>
              <w:bottom w:val="single" w:sz="6" w:space="0" w:color="000000"/>
              <w:right w:val="nil" w:sz="6" w:space="0" w:color="auto"/>
            </w:tcBorders>
          </w:tcPr>
          <w:p>
            <w:pPr>
              <w:pStyle w:val="TableParagraph"/>
              <w:spacing w:line="249" w:lineRule="exact"/>
              <w:ind w:left="406" w:right="0"/>
              <w:jc w:val="left"/>
              <w:rPr>
                <w:rFonts w:ascii="Times New Roman" w:hAnsi="Times New Roman" w:cs="Times New Roman" w:eastAsia="Times New Roman" w:hint="default"/>
                <w:sz w:val="22"/>
                <w:szCs w:val="22"/>
              </w:rPr>
            </w:pPr>
            <w:r>
              <w:rPr>
                <w:rFonts w:ascii="楷体" w:hAnsi="楷体" w:cs="楷体" w:eastAsia="楷体" w:hint="default"/>
                <w:sz w:val="22"/>
                <w:szCs w:val="22"/>
              </w:rPr>
              <w:t>注</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w:t>
            </w:r>
          </w:p>
        </w:tc>
      </w:tr>
      <w:tr>
        <w:trPr>
          <w:trHeight w:val="294"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57" w:lineRule="exact"/>
              <w:ind w:left="41" w:right="0"/>
              <w:jc w:val="left"/>
              <w:rPr>
                <w:rFonts w:ascii="楷体" w:hAnsi="楷体" w:cs="楷体" w:eastAsia="楷体" w:hint="default"/>
                <w:sz w:val="22"/>
                <w:szCs w:val="22"/>
              </w:rPr>
            </w:pPr>
            <w:r>
              <w:rPr>
                <w:rFonts w:ascii="楷体" w:hAnsi="楷体" w:cs="楷体" w:eastAsia="楷体" w:hint="default"/>
                <w:sz w:val="22"/>
                <w:szCs w:val="22"/>
              </w:rPr>
              <w:t>中国学术期刊（光盘版）电子杂志社</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 w:right="0"/>
              <w:jc w:val="center"/>
              <w:rPr>
                <w:rFonts w:ascii="Times New Roman" w:hAnsi="Times New Roman" w:cs="Times New Roman" w:eastAsia="Times New Roman" w:hint="default"/>
                <w:sz w:val="22"/>
                <w:szCs w:val="22"/>
              </w:rPr>
            </w:pPr>
            <w:r>
              <w:rPr>
                <w:rFonts w:ascii="Times New Roman"/>
                <w:sz w:val="22"/>
              </w:rPr>
              <w:t>15%</w:t>
            </w:r>
          </w:p>
        </w:tc>
        <w:tc>
          <w:tcPr>
            <w:tcW w:w="2031" w:type="dxa"/>
            <w:tcBorders>
              <w:top w:val="single" w:sz="6" w:space="0" w:color="000000"/>
              <w:left w:val="nil" w:sz="6" w:space="0" w:color="auto"/>
              <w:bottom w:val="nil" w:sz="6" w:space="0" w:color="auto"/>
              <w:right w:val="nil" w:sz="6" w:space="0" w:color="auto"/>
            </w:tcBorders>
          </w:tcPr>
          <w:p>
            <w:pPr>
              <w:pStyle w:val="TableParagraph"/>
              <w:spacing w:line="249" w:lineRule="exact"/>
              <w:ind w:right="42"/>
              <w:jc w:val="center"/>
              <w:rPr>
                <w:rFonts w:ascii="楷体" w:hAnsi="楷体" w:cs="楷体" w:eastAsia="楷体" w:hint="default"/>
                <w:sz w:val="22"/>
                <w:szCs w:val="22"/>
              </w:rPr>
            </w:pPr>
            <w:r>
              <w:rPr>
                <w:rFonts w:ascii="楷体" w:hAnsi="楷体" w:cs="楷体" w:eastAsia="楷体" w:hint="default"/>
                <w:sz w:val="22"/>
                <w:szCs w:val="22"/>
              </w:rPr>
              <w:t>高新技术企业</w:t>
            </w:r>
          </w:p>
        </w:tc>
        <w:tc>
          <w:tcPr>
            <w:tcW w:w="1222" w:type="dxa"/>
            <w:tcBorders>
              <w:top w:val="single" w:sz="6" w:space="0" w:color="000000"/>
              <w:left w:val="nil" w:sz="6" w:space="0" w:color="auto"/>
              <w:bottom w:val="nil" w:sz="6" w:space="0" w:color="auto"/>
              <w:right w:val="nil" w:sz="6" w:space="0" w:color="auto"/>
            </w:tcBorders>
          </w:tcPr>
          <w:p>
            <w:pPr>
              <w:pStyle w:val="TableParagraph"/>
              <w:spacing w:line="266" w:lineRule="exact"/>
              <w:ind w:left="406" w:right="0"/>
              <w:jc w:val="left"/>
              <w:rPr>
                <w:rFonts w:ascii="Times New Roman" w:hAnsi="Times New Roman" w:cs="Times New Roman" w:eastAsia="Times New Roman" w:hint="default"/>
                <w:sz w:val="22"/>
                <w:szCs w:val="22"/>
              </w:rPr>
            </w:pPr>
            <w:r>
              <w:rPr>
                <w:rFonts w:ascii="楷体" w:hAnsi="楷体" w:cs="楷体" w:eastAsia="楷体" w:hint="default"/>
                <w:sz w:val="22"/>
                <w:szCs w:val="22"/>
              </w:rPr>
              <w:t>注</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w:t>
            </w:r>
          </w:p>
        </w:tc>
      </w:tr>
      <w:tr>
        <w:trPr>
          <w:trHeight w:val="284"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5" w:lineRule="exact"/>
              <w:ind w:left="41" w:right="0"/>
              <w:jc w:val="left"/>
              <w:rPr>
                <w:rFonts w:ascii="楷体" w:hAnsi="楷体" w:cs="楷体" w:eastAsia="楷体" w:hint="default"/>
                <w:sz w:val="22"/>
                <w:szCs w:val="22"/>
              </w:rPr>
            </w:pPr>
            <w:r>
              <w:rPr>
                <w:rFonts w:ascii="楷体" w:hAnsi="楷体" w:cs="楷体" w:eastAsia="楷体" w:hint="default"/>
                <w:sz w:val="22"/>
                <w:szCs w:val="22"/>
              </w:rPr>
              <w:t>同方工业有限公司</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 w:right="0"/>
              <w:jc w:val="center"/>
              <w:rPr>
                <w:rFonts w:ascii="Times New Roman" w:hAnsi="Times New Roman" w:cs="Times New Roman" w:eastAsia="Times New Roman" w:hint="default"/>
                <w:sz w:val="22"/>
                <w:szCs w:val="22"/>
              </w:rPr>
            </w:pPr>
            <w:r>
              <w:rPr>
                <w:rFonts w:ascii="Times New Roman"/>
                <w:sz w:val="22"/>
              </w:rPr>
              <w:t>0%</w:t>
            </w:r>
          </w:p>
        </w:tc>
        <w:tc>
          <w:tcPr>
            <w:tcW w:w="2031" w:type="dxa"/>
            <w:tcBorders>
              <w:top w:val="nil" w:sz="6" w:space="0" w:color="auto"/>
              <w:left w:val="nil" w:sz="6" w:space="0" w:color="auto"/>
              <w:bottom w:val="nil" w:sz="6" w:space="0" w:color="auto"/>
              <w:right w:val="nil" w:sz="6" w:space="0" w:color="auto"/>
            </w:tcBorders>
          </w:tcPr>
          <w:p>
            <w:pPr>
              <w:pStyle w:val="TableParagraph"/>
              <w:spacing w:line="245" w:lineRule="exact"/>
              <w:ind w:right="42"/>
              <w:jc w:val="center"/>
              <w:rPr>
                <w:rFonts w:ascii="楷体" w:hAnsi="楷体" w:cs="楷体" w:eastAsia="楷体" w:hint="default"/>
                <w:sz w:val="22"/>
                <w:szCs w:val="22"/>
              </w:rPr>
            </w:pPr>
            <w:r>
              <w:rPr>
                <w:rFonts w:ascii="楷体" w:hAnsi="楷体" w:cs="楷体" w:eastAsia="楷体" w:hint="default"/>
                <w:sz w:val="22"/>
                <w:szCs w:val="22"/>
              </w:rPr>
              <w:t>高新技术企业</w:t>
            </w:r>
          </w:p>
        </w:tc>
        <w:tc>
          <w:tcPr>
            <w:tcW w:w="1222" w:type="dxa"/>
            <w:tcBorders>
              <w:top w:val="nil" w:sz="6" w:space="0" w:color="auto"/>
              <w:left w:val="nil" w:sz="6" w:space="0" w:color="auto"/>
              <w:bottom w:val="nil" w:sz="6" w:space="0" w:color="auto"/>
              <w:right w:val="nil" w:sz="6" w:space="0" w:color="auto"/>
            </w:tcBorders>
          </w:tcPr>
          <w:p>
            <w:pPr>
              <w:pStyle w:val="TableParagraph"/>
              <w:spacing w:line="262" w:lineRule="exact"/>
              <w:ind w:left="406" w:right="0"/>
              <w:jc w:val="left"/>
              <w:rPr>
                <w:rFonts w:ascii="Times New Roman" w:hAnsi="Times New Roman" w:cs="Times New Roman" w:eastAsia="Times New Roman" w:hint="default"/>
                <w:sz w:val="22"/>
                <w:szCs w:val="22"/>
              </w:rPr>
            </w:pPr>
            <w:r>
              <w:rPr>
                <w:rFonts w:ascii="楷体" w:hAnsi="楷体" w:cs="楷体" w:eastAsia="楷体" w:hint="default"/>
                <w:sz w:val="22"/>
                <w:szCs w:val="22"/>
              </w:rPr>
              <w:t>注</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3</w:t>
            </w:r>
          </w:p>
        </w:tc>
      </w:tr>
      <w:tr>
        <w:trPr>
          <w:trHeight w:val="284"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6" w:lineRule="exact"/>
              <w:ind w:left="41" w:right="0"/>
              <w:jc w:val="left"/>
              <w:rPr>
                <w:rFonts w:ascii="楷体" w:hAnsi="楷体" w:cs="楷体" w:eastAsia="楷体" w:hint="default"/>
                <w:sz w:val="22"/>
                <w:szCs w:val="22"/>
              </w:rPr>
            </w:pPr>
            <w:r>
              <w:rPr>
                <w:rFonts w:ascii="楷体" w:hAnsi="楷体" w:cs="楷体" w:eastAsia="楷体" w:hint="default"/>
                <w:sz w:val="22"/>
                <w:szCs w:val="22"/>
              </w:rPr>
              <w:t>中体同方体育科技有限公司</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 w:right="0"/>
              <w:jc w:val="center"/>
              <w:rPr>
                <w:rFonts w:ascii="Times New Roman" w:hAnsi="Times New Roman" w:cs="Times New Roman" w:eastAsia="Times New Roman" w:hint="default"/>
                <w:sz w:val="22"/>
                <w:szCs w:val="22"/>
              </w:rPr>
            </w:pPr>
            <w:r>
              <w:rPr>
                <w:rFonts w:ascii="Times New Roman"/>
                <w:sz w:val="22"/>
              </w:rPr>
              <w:t>15%</w:t>
            </w:r>
          </w:p>
        </w:tc>
        <w:tc>
          <w:tcPr>
            <w:tcW w:w="2031" w:type="dxa"/>
            <w:tcBorders>
              <w:top w:val="nil" w:sz="6" w:space="0" w:color="auto"/>
              <w:left w:val="nil" w:sz="6" w:space="0" w:color="auto"/>
              <w:bottom w:val="nil" w:sz="6" w:space="0" w:color="auto"/>
              <w:right w:val="nil" w:sz="6" w:space="0" w:color="auto"/>
            </w:tcBorders>
          </w:tcPr>
          <w:p>
            <w:pPr>
              <w:pStyle w:val="TableParagraph"/>
              <w:spacing w:line="246" w:lineRule="exact"/>
              <w:ind w:right="42"/>
              <w:jc w:val="center"/>
              <w:rPr>
                <w:rFonts w:ascii="楷体" w:hAnsi="楷体" w:cs="楷体" w:eastAsia="楷体" w:hint="default"/>
                <w:sz w:val="22"/>
                <w:szCs w:val="22"/>
              </w:rPr>
            </w:pPr>
            <w:r>
              <w:rPr>
                <w:rFonts w:ascii="楷体" w:hAnsi="楷体" w:cs="楷体" w:eastAsia="楷体" w:hint="default"/>
                <w:sz w:val="22"/>
                <w:szCs w:val="22"/>
              </w:rPr>
              <w:t>高新技术企业</w:t>
            </w:r>
          </w:p>
        </w:tc>
        <w:tc>
          <w:tcPr>
            <w:tcW w:w="1222" w:type="dxa"/>
            <w:tcBorders>
              <w:top w:val="nil" w:sz="6" w:space="0" w:color="auto"/>
              <w:left w:val="nil" w:sz="6" w:space="0" w:color="auto"/>
              <w:bottom w:val="nil" w:sz="6" w:space="0" w:color="auto"/>
              <w:right w:val="nil" w:sz="6" w:space="0" w:color="auto"/>
            </w:tcBorders>
          </w:tcPr>
          <w:p>
            <w:pPr>
              <w:pStyle w:val="TableParagraph"/>
              <w:spacing w:line="263" w:lineRule="exact"/>
              <w:ind w:left="406" w:right="0"/>
              <w:jc w:val="left"/>
              <w:rPr>
                <w:rFonts w:ascii="Times New Roman" w:hAnsi="Times New Roman" w:cs="Times New Roman" w:eastAsia="Times New Roman" w:hint="default"/>
                <w:sz w:val="22"/>
                <w:szCs w:val="22"/>
              </w:rPr>
            </w:pPr>
            <w:r>
              <w:rPr>
                <w:rFonts w:ascii="楷体" w:hAnsi="楷体" w:cs="楷体" w:eastAsia="楷体" w:hint="default"/>
                <w:sz w:val="22"/>
                <w:szCs w:val="22"/>
              </w:rPr>
              <w:t>注</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w:t>
            </w:r>
          </w:p>
        </w:tc>
      </w:tr>
      <w:tr>
        <w:trPr>
          <w:trHeight w:val="295" w:hRule="exact"/>
        </w:trPr>
        <w:tc>
          <w:tcPr>
            <w:tcW w:w="3859" w:type="dxa"/>
            <w:tcBorders>
              <w:top w:val="nil" w:sz="6" w:space="0" w:color="auto"/>
              <w:left w:val="nil" w:sz="6" w:space="0" w:color="auto"/>
              <w:bottom w:val="nil" w:sz="6" w:space="0" w:color="auto"/>
              <w:right w:val="nil" w:sz="6" w:space="0" w:color="auto"/>
            </w:tcBorders>
          </w:tcPr>
          <w:p>
            <w:pPr>
              <w:pStyle w:val="TableParagraph"/>
              <w:spacing w:line="246" w:lineRule="exact"/>
              <w:ind w:left="41" w:right="0"/>
              <w:jc w:val="left"/>
              <w:rPr>
                <w:rFonts w:ascii="楷体" w:hAnsi="楷体" w:cs="楷体" w:eastAsia="楷体" w:hint="default"/>
                <w:sz w:val="22"/>
                <w:szCs w:val="22"/>
              </w:rPr>
            </w:pPr>
            <w:r>
              <w:rPr>
                <w:rFonts w:ascii="楷体" w:hAnsi="楷体" w:cs="楷体" w:eastAsia="楷体" w:hint="default"/>
                <w:sz w:val="22"/>
                <w:szCs w:val="22"/>
              </w:rPr>
              <w:t>同方鼎欣信息技术有限公司</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 w:right="0"/>
              <w:jc w:val="center"/>
              <w:rPr>
                <w:rFonts w:ascii="Times New Roman" w:hAnsi="Times New Roman" w:cs="Times New Roman" w:eastAsia="Times New Roman" w:hint="default"/>
                <w:sz w:val="22"/>
                <w:szCs w:val="22"/>
              </w:rPr>
            </w:pPr>
            <w:r>
              <w:rPr>
                <w:rFonts w:ascii="Times New Roman"/>
                <w:sz w:val="22"/>
              </w:rPr>
              <w:t>15%</w:t>
            </w:r>
          </w:p>
        </w:tc>
        <w:tc>
          <w:tcPr>
            <w:tcW w:w="2031" w:type="dxa"/>
            <w:tcBorders>
              <w:top w:val="nil" w:sz="6" w:space="0" w:color="auto"/>
              <w:left w:val="nil" w:sz="6" w:space="0" w:color="auto"/>
              <w:bottom w:val="nil" w:sz="6" w:space="0" w:color="auto"/>
              <w:right w:val="nil" w:sz="6" w:space="0" w:color="auto"/>
            </w:tcBorders>
          </w:tcPr>
          <w:p>
            <w:pPr>
              <w:pStyle w:val="TableParagraph"/>
              <w:spacing w:line="246" w:lineRule="exact"/>
              <w:ind w:right="42"/>
              <w:jc w:val="center"/>
              <w:rPr>
                <w:rFonts w:ascii="楷体" w:hAnsi="楷体" w:cs="楷体" w:eastAsia="楷体" w:hint="default"/>
                <w:sz w:val="22"/>
                <w:szCs w:val="22"/>
              </w:rPr>
            </w:pPr>
            <w:r>
              <w:rPr>
                <w:rFonts w:ascii="楷体" w:hAnsi="楷体" w:cs="楷体" w:eastAsia="楷体" w:hint="default"/>
                <w:sz w:val="22"/>
                <w:szCs w:val="22"/>
              </w:rPr>
              <w:t>高新技术企业</w:t>
            </w:r>
          </w:p>
        </w:tc>
        <w:tc>
          <w:tcPr>
            <w:tcW w:w="1222" w:type="dxa"/>
            <w:tcBorders>
              <w:top w:val="nil" w:sz="6" w:space="0" w:color="auto"/>
              <w:left w:val="nil" w:sz="6" w:space="0" w:color="auto"/>
              <w:bottom w:val="nil" w:sz="6" w:space="0" w:color="auto"/>
              <w:right w:val="nil" w:sz="6" w:space="0" w:color="auto"/>
            </w:tcBorders>
          </w:tcPr>
          <w:p>
            <w:pPr>
              <w:pStyle w:val="TableParagraph"/>
              <w:spacing w:line="263" w:lineRule="exact"/>
              <w:ind w:left="406" w:right="0"/>
              <w:jc w:val="left"/>
              <w:rPr>
                <w:rFonts w:ascii="Times New Roman" w:hAnsi="Times New Roman" w:cs="Times New Roman" w:eastAsia="Times New Roman" w:hint="default"/>
                <w:sz w:val="22"/>
                <w:szCs w:val="22"/>
              </w:rPr>
            </w:pPr>
            <w:r>
              <w:rPr>
                <w:rFonts w:ascii="楷体" w:hAnsi="楷体" w:cs="楷体" w:eastAsia="楷体" w:hint="default"/>
                <w:sz w:val="22"/>
                <w:szCs w:val="22"/>
              </w:rPr>
              <w:t>注</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w:t>
            </w:r>
          </w:p>
        </w:tc>
      </w:tr>
      <w:tr>
        <w:trPr>
          <w:trHeight w:val="289" w:hRule="exact"/>
        </w:trPr>
        <w:tc>
          <w:tcPr>
            <w:tcW w:w="3859" w:type="dxa"/>
            <w:tcBorders>
              <w:top w:val="nil" w:sz="6" w:space="0" w:color="auto"/>
              <w:left w:val="nil" w:sz="6" w:space="0" w:color="auto"/>
              <w:bottom w:val="single" w:sz="12" w:space="0" w:color="000000"/>
              <w:right w:val="nil" w:sz="6" w:space="0" w:color="auto"/>
            </w:tcBorders>
          </w:tcPr>
          <w:p>
            <w:pPr>
              <w:pStyle w:val="TableParagraph"/>
              <w:spacing w:line="257" w:lineRule="exact"/>
              <w:ind w:left="41" w:right="0"/>
              <w:jc w:val="left"/>
              <w:rPr>
                <w:rFonts w:ascii="楷体" w:hAnsi="楷体" w:cs="楷体" w:eastAsia="楷体" w:hint="default"/>
                <w:sz w:val="22"/>
                <w:szCs w:val="22"/>
              </w:rPr>
            </w:pPr>
            <w:r>
              <w:rPr>
                <w:rFonts w:ascii="楷体" w:hAnsi="楷体" w:cs="楷体" w:eastAsia="楷体" w:hint="default"/>
                <w:sz w:val="22"/>
                <w:szCs w:val="22"/>
              </w:rPr>
              <w:t>北京同方吉兆科技有限公司</w:t>
            </w:r>
          </w:p>
        </w:tc>
        <w:tc>
          <w:tcPr>
            <w:tcW w:w="1477"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1" w:right="0"/>
              <w:jc w:val="center"/>
              <w:rPr>
                <w:rFonts w:ascii="Times New Roman" w:hAnsi="Times New Roman" w:cs="Times New Roman" w:eastAsia="Times New Roman" w:hint="default"/>
                <w:sz w:val="22"/>
                <w:szCs w:val="22"/>
              </w:rPr>
            </w:pPr>
            <w:r>
              <w:rPr>
                <w:rFonts w:ascii="Times New Roman"/>
                <w:sz w:val="22"/>
              </w:rPr>
              <w:t>15%</w:t>
            </w:r>
          </w:p>
        </w:tc>
        <w:tc>
          <w:tcPr>
            <w:tcW w:w="2031" w:type="dxa"/>
            <w:tcBorders>
              <w:top w:val="nil" w:sz="6" w:space="0" w:color="auto"/>
              <w:left w:val="nil" w:sz="6" w:space="0" w:color="auto"/>
              <w:bottom w:val="single" w:sz="12" w:space="0" w:color="000000"/>
              <w:right w:val="nil" w:sz="6" w:space="0" w:color="auto"/>
            </w:tcBorders>
          </w:tcPr>
          <w:p>
            <w:pPr>
              <w:pStyle w:val="TableParagraph"/>
              <w:spacing w:line="257" w:lineRule="exact"/>
              <w:ind w:right="42"/>
              <w:jc w:val="center"/>
              <w:rPr>
                <w:rFonts w:ascii="楷体" w:hAnsi="楷体" w:cs="楷体" w:eastAsia="楷体" w:hint="default"/>
                <w:sz w:val="22"/>
                <w:szCs w:val="22"/>
              </w:rPr>
            </w:pPr>
            <w:r>
              <w:rPr>
                <w:rFonts w:ascii="楷体" w:hAnsi="楷体" w:cs="楷体" w:eastAsia="楷体" w:hint="default"/>
                <w:sz w:val="22"/>
                <w:szCs w:val="22"/>
              </w:rPr>
              <w:t>高新技术企业</w:t>
            </w:r>
          </w:p>
        </w:tc>
        <w:tc>
          <w:tcPr>
            <w:tcW w:w="1222" w:type="dxa"/>
            <w:tcBorders>
              <w:top w:val="nil" w:sz="6" w:space="0" w:color="auto"/>
              <w:left w:val="nil" w:sz="6" w:space="0" w:color="auto"/>
              <w:bottom w:val="single" w:sz="12" w:space="0" w:color="000000"/>
              <w:right w:val="nil" w:sz="6" w:space="0" w:color="auto"/>
            </w:tcBorders>
          </w:tcPr>
          <w:p>
            <w:pPr>
              <w:pStyle w:val="TableParagraph"/>
              <w:spacing w:line="273" w:lineRule="exact"/>
              <w:ind w:left="406" w:right="0"/>
              <w:jc w:val="left"/>
              <w:rPr>
                <w:rFonts w:ascii="Times New Roman" w:hAnsi="Times New Roman" w:cs="Times New Roman" w:eastAsia="Times New Roman" w:hint="default"/>
                <w:sz w:val="22"/>
                <w:szCs w:val="22"/>
              </w:rPr>
            </w:pPr>
            <w:r>
              <w:rPr>
                <w:rFonts w:ascii="楷体" w:hAnsi="楷体" w:cs="楷体" w:eastAsia="楷体" w:hint="default"/>
                <w:sz w:val="22"/>
                <w:szCs w:val="22"/>
              </w:rPr>
              <w:t>注</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w:t>
            </w:r>
          </w:p>
        </w:tc>
      </w:tr>
    </w:tbl>
    <w:p>
      <w:pPr>
        <w:spacing w:line="307" w:lineRule="auto" w:before="79"/>
        <w:ind w:left="138" w:right="141" w:firstLine="440"/>
        <w:jc w:val="both"/>
        <w:rPr>
          <w:rFonts w:ascii="楷体" w:hAnsi="楷体" w:cs="楷体" w:eastAsia="楷体" w:hint="default"/>
          <w:sz w:val="22"/>
          <w:szCs w:val="22"/>
        </w:rPr>
      </w:pPr>
      <w:r>
        <w:rPr>
          <w:rFonts w:ascii="楷体" w:hAnsi="楷体" w:cs="楷体" w:eastAsia="楷体" w:hint="default"/>
          <w:w w:val="99"/>
          <w:sz w:val="22"/>
          <w:szCs w:val="22"/>
        </w:rPr>
        <w:t>注 </w:t>
      </w:r>
      <w:r>
        <w:rPr>
          <w:rFonts w:ascii="Times New Roman" w:hAnsi="Times New Roman" w:cs="Times New Roman" w:eastAsia="Times New Roman" w:hint="default"/>
          <w:spacing w:val="-4"/>
          <w:w w:val="99"/>
          <w:sz w:val="22"/>
          <w:szCs w:val="22"/>
        </w:rPr>
        <w:t>1</w:t>
      </w:r>
      <w:r>
        <w:rPr>
          <w:rFonts w:ascii="楷体" w:hAnsi="楷体" w:cs="楷体" w:eastAsia="楷体" w:hint="default"/>
          <w:spacing w:val="-4"/>
          <w:w w:val="99"/>
          <w:sz w:val="22"/>
          <w:szCs w:val="22"/>
        </w:rPr>
        <w:t>：公司为根据《高新技术企业认定管理办法》（国科发火</w:t>
      </w:r>
      <w:r>
        <w:rPr>
          <w:rFonts w:ascii="Times New Roman" w:hAnsi="Times New Roman" w:cs="Times New Roman" w:eastAsia="Times New Roman" w:hint="default"/>
          <w:spacing w:val="-4"/>
          <w:w w:val="99"/>
          <w:sz w:val="22"/>
          <w:szCs w:val="22"/>
        </w:rPr>
        <w:t>[2008]172</w:t>
      </w:r>
      <w:r>
        <w:rPr>
          <w:rFonts w:ascii="Times New Roman" w:hAnsi="Times New Roman" w:cs="Times New Roman" w:eastAsia="Times New Roman" w:hint="default"/>
          <w:spacing w:val="13"/>
          <w:w w:val="99"/>
          <w:sz w:val="22"/>
          <w:szCs w:val="22"/>
        </w:rPr>
        <w:t> </w:t>
      </w:r>
      <w:r>
        <w:rPr>
          <w:rFonts w:ascii="楷体" w:hAnsi="楷体" w:cs="楷体" w:eastAsia="楷体" w:hint="default"/>
          <w:w w:val="99"/>
          <w:sz w:val="22"/>
          <w:szCs w:val="22"/>
        </w:rPr>
        <w:t>号）获得认定的高新 </w:t>
      </w:r>
      <w:r>
        <w:rPr>
          <w:rFonts w:ascii="楷体" w:hAnsi="楷体" w:cs="楷体" w:eastAsia="楷体" w:hint="default"/>
          <w:w w:val="95"/>
          <w:sz w:val="22"/>
          <w:szCs w:val="22"/>
        </w:rPr>
        <w:t>技术企业，已获得</w:t>
      </w:r>
      <w:r>
        <w:rPr>
          <w:rFonts w:ascii="宋体" w:hAnsi="宋体" w:cs="宋体" w:eastAsia="宋体" w:hint="default"/>
          <w:w w:val="95"/>
          <w:sz w:val="22"/>
          <w:szCs w:val="22"/>
        </w:rPr>
        <w:t>“</w:t>
      </w:r>
      <w:r>
        <w:rPr>
          <w:rFonts w:ascii="楷体" w:hAnsi="楷体" w:cs="楷体" w:eastAsia="楷体" w:hint="default"/>
          <w:w w:val="95"/>
          <w:sz w:val="22"/>
          <w:szCs w:val="22"/>
        </w:rPr>
        <w:t>高新技术企业证书</w:t>
      </w:r>
      <w:r>
        <w:rPr>
          <w:rFonts w:ascii="宋体" w:hAnsi="宋体" w:cs="宋体" w:eastAsia="宋体" w:hint="default"/>
          <w:w w:val="95"/>
          <w:sz w:val="22"/>
          <w:szCs w:val="22"/>
        </w:rPr>
        <w:t>”</w:t>
      </w:r>
      <w:r>
        <w:rPr>
          <w:rFonts w:ascii="楷体" w:hAnsi="楷体" w:cs="楷体" w:eastAsia="楷体" w:hint="default"/>
          <w:w w:val="95"/>
          <w:sz w:val="22"/>
          <w:szCs w:val="22"/>
        </w:rPr>
        <w:t>并在税务部门办理了备案登记，本年度适用 </w:t>
      </w:r>
      <w:r>
        <w:rPr>
          <w:rFonts w:ascii="Times New Roman" w:hAnsi="Times New Roman" w:cs="Times New Roman" w:eastAsia="Times New Roman" w:hint="default"/>
          <w:w w:val="95"/>
          <w:sz w:val="22"/>
          <w:szCs w:val="22"/>
        </w:rPr>
        <w:t>15%</w:t>
      </w:r>
      <w:r>
        <w:rPr>
          <w:rFonts w:ascii="楷体" w:hAnsi="楷体" w:cs="楷体" w:eastAsia="楷体" w:hint="default"/>
          <w:w w:val="95"/>
          <w:sz w:val="22"/>
          <w:szCs w:val="22"/>
        </w:rPr>
        <w:t>的企业</w:t>
      </w:r>
      <w:r>
        <w:rPr>
          <w:rFonts w:ascii="楷体" w:hAnsi="楷体" w:cs="楷体" w:eastAsia="楷体" w:hint="default"/>
          <w:spacing w:val="-69"/>
          <w:w w:val="95"/>
          <w:sz w:val="22"/>
          <w:szCs w:val="22"/>
        </w:rPr>
        <w:t> </w:t>
      </w:r>
      <w:r>
        <w:rPr>
          <w:rFonts w:ascii="楷体" w:hAnsi="楷体" w:cs="楷体" w:eastAsia="楷体" w:hint="default"/>
          <w:sz w:val="22"/>
          <w:szCs w:val="22"/>
        </w:rPr>
        <w:t>所得税税率。</w:t>
      </w:r>
    </w:p>
    <w:p>
      <w:pPr>
        <w:spacing w:before="118"/>
        <w:ind w:left="578" w:right="0" w:firstLine="0"/>
        <w:jc w:val="left"/>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2</w:t>
      </w:r>
      <w:r>
        <w:rPr>
          <w:rFonts w:ascii="楷体" w:hAnsi="楷体" w:cs="楷体" w:eastAsia="楷体" w:hint="default"/>
          <w:sz w:val="22"/>
          <w:szCs w:val="22"/>
        </w:rPr>
        <w:t>：公司为经认定的高新技术企业，适用</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15%</w:t>
      </w:r>
      <w:r>
        <w:rPr>
          <w:rFonts w:ascii="楷体" w:hAnsi="楷体" w:cs="楷体" w:eastAsia="楷体" w:hint="default"/>
          <w:sz w:val="22"/>
          <w:szCs w:val="22"/>
        </w:rPr>
        <w:t>的企业所得税税率。根据北京市海淀区国家</w:t>
      </w:r>
    </w:p>
    <w:p>
      <w:pPr>
        <w:spacing w:after="0"/>
        <w:jc w:val="left"/>
        <w:rPr>
          <w:rFonts w:ascii="楷体" w:hAnsi="楷体" w:cs="楷体" w:eastAsia="楷体" w:hint="default"/>
          <w:sz w:val="22"/>
          <w:szCs w:val="22"/>
        </w:rPr>
        <w:sectPr>
          <w:pgSz w:w="11910" w:h="16840"/>
          <w:pgMar w:header="610" w:footer="784" w:top="1080" w:bottom="9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138" w:right="206" w:firstLine="0"/>
        <w:jc w:val="left"/>
        <w:rPr>
          <w:rFonts w:ascii="楷体" w:hAnsi="楷体" w:cs="楷体" w:eastAsia="楷体" w:hint="default"/>
          <w:sz w:val="22"/>
          <w:szCs w:val="22"/>
        </w:rPr>
      </w:pPr>
      <w:r>
        <w:rPr>
          <w:rFonts w:ascii="楷体" w:hAnsi="楷体" w:cs="楷体" w:eastAsia="楷体" w:hint="default"/>
          <w:sz w:val="22"/>
          <w:szCs w:val="22"/>
        </w:rPr>
        <w:t>税务局</w:t>
      </w:r>
      <w:r>
        <w:rPr>
          <w:rFonts w:ascii="宋体" w:hAnsi="宋体" w:cs="宋体" w:eastAsia="宋体" w:hint="default"/>
          <w:sz w:val="22"/>
          <w:szCs w:val="22"/>
        </w:rPr>
        <w:t>“</w:t>
      </w:r>
      <w:r>
        <w:rPr>
          <w:rFonts w:ascii="楷体" w:hAnsi="楷体" w:cs="楷体" w:eastAsia="楷体" w:hint="default"/>
          <w:sz w:val="22"/>
          <w:szCs w:val="22"/>
        </w:rPr>
        <w:t>海国税批复</w:t>
      </w:r>
      <w:r>
        <w:rPr>
          <w:rFonts w:ascii="Times New Roman" w:hAnsi="Times New Roman" w:cs="Times New Roman" w:eastAsia="Times New Roman" w:hint="default"/>
          <w:sz w:val="22"/>
          <w:szCs w:val="22"/>
        </w:rPr>
        <w:t>[2005]</w:t>
      </w:r>
      <w:r>
        <w:rPr>
          <w:rFonts w:ascii="楷体" w:hAnsi="楷体" w:cs="楷体" w:eastAsia="楷体" w:hint="default"/>
          <w:sz w:val="22"/>
          <w:szCs w:val="22"/>
        </w:rPr>
        <w:t>第</w:t>
      </w:r>
      <w:r>
        <w:rPr>
          <w:rFonts w:ascii="楷体" w:hAnsi="楷体" w:cs="楷体" w:eastAsia="楷体" w:hint="default"/>
          <w:spacing w:val="-60"/>
          <w:sz w:val="22"/>
          <w:szCs w:val="22"/>
        </w:rPr>
        <w:t> </w:t>
      </w:r>
      <w:r>
        <w:rPr>
          <w:rFonts w:ascii="Times New Roman" w:hAnsi="Times New Roman" w:cs="Times New Roman" w:eastAsia="Times New Roman" w:hint="default"/>
          <w:sz w:val="22"/>
          <w:szCs w:val="22"/>
        </w:rPr>
        <w:t>01994</w:t>
      </w:r>
      <w:r>
        <w:rPr>
          <w:rFonts w:ascii="Times New Roman" w:hAnsi="Times New Roman" w:cs="Times New Roman" w:eastAsia="Times New Roman" w:hint="default"/>
          <w:spacing w:val="-7"/>
          <w:sz w:val="22"/>
          <w:szCs w:val="22"/>
        </w:rPr>
        <w:t> </w:t>
      </w:r>
      <w:r>
        <w:rPr>
          <w:rFonts w:ascii="楷体" w:hAnsi="楷体" w:cs="楷体" w:eastAsia="楷体" w:hint="default"/>
          <w:sz w:val="22"/>
          <w:szCs w:val="22"/>
        </w:rPr>
        <w:t>号</w:t>
      </w:r>
      <w:r>
        <w:rPr>
          <w:rFonts w:ascii="宋体" w:hAnsi="宋体" w:cs="宋体" w:eastAsia="宋体" w:hint="default"/>
          <w:sz w:val="22"/>
          <w:szCs w:val="22"/>
        </w:rPr>
        <w:t>”</w:t>
      </w:r>
      <w:r>
        <w:rPr>
          <w:rFonts w:ascii="楷体" w:hAnsi="楷体" w:cs="楷体" w:eastAsia="楷体" w:hint="default"/>
          <w:sz w:val="22"/>
          <w:szCs w:val="22"/>
        </w:rPr>
        <w:t>批复，自</w:t>
      </w:r>
      <w:r>
        <w:rPr>
          <w:rFonts w:ascii="楷体" w:hAnsi="楷体" w:cs="楷体" w:eastAsia="楷体" w:hint="default"/>
          <w:spacing w:val="-60"/>
          <w:sz w:val="22"/>
          <w:szCs w:val="22"/>
        </w:rPr>
        <w:t> </w:t>
      </w: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7"/>
          <w:sz w:val="22"/>
          <w:szCs w:val="22"/>
        </w:rPr>
        <w:t> </w:t>
      </w:r>
      <w:r>
        <w:rPr>
          <w:rFonts w:ascii="楷体" w:hAnsi="楷体" w:cs="楷体" w:eastAsia="楷体" w:hint="default"/>
          <w:sz w:val="22"/>
          <w:szCs w:val="22"/>
        </w:rPr>
        <w:t>年至</w:t>
      </w:r>
      <w:r>
        <w:rPr>
          <w:rFonts w:ascii="楷体" w:hAnsi="楷体" w:cs="楷体" w:eastAsia="楷体" w:hint="default"/>
          <w:spacing w:val="-60"/>
          <w:sz w:val="22"/>
          <w:szCs w:val="22"/>
        </w:rPr>
        <w:t> </w:t>
      </w:r>
      <w:r>
        <w:rPr>
          <w:rFonts w:ascii="Times New Roman" w:hAnsi="Times New Roman" w:cs="Times New Roman" w:eastAsia="Times New Roman" w:hint="default"/>
          <w:sz w:val="22"/>
          <w:szCs w:val="22"/>
        </w:rPr>
        <w:t>2005</w:t>
      </w:r>
      <w:r>
        <w:rPr>
          <w:rFonts w:ascii="Times New Roman" w:hAnsi="Times New Roman" w:cs="Times New Roman" w:eastAsia="Times New Roman" w:hint="default"/>
          <w:spacing w:val="-7"/>
          <w:sz w:val="22"/>
          <w:szCs w:val="22"/>
        </w:rPr>
        <w:t> </w:t>
      </w:r>
      <w:r>
        <w:rPr>
          <w:rFonts w:ascii="楷体" w:hAnsi="楷体" w:cs="楷体" w:eastAsia="楷体" w:hint="default"/>
          <w:sz w:val="22"/>
          <w:szCs w:val="22"/>
        </w:rPr>
        <w:t>年免缴企业所得税，</w: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7"/>
          <w:sz w:val="22"/>
          <w:szCs w:val="22"/>
        </w:rPr>
        <w:t> </w:t>
      </w:r>
      <w:r>
        <w:rPr>
          <w:rFonts w:ascii="楷体" w:hAnsi="楷体" w:cs="楷体" w:eastAsia="楷体" w:hint="default"/>
          <w:sz w:val="22"/>
          <w:szCs w:val="22"/>
        </w:rPr>
        <w:t>年至</w:t>
      </w:r>
    </w:p>
    <w:p>
      <w:pPr>
        <w:spacing w:before="84"/>
        <w:ind w:left="138" w:right="213" w:firstLine="0"/>
        <w:jc w:val="left"/>
        <w:rPr>
          <w:rFonts w:ascii="楷体" w:hAnsi="楷体" w:cs="楷体" w:eastAsia="楷体" w:hint="default"/>
          <w:sz w:val="22"/>
          <w:szCs w:val="22"/>
        </w:rPr>
      </w:pPr>
      <w:r>
        <w:rPr>
          <w:rFonts w:ascii="Times New Roman" w:hAnsi="Times New Roman" w:cs="Times New Roman" w:eastAsia="Times New Roman" w:hint="default"/>
          <w:sz w:val="22"/>
          <w:szCs w:val="22"/>
        </w:rPr>
        <w:t>2008 </w:t>
      </w:r>
      <w:r>
        <w:rPr>
          <w:rFonts w:ascii="楷体" w:hAnsi="楷体" w:cs="楷体" w:eastAsia="楷体" w:hint="default"/>
          <w:sz w:val="22"/>
          <w:szCs w:val="22"/>
        </w:rPr>
        <w:t>年减半缴纳企业所得税，本年度所得税税率为</w:t>
      </w:r>
      <w:r>
        <w:rPr>
          <w:rFonts w:ascii="楷体" w:hAnsi="楷体" w:cs="楷体" w:eastAsia="楷体" w:hint="default"/>
          <w:spacing w:val="-60"/>
          <w:sz w:val="22"/>
          <w:szCs w:val="22"/>
        </w:rPr>
        <w:t> </w:t>
      </w:r>
      <w:r>
        <w:rPr>
          <w:rFonts w:ascii="Times New Roman" w:hAnsi="Times New Roman" w:cs="Times New Roman" w:eastAsia="Times New Roman" w:hint="default"/>
          <w:sz w:val="22"/>
          <w:szCs w:val="22"/>
        </w:rPr>
        <w:t>7.5%</w:t>
      </w:r>
      <w:r>
        <w:rPr>
          <w:rFonts w:ascii="楷体" w:hAnsi="楷体" w:cs="楷体" w:eastAsia="楷体" w:hint="default"/>
          <w:sz w:val="22"/>
          <w:szCs w:val="22"/>
        </w:rPr>
        <w:t>。</w:t>
      </w:r>
    </w:p>
    <w:p>
      <w:pPr>
        <w:spacing w:line="307" w:lineRule="auto" w:before="163"/>
        <w:ind w:left="137" w:right="222" w:firstLine="441"/>
        <w:jc w:val="both"/>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53"/>
          <w:sz w:val="22"/>
          <w:szCs w:val="22"/>
        </w:rPr>
        <w:t> </w:t>
      </w:r>
      <w:r>
        <w:rPr>
          <w:rFonts w:ascii="Times New Roman" w:hAnsi="Times New Roman" w:cs="Times New Roman" w:eastAsia="Times New Roman" w:hint="default"/>
          <w:spacing w:val="-7"/>
          <w:sz w:val="22"/>
          <w:szCs w:val="22"/>
        </w:rPr>
        <w:t>3</w:t>
      </w:r>
      <w:r>
        <w:rPr>
          <w:rFonts w:ascii="楷体" w:hAnsi="楷体" w:cs="楷体" w:eastAsia="楷体" w:hint="default"/>
          <w:spacing w:val="-7"/>
          <w:sz w:val="22"/>
          <w:szCs w:val="22"/>
        </w:rPr>
        <w:t>：公司于</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2008 </w:t>
      </w:r>
      <w:r>
        <w:rPr>
          <w:rFonts w:ascii="楷体" w:hAnsi="楷体" w:cs="楷体" w:eastAsia="楷体" w:hint="default"/>
          <w:sz w:val="22"/>
          <w:szCs w:val="22"/>
        </w:rPr>
        <w:t>年</w:t>
      </w:r>
      <w:r>
        <w:rPr>
          <w:rFonts w:ascii="楷体" w:hAnsi="楷体" w:cs="楷体" w:eastAsia="楷体" w:hint="default"/>
          <w:spacing w:val="-5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月</w:t>
      </w:r>
      <w:r>
        <w:rPr>
          <w:rFonts w:ascii="楷体" w:hAnsi="楷体" w:cs="楷体" w:eastAsia="楷体" w:hint="default"/>
          <w:spacing w:val="-54"/>
          <w:sz w:val="22"/>
          <w:szCs w:val="22"/>
        </w:rPr>
        <w:t> </w:t>
      </w:r>
      <w:r>
        <w:rPr>
          <w:rFonts w:ascii="Times New Roman" w:hAnsi="Times New Roman" w:cs="Times New Roman" w:eastAsia="Times New Roman" w:hint="default"/>
          <w:sz w:val="22"/>
          <w:szCs w:val="22"/>
        </w:rPr>
        <w:t>24 </w:t>
      </w:r>
      <w:r>
        <w:rPr>
          <w:rFonts w:ascii="楷体" w:hAnsi="楷体" w:cs="楷体" w:eastAsia="楷体" w:hint="default"/>
          <w:spacing w:val="-3"/>
          <w:sz w:val="22"/>
          <w:szCs w:val="22"/>
        </w:rPr>
        <w:t>日被北京市科学技术委员会、北京市财政局、北京市国家税务</w:t>
      </w:r>
      <w:r>
        <w:rPr>
          <w:rFonts w:ascii="楷体" w:hAnsi="楷体" w:cs="楷体" w:eastAsia="楷体" w:hint="default"/>
          <w:w w:val="99"/>
          <w:sz w:val="22"/>
          <w:szCs w:val="22"/>
        </w:rPr>
        <w:t> </w:t>
      </w:r>
      <w:r>
        <w:rPr>
          <w:rFonts w:ascii="楷体" w:hAnsi="楷体" w:cs="楷体" w:eastAsia="楷体" w:hint="default"/>
          <w:sz w:val="22"/>
          <w:szCs w:val="22"/>
        </w:rPr>
        <w:t>局、北京市地方税务局批准认定为高新技术企业，证书编号</w:t>
      </w:r>
      <w:r>
        <w:rPr>
          <w:rFonts w:ascii="楷体" w:hAnsi="楷体" w:cs="楷体" w:eastAsia="楷体" w:hint="default"/>
          <w:spacing w:val="-48"/>
          <w:sz w:val="22"/>
          <w:szCs w:val="22"/>
        </w:rPr>
        <w:t> </w:t>
      </w:r>
      <w:r>
        <w:rPr>
          <w:rFonts w:ascii="Times New Roman" w:hAnsi="Times New Roman" w:cs="Times New Roman" w:eastAsia="Times New Roman" w:hint="default"/>
          <w:sz w:val="22"/>
          <w:szCs w:val="22"/>
        </w:rPr>
        <w:t>GR200811002382</w:t>
      </w:r>
      <w:r>
        <w:rPr>
          <w:rFonts w:ascii="楷体" w:hAnsi="楷体" w:cs="楷体" w:eastAsia="楷体" w:hint="default"/>
          <w:sz w:val="22"/>
          <w:szCs w:val="22"/>
        </w:rPr>
        <w:t>，适用</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15%</w:t>
      </w:r>
      <w:r>
        <w:rPr>
          <w:rFonts w:ascii="楷体" w:hAnsi="楷体" w:cs="楷体" w:eastAsia="楷体" w:hint="default"/>
          <w:sz w:val="22"/>
          <w:szCs w:val="22"/>
        </w:rPr>
        <w:t>的企业</w:t>
      </w:r>
      <w:r>
        <w:rPr>
          <w:rFonts w:ascii="楷体" w:hAnsi="楷体" w:cs="楷体" w:eastAsia="楷体" w:hint="default"/>
          <w:w w:val="99"/>
          <w:sz w:val="22"/>
          <w:szCs w:val="22"/>
        </w:rPr>
        <w:t> </w:t>
      </w:r>
      <w:r>
        <w:rPr>
          <w:rFonts w:ascii="楷体" w:hAnsi="楷体" w:cs="楷体" w:eastAsia="楷体" w:hint="default"/>
          <w:sz w:val="22"/>
          <w:szCs w:val="22"/>
        </w:rPr>
        <w:t>所得税税率。根据北京市海淀区国家税务局的批复，自</w:t>
      </w:r>
      <w:r>
        <w:rPr>
          <w:rFonts w:ascii="楷体" w:hAnsi="楷体" w:cs="楷体" w:eastAsia="楷体" w:hint="default"/>
          <w:spacing w:val="-65"/>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2"/>
          <w:sz w:val="22"/>
          <w:szCs w:val="22"/>
        </w:rPr>
        <w:t> </w:t>
      </w:r>
      <w:r>
        <w:rPr>
          <w:rFonts w:ascii="楷体" w:hAnsi="楷体" w:cs="楷体" w:eastAsia="楷体" w:hint="default"/>
          <w:sz w:val="22"/>
          <w:szCs w:val="22"/>
        </w:rPr>
        <w:t>年至</w:t>
      </w:r>
      <w:r>
        <w:rPr>
          <w:rFonts w:ascii="楷体" w:hAnsi="楷体" w:cs="楷体" w:eastAsia="楷体" w:hint="default"/>
          <w:spacing w:val="-66"/>
          <w:sz w:val="22"/>
          <w:szCs w:val="22"/>
        </w:rPr>
        <w:t> </w:t>
      </w:r>
      <w:r>
        <w:rPr>
          <w:rFonts w:ascii="Times New Roman" w:hAnsi="Times New Roman" w:cs="Times New Roman" w:eastAsia="Times New Roman" w:hint="default"/>
          <w:sz w:val="22"/>
          <w:szCs w:val="22"/>
        </w:rPr>
        <w:t>2012</w:t>
      </w:r>
      <w:r>
        <w:rPr>
          <w:rFonts w:ascii="Times New Roman" w:hAnsi="Times New Roman" w:cs="Times New Roman" w:eastAsia="Times New Roman" w:hint="default"/>
          <w:spacing w:val="-11"/>
          <w:sz w:val="22"/>
          <w:szCs w:val="22"/>
        </w:rPr>
        <w:t> </w:t>
      </w:r>
      <w:r>
        <w:rPr>
          <w:rFonts w:ascii="楷体" w:hAnsi="楷体" w:cs="楷体" w:eastAsia="楷体" w:hint="default"/>
          <w:sz w:val="22"/>
          <w:szCs w:val="22"/>
        </w:rPr>
        <w:t>年免缴企业所得税，本年</w:t>
      </w:r>
      <w:r>
        <w:rPr>
          <w:rFonts w:ascii="楷体" w:hAnsi="楷体" w:cs="楷体" w:eastAsia="楷体" w:hint="default"/>
          <w:w w:val="99"/>
          <w:sz w:val="22"/>
          <w:szCs w:val="22"/>
        </w:rPr>
        <w:t> </w:t>
      </w:r>
      <w:r>
        <w:rPr>
          <w:rFonts w:ascii="楷体" w:hAnsi="楷体" w:cs="楷体" w:eastAsia="楷体" w:hint="default"/>
          <w:sz w:val="22"/>
          <w:szCs w:val="22"/>
        </w:rPr>
        <w:t>度所得税税率为</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0%</w:t>
      </w:r>
      <w:r>
        <w:rPr>
          <w:rFonts w:ascii="楷体" w:hAnsi="楷体" w:cs="楷体" w:eastAsia="楷体" w:hint="default"/>
          <w:sz w:val="22"/>
          <w:szCs w:val="22"/>
        </w:rPr>
        <w:t>。</w:t>
      </w:r>
    </w:p>
    <w:p>
      <w:pPr>
        <w:spacing w:line="324" w:lineRule="auto" w:before="95"/>
        <w:ind w:left="137" w:right="223" w:firstLine="440"/>
        <w:jc w:val="both"/>
        <w:rPr>
          <w:rFonts w:ascii="Times New Roman" w:hAnsi="Times New Roman" w:cs="Times New Roman" w:eastAsia="Times New Roman" w:hint="default"/>
          <w:sz w:val="22"/>
          <w:szCs w:val="22"/>
        </w:rPr>
      </w:pPr>
      <w:r>
        <w:rPr>
          <w:rFonts w:ascii="楷体" w:hAnsi="楷体" w:cs="楷体" w:eastAsia="楷体" w:hint="default"/>
          <w:spacing w:val="-1"/>
          <w:sz w:val="22"/>
          <w:szCs w:val="22"/>
        </w:rPr>
        <w:t>此外，本公司之子公司北京同方软件股份有限公司业经北京市科学技术委员会、北京市财政</w:t>
      </w:r>
      <w:r>
        <w:rPr>
          <w:rFonts w:ascii="楷体" w:hAnsi="楷体" w:cs="楷体" w:eastAsia="楷体" w:hint="default"/>
          <w:w w:val="99"/>
          <w:sz w:val="22"/>
          <w:szCs w:val="22"/>
        </w:rPr>
        <w:t> </w:t>
      </w:r>
      <w:r>
        <w:rPr>
          <w:rFonts w:ascii="楷体" w:hAnsi="楷体" w:cs="楷体" w:eastAsia="楷体" w:hint="default"/>
          <w:sz w:val="22"/>
          <w:szCs w:val="22"/>
        </w:rPr>
        <w:t>局、北京市国家税务局、北京市地方税务局于 </w:t>
      </w:r>
      <w:r>
        <w:rPr>
          <w:rFonts w:ascii="Times New Roman" w:hAnsi="Times New Roman" w:cs="Times New Roman" w:eastAsia="Times New Roman" w:hint="default"/>
          <w:sz w:val="22"/>
          <w:szCs w:val="22"/>
        </w:rPr>
        <w:t>2008 </w:t>
      </w:r>
      <w:r>
        <w:rPr>
          <w:rFonts w:ascii="楷体" w:hAnsi="楷体" w:cs="楷体" w:eastAsia="楷体" w:hint="default"/>
          <w:sz w:val="22"/>
          <w:szCs w:val="22"/>
        </w:rPr>
        <w:t>年 </w:t>
      </w:r>
      <w:r>
        <w:rPr>
          <w:rFonts w:ascii="Times New Roman" w:hAnsi="Times New Roman" w:cs="Times New Roman" w:eastAsia="Times New Roman" w:hint="default"/>
          <w:sz w:val="22"/>
          <w:szCs w:val="22"/>
        </w:rPr>
        <w:t>12 </w:t>
      </w:r>
      <w:r>
        <w:rPr>
          <w:rFonts w:ascii="楷体" w:hAnsi="楷体" w:cs="楷体" w:eastAsia="楷体" w:hint="default"/>
          <w:sz w:val="22"/>
          <w:szCs w:val="22"/>
        </w:rPr>
        <w:t>月 </w:t>
      </w:r>
      <w:r>
        <w:rPr>
          <w:rFonts w:ascii="Times New Roman" w:hAnsi="Times New Roman" w:cs="Times New Roman" w:eastAsia="Times New Roman" w:hint="default"/>
          <w:sz w:val="22"/>
          <w:szCs w:val="22"/>
        </w:rPr>
        <w:t>24</w:t>
      </w:r>
      <w:r>
        <w:rPr>
          <w:rFonts w:ascii="Times New Roman" w:hAnsi="Times New Roman" w:cs="Times New Roman" w:eastAsia="Times New Roman" w:hint="default"/>
          <w:spacing w:val="7"/>
          <w:sz w:val="22"/>
          <w:szCs w:val="22"/>
        </w:rPr>
        <w:t> </w:t>
      </w:r>
      <w:r>
        <w:rPr>
          <w:rFonts w:ascii="楷体" w:hAnsi="楷体" w:cs="楷体" w:eastAsia="楷体" w:hint="default"/>
          <w:sz w:val="22"/>
          <w:szCs w:val="22"/>
        </w:rPr>
        <w:t>日颁发的京科高发〔</w:t>
      </w:r>
      <w:r>
        <w:rPr>
          <w:rFonts w:ascii="Times New Roman" w:hAnsi="Times New Roman" w:cs="Times New Roman" w:eastAsia="Times New Roman" w:hint="default"/>
          <w:sz w:val="22"/>
          <w:szCs w:val="22"/>
        </w:rPr>
        <w:t>2008</w:t>
      </w:r>
      <w:r>
        <w:rPr>
          <w:rFonts w:ascii="楷体" w:hAnsi="楷体" w:cs="楷体" w:eastAsia="楷体" w:hint="default"/>
          <w:sz w:val="22"/>
          <w:szCs w:val="22"/>
        </w:rPr>
        <w:t>〕</w:t>
      </w:r>
      <w:r>
        <w:rPr>
          <w:rFonts w:ascii="Times New Roman" w:hAnsi="Times New Roman" w:cs="Times New Roman" w:eastAsia="Times New Roman" w:hint="default"/>
          <w:sz w:val="22"/>
          <w:szCs w:val="22"/>
        </w:rPr>
        <w:t>476</w:t>
      </w:r>
    </w:p>
    <w:p>
      <w:pPr>
        <w:spacing w:before="0"/>
        <w:ind w:left="137" w:right="86" w:firstLine="0"/>
        <w:jc w:val="left"/>
        <w:rPr>
          <w:rFonts w:ascii="楷体" w:hAnsi="楷体" w:cs="楷体" w:eastAsia="楷体" w:hint="default"/>
          <w:sz w:val="22"/>
          <w:szCs w:val="22"/>
        </w:rPr>
      </w:pPr>
      <w:r>
        <w:rPr>
          <w:rFonts w:ascii="楷体" w:hAnsi="楷体" w:cs="楷体" w:eastAsia="楷体" w:hint="default"/>
          <w:spacing w:val="-3"/>
          <w:sz w:val="22"/>
          <w:szCs w:val="22"/>
        </w:rPr>
        <w:t>号《关于公示北京市</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年度第二批拟认定高新技术企业名单的通知》及</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年</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月</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日颁</w:t>
      </w:r>
    </w:p>
    <w:p>
      <w:pPr>
        <w:spacing w:line="307" w:lineRule="auto" w:before="85"/>
        <w:ind w:left="136" w:right="108" w:firstLine="0"/>
        <w:jc w:val="left"/>
        <w:rPr>
          <w:rFonts w:ascii="楷体" w:hAnsi="楷体" w:cs="楷体" w:eastAsia="楷体" w:hint="default"/>
          <w:sz w:val="22"/>
          <w:szCs w:val="22"/>
        </w:rPr>
      </w:pPr>
      <w:r>
        <w:rPr>
          <w:rFonts w:ascii="楷体" w:hAnsi="楷体" w:cs="楷体" w:eastAsia="楷体" w:hint="default"/>
          <w:spacing w:val="-10"/>
          <w:sz w:val="22"/>
          <w:szCs w:val="22"/>
        </w:rPr>
        <w:t>发的京科高发〔</w:t>
      </w:r>
      <w:r>
        <w:rPr>
          <w:rFonts w:ascii="Times New Roman" w:hAnsi="Times New Roman" w:cs="Times New Roman" w:eastAsia="Times New Roman" w:hint="default"/>
          <w:spacing w:val="-10"/>
          <w:sz w:val="22"/>
          <w:szCs w:val="22"/>
        </w:rPr>
        <w:t>2008</w:t>
      </w:r>
      <w:r>
        <w:rPr>
          <w:rFonts w:ascii="楷体" w:hAnsi="楷体" w:cs="楷体" w:eastAsia="楷体" w:hint="default"/>
          <w:spacing w:val="-10"/>
          <w:sz w:val="22"/>
          <w:szCs w:val="22"/>
        </w:rPr>
        <w:t>〕</w:t>
      </w:r>
      <w:r>
        <w:rPr>
          <w:rFonts w:ascii="Times New Roman" w:hAnsi="Times New Roman" w:cs="Times New Roman" w:eastAsia="Times New Roman" w:hint="default"/>
          <w:spacing w:val="-10"/>
          <w:sz w:val="22"/>
          <w:szCs w:val="22"/>
        </w:rPr>
        <w:t>501 </w:t>
      </w:r>
      <w:r>
        <w:rPr>
          <w:rFonts w:ascii="楷体" w:hAnsi="楷体" w:cs="楷体" w:eastAsia="楷体" w:hint="default"/>
          <w:spacing w:val="-8"/>
          <w:sz w:val="22"/>
          <w:szCs w:val="22"/>
        </w:rPr>
        <w:t>号《关于公示北京市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0"/>
          <w:sz w:val="22"/>
          <w:szCs w:val="22"/>
        </w:rPr>
        <w:t> </w:t>
      </w:r>
      <w:r>
        <w:rPr>
          <w:rFonts w:ascii="楷体" w:hAnsi="楷体" w:cs="楷体" w:eastAsia="楷体" w:hint="default"/>
          <w:sz w:val="22"/>
          <w:szCs w:val="22"/>
        </w:rPr>
        <w:t>年度第四批拟认定高新技术企业名单的通知》</w:t>
      </w:r>
      <w:r>
        <w:rPr>
          <w:rFonts w:ascii="楷体" w:hAnsi="楷体" w:cs="楷体" w:eastAsia="楷体" w:hint="default"/>
          <w:w w:val="99"/>
          <w:sz w:val="22"/>
          <w:szCs w:val="22"/>
        </w:rPr>
        <w:t> </w:t>
      </w:r>
      <w:r>
        <w:rPr>
          <w:rFonts w:ascii="楷体" w:hAnsi="楷体" w:cs="楷体" w:eastAsia="楷体" w:hint="default"/>
          <w:sz w:val="22"/>
          <w:szCs w:val="22"/>
        </w:rPr>
        <w:t>公示的拟认定高新技术企业，截至报告完成日公司尚未取得高新技术企业批准证书，</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1"/>
          <w:sz w:val="22"/>
          <w:szCs w:val="22"/>
        </w:rPr>
        <w:t> </w:t>
      </w:r>
      <w:r>
        <w:rPr>
          <w:rFonts w:ascii="楷体" w:hAnsi="楷体" w:cs="楷体" w:eastAsia="楷体" w:hint="default"/>
          <w:sz w:val="22"/>
          <w:szCs w:val="22"/>
        </w:rPr>
        <w:t>年适用</w:t>
      </w:r>
      <w:r>
        <w:rPr>
          <w:rFonts w:ascii="楷体" w:hAnsi="楷体" w:cs="楷体" w:eastAsia="楷体" w:hint="default"/>
          <w:w w:val="99"/>
          <w:sz w:val="22"/>
          <w:szCs w:val="22"/>
        </w:rPr>
        <w:t> </w:t>
      </w:r>
      <w:r>
        <w:rPr>
          <w:rFonts w:ascii="楷体" w:hAnsi="楷体" w:cs="楷体" w:eastAsia="楷体" w:hint="default"/>
          <w:sz w:val="22"/>
          <w:szCs w:val="22"/>
        </w:rPr>
        <w:t>的企业所得税税率为</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25%</w:t>
      </w:r>
      <w:r>
        <w:rPr>
          <w:rFonts w:ascii="楷体" w:hAnsi="楷体" w:cs="楷体" w:eastAsia="楷体" w:hint="default"/>
          <w:sz w:val="22"/>
          <w:szCs w:val="22"/>
        </w:rPr>
        <w:t>。</w:t>
      </w:r>
    </w:p>
    <w:p>
      <w:pPr>
        <w:spacing w:before="95"/>
        <w:ind w:left="590" w:right="213"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楷体" w:hAnsi="楷体" w:cs="楷体" w:eastAsia="楷体" w:hint="default"/>
          <w:sz w:val="22"/>
          <w:szCs w:val="22"/>
        </w:rPr>
        <w:t>本公司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9"/>
          <w:sz w:val="22"/>
          <w:szCs w:val="22"/>
        </w:rPr>
        <w:t> </w:t>
      </w:r>
      <w:r>
        <w:rPr>
          <w:rFonts w:ascii="楷体" w:hAnsi="楷体" w:cs="楷体" w:eastAsia="楷体" w:hint="default"/>
          <w:sz w:val="22"/>
          <w:szCs w:val="22"/>
        </w:rPr>
        <w:t>年度境外子公司所得税税率列示如下：</w:t>
      </w:r>
    </w:p>
    <w:p>
      <w:pPr>
        <w:spacing w:line="240" w:lineRule="auto" w:before="5"/>
        <w:rPr>
          <w:rFonts w:ascii="楷体" w:hAnsi="楷体" w:cs="楷体" w:eastAsia="楷体" w:hint="default"/>
          <w:sz w:val="12"/>
          <w:szCs w:val="12"/>
        </w:rPr>
      </w:pPr>
    </w:p>
    <w:tbl>
      <w:tblPr>
        <w:tblW w:w="0" w:type="auto"/>
        <w:jc w:val="left"/>
        <w:tblInd w:w="481" w:type="dxa"/>
        <w:tblLayout w:type="fixed"/>
        <w:tblCellMar>
          <w:top w:w="0" w:type="dxa"/>
          <w:left w:w="0" w:type="dxa"/>
          <w:bottom w:w="0" w:type="dxa"/>
          <w:right w:w="0" w:type="dxa"/>
        </w:tblCellMar>
        <w:tblLook w:val="01E0"/>
      </w:tblPr>
      <w:tblGrid>
        <w:gridCol w:w="6933"/>
        <w:gridCol w:w="1574"/>
      </w:tblGrid>
      <w:tr>
        <w:trPr>
          <w:trHeight w:val="304" w:hRule="exact"/>
        </w:trPr>
        <w:tc>
          <w:tcPr>
            <w:tcW w:w="6933" w:type="dxa"/>
            <w:tcBorders>
              <w:top w:val="single" w:sz="12" w:space="0" w:color="000000"/>
              <w:left w:val="nil" w:sz="6" w:space="0" w:color="auto"/>
              <w:bottom w:val="single" w:sz="4" w:space="0" w:color="000000"/>
              <w:right w:val="nil" w:sz="6" w:space="0" w:color="auto"/>
            </w:tcBorders>
          </w:tcPr>
          <w:p>
            <w:pPr>
              <w:pStyle w:val="TableParagraph"/>
              <w:spacing w:line="245" w:lineRule="exact"/>
              <w:ind w:left="-1" w:right="708"/>
              <w:jc w:val="center"/>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574" w:type="dxa"/>
            <w:tcBorders>
              <w:top w:val="single" w:sz="12" w:space="0" w:color="000000"/>
              <w:left w:val="nil" w:sz="6" w:space="0" w:color="auto"/>
              <w:bottom w:val="single" w:sz="4" w:space="0" w:color="000000"/>
              <w:right w:val="nil" w:sz="6" w:space="0" w:color="auto"/>
            </w:tcBorders>
          </w:tcPr>
          <w:p>
            <w:pPr>
              <w:pStyle w:val="TableParagraph"/>
              <w:spacing w:line="245" w:lineRule="exact"/>
              <w:ind w:left="215" w:right="0"/>
              <w:jc w:val="left"/>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r>
        <w:trPr>
          <w:trHeight w:val="277" w:hRule="exact"/>
        </w:trPr>
        <w:tc>
          <w:tcPr>
            <w:tcW w:w="6933" w:type="dxa"/>
            <w:tcBorders>
              <w:top w:val="single" w:sz="4" w:space="0" w:color="000000"/>
              <w:left w:val="nil" w:sz="6" w:space="0" w:color="auto"/>
              <w:bottom w:val="single" w:sz="6" w:space="0" w:color="000000"/>
              <w:right w:val="nil" w:sz="6" w:space="0" w:color="auto"/>
            </w:tcBorders>
          </w:tcPr>
          <w:p>
            <w:pPr>
              <w:pStyle w:val="TableParagraph"/>
              <w:spacing w:line="240" w:lineRule="auto" w:before="8"/>
              <w:ind w:left="42" w:right="0"/>
              <w:jc w:val="left"/>
              <w:rPr>
                <w:rFonts w:ascii="Times New Roman" w:hAnsi="Times New Roman" w:cs="Times New Roman" w:eastAsia="Times New Roman" w:hint="default"/>
                <w:sz w:val="22"/>
                <w:szCs w:val="22"/>
              </w:rPr>
            </w:pPr>
            <w:r>
              <w:rPr>
                <w:rFonts w:ascii="Times New Roman"/>
                <w:sz w:val="22"/>
              </w:rPr>
              <w:t>Resuccess Investments</w:t>
            </w:r>
            <w:r>
              <w:rPr>
                <w:rFonts w:ascii="Times New Roman"/>
                <w:spacing w:val="-5"/>
                <w:sz w:val="22"/>
              </w:rPr>
              <w:t> </w:t>
            </w:r>
            <w:r>
              <w:rPr>
                <w:rFonts w:ascii="Times New Roman"/>
                <w:sz w:val="22"/>
              </w:rPr>
              <w:t>Ltd.</w:t>
            </w:r>
          </w:p>
        </w:tc>
        <w:tc>
          <w:tcPr>
            <w:tcW w:w="1574" w:type="dxa"/>
            <w:tcBorders>
              <w:top w:val="single" w:sz="4" w:space="0" w:color="000000"/>
              <w:left w:val="nil" w:sz="6" w:space="0" w:color="auto"/>
              <w:bottom w:val="single" w:sz="6" w:space="0" w:color="000000"/>
              <w:right w:val="nil" w:sz="6" w:space="0" w:color="auto"/>
            </w:tcBorders>
          </w:tcPr>
          <w:p>
            <w:pPr>
              <w:pStyle w:val="TableParagraph"/>
              <w:spacing w:line="246" w:lineRule="exact"/>
              <w:ind w:left="291" w:right="0"/>
              <w:jc w:val="left"/>
              <w:rPr>
                <w:rFonts w:ascii="Times New Roman" w:hAnsi="Times New Roman" w:cs="Times New Roman" w:eastAsia="Times New Roman" w:hint="default"/>
                <w:sz w:val="22"/>
                <w:szCs w:val="22"/>
              </w:rPr>
            </w:pPr>
            <w:r>
              <w:rPr>
                <w:rFonts w:ascii="Times New Roman"/>
                <w:sz w:val="22"/>
              </w:rPr>
              <w:t>0%</w:t>
            </w:r>
          </w:p>
        </w:tc>
      </w:tr>
      <w:tr>
        <w:trPr>
          <w:trHeight w:val="284" w:hRule="exact"/>
        </w:trPr>
        <w:tc>
          <w:tcPr>
            <w:tcW w:w="6933" w:type="dxa"/>
            <w:tcBorders>
              <w:top w:val="single" w:sz="6" w:space="0" w:color="000000"/>
              <w:left w:val="nil" w:sz="6" w:space="0" w:color="auto"/>
              <w:bottom w:val="single" w:sz="6" w:space="0" w:color="000000"/>
              <w:right w:val="nil" w:sz="6" w:space="0" w:color="auto"/>
            </w:tcBorders>
          </w:tcPr>
          <w:p>
            <w:pPr>
              <w:pStyle w:val="TableParagraph"/>
              <w:spacing w:line="240" w:lineRule="auto" w:before="13"/>
              <w:ind w:left="42" w:right="0"/>
              <w:jc w:val="left"/>
              <w:rPr>
                <w:rFonts w:ascii="Times New Roman" w:hAnsi="Times New Roman" w:cs="Times New Roman" w:eastAsia="Times New Roman" w:hint="default"/>
                <w:sz w:val="22"/>
                <w:szCs w:val="22"/>
              </w:rPr>
            </w:pPr>
            <w:r>
              <w:rPr>
                <w:rFonts w:ascii="Times New Roman"/>
                <w:sz w:val="22"/>
              </w:rPr>
              <w:t>Technovator Int Private</w:t>
            </w:r>
            <w:r>
              <w:rPr>
                <w:rFonts w:ascii="Times New Roman"/>
                <w:spacing w:val="-25"/>
                <w:sz w:val="22"/>
              </w:rPr>
              <w:t> </w:t>
            </w:r>
            <w:r>
              <w:rPr>
                <w:rFonts w:ascii="Times New Roman"/>
                <w:sz w:val="22"/>
              </w:rPr>
              <w:t>Ltd.</w:t>
            </w:r>
          </w:p>
        </w:tc>
        <w:tc>
          <w:tcPr>
            <w:tcW w:w="1574" w:type="dxa"/>
            <w:tcBorders>
              <w:top w:val="single" w:sz="6" w:space="0" w:color="000000"/>
              <w:left w:val="nil" w:sz="6" w:space="0" w:color="auto"/>
              <w:bottom w:val="single" w:sz="6" w:space="0" w:color="000000"/>
              <w:right w:val="nil" w:sz="6" w:space="0" w:color="auto"/>
            </w:tcBorders>
          </w:tcPr>
          <w:p>
            <w:pPr>
              <w:pStyle w:val="TableParagraph"/>
              <w:spacing w:line="250" w:lineRule="exact"/>
              <w:ind w:left="236" w:right="0"/>
              <w:jc w:val="left"/>
              <w:rPr>
                <w:rFonts w:ascii="Times New Roman" w:hAnsi="Times New Roman" w:cs="Times New Roman" w:eastAsia="Times New Roman" w:hint="default"/>
                <w:sz w:val="22"/>
                <w:szCs w:val="22"/>
              </w:rPr>
            </w:pPr>
            <w:r>
              <w:rPr>
                <w:rFonts w:ascii="Times New Roman"/>
                <w:sz w:val="22"/>
              </w:rPr>
              <w:t>18%</w:t>
            </w:r>
          </w:p>
        </w:tc>
      </w:tr>
      <w:tr>
        <w:trPr>
          <w:trHeight w:val="284" w:hRule="exact"/>
        </w:trPr>
        <w:tc>
          <w:tcPr>
            <w:tcW w:w="6933" w:type="dxa"/>
            <w:tcBorders>
              <w:top w:val="single" w:sz="6" w:space="0" w:color="000000"/>
              <w:left w:val="nil" w:sz="6" w:space="0" w:color="auto"/>
              <w:bottom w:val="single" w:sz="6" w:space="0" w:color="000000"/>
              <w:right w:val="nil" w:sz="6" w:space="0" w:color="auto"/>
            </w:tcBorders>
          </w:tcPr>
          <w:p>
            <w:pPr>
              <w:pStyle w:val="TableParagraph"/>
              <w:spacing w:line="240" w:lineRule="auto" w:before="13"/>
              <w:ind w:left="42" w:right="0"/>
              <w:jc w:val="left"/>
              <w:rPr>
                <w:rFonts w:ascii="Times New Roman" w:hAnsi="Times New Roman" w:cs="Times New Roman" w:eastAsia="Times New Roman" w:hint="default"/>
                <w:sz w:val="22"/>
                <w:szCs w:val="22"/>
              </w:rPr>
            </w:pPr>
            <w:r>
              <w:rPr>
                <w:rFonts w:ascii="Times New Roman"/>
                <w:sz w:val="22"/>
              </w:rPr>
              <w:t>THTF U.S.A.</w:t>
            </w:r>
            <w:r>
              <w:rPr>
                <w:rFonts w:ascii="Times New Roman"/>
                <w:spacing w:val="-3"/>
                <w:sz w:val="22"/>
              </w:rPr>
              <w:t> </w:t>
            </w:r>
            <w:r>
              <w:rPr>
                <w:rFonts w:ascii="Times New Roman"/>
                <w:sz w:val="22"/>
              </w:rPr>
              <w:t>Inc.</w:t>
            </w:r>
          </w:p>
        </w:tc>
        <w:tc>
          <w:tcPr>
            <w:tcW w:w="1574" w:type="dxa"/>
            <w:tcBorders>
              <w:top w:val="single" w:sz="6" w:space="0" w:color="000000"/>
              <w:left w:val="nil" w:sz="6" w:space="0" w:color="auto"/>
              <w:bottom w:val="single" w:sz="6" w:space="0" w:color="000000"/>
              <w:right w:val="nil" w:sz="6" w:space="0" w:color="auto"/>
            </w:tcBorders>
          </w:tcPr>
          <w:p>
            <w:pPr>
              <w:pStyle w:val="TableParagraph"/>
              <w:spacing w:line="250" w:lineRule="exact"/>
              <w:ind w:left="236" w:right="0"/>
              <w:jc w:val="left"/>
              <w:rPr>
                <w:rFonts w:ascii="Times New Roman" w:hAnsi="Times New Roman" w:cs="Times New Roman" w:eastAsia="Times New Roman" w:hint="default"/>
                <w:sz w:val="22"/>
                <w:szCs w:val="22"/>
              </w:rPr>
            </w:pPr>
            <w:r>
              <w:rPr>
                <w:rFonts w:ascii="Times New Roman"/>
                <w:sz w:val="22"/>
              </w:rPr>
              <w:t>31%</w:t>
            </w:r>
          </w:p>
        </w:tc>
      </w:tr>
      <w:tr>
        <w:trPr>
          <w:trHeight w:val="310" w:hRule="exact"/>
        </w:trPr>
        <w:tc>
          <w:tcPr>
            <w:tcW w:w="6933"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left="42" w:right="0"/>
              <w:jc w:val="left"/>
              <w:rPr>
                <w:rFonts w:ascii="Times New Roman" w:hAnsi="Times New Roman" w:cs="Times New Roman" w:eastAsia="Times New Roman" w:hint="default"/>
                <w:sz w:val="22"/>
                <w:szCs w:val="22"/>
              </w:rPr>
            </w:pPr>
            <w:r>
              <w:rPr>
                <w:rFonts w:ascii="Times New Roman"/>
                <w:spacing w:val="-3"/>
                <w:sz w:val="22"/>
              </w:rPr>
              <w:t>TongFang </w:t>
            </w:r>
            <w:r>
              <w:rPr>
                <w:rFonts w:ascii="Times New Roman"/>
                <w:sz w:val="22"/>
              </w:rPr>
              <w:t>Asia Pacific (R&amp;D Center) Pte</w:t>
            </w:r>
            <w:r>
              <w:rPr>
                <w:rFonts w:ascii="Times New Roman"/>
                <w:spacing w:val="-10"/>
                <w:sz w:val="22"/>
              </w:rPr>
              <w:t> </w:t>
            </w:r>
            <w:r>
              <w:rPr>
                <w:rFonts w:ascii="Times New Roman"/>
                <w:sz w:val="22"/>
              </w:rPr>
              <w:t>Ltd.</w:t>
            </w:r>
          </w:p>
        </w:tc>
        <w:tc>
          <w:tcPr>
            <w:tcW w:w="1574"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left="236" w:right="0"/>
              <w:jc w:val="left"/>
              <w:rPr>
                <w:rFonts w:ascii="Times New Roman" w:hAnsi="Times New Roman" w:cs="Times New Roman" w:eastAsia="Times New Roman" w:hint="default"/>
                <w:sz w:val="22"/>
                <w:szCs w:val="22"/>
              </w:rPr>
            </w:pPr>
            <w:r>
              <w:rPr>
                <w:rFonts w:ascii="Times New Roman"/>
                <w:sz w:val="22"/>
              </w:rPr>
              <w:t>18%</w:t>
            </w:r>
          </w:p>
        </w:tc>
      </w:tr>
      <w:tr>
        <w:trPr>
          <w:trHeight w:val="977" w:hRule="exact"/>
        </w:trPr>
        <w:tc>
          <w:tcPr>
            <w:tcW w:w="6933"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97" w:right="0"/>
              <w:jc w:val="left"/>
              <w:rPr>
                <w:rFonts w:ascii="黑体" w:hAnsi="黑体" w:cs="黑体" w:eastAsia="黑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21"/>
                <w:sz w:val="22"/>
                <w:szCs w:val="22"/>
              </w:rPr>
              <w:t> </w:t>
            </w:r>
            <w:r>
              <w:rPr>
                <w:rFonts w:ascii="黑体" w:hAnsi="黑体" w:cs="黑体" w:eastAsia="黑体" w:hint="default"/>
                <w:sz w:val="22"/>
                <w:szCs w:val="22"/>
              </w:rPr>
              <w:t>增值税</w:t>
            </w:r>
          </w:p>
          <w:p>
            <w:pPr>
              <w:pStyle w:val="TableParagraph"/>
              <w:spacing w:line="240" w:lineRule="auto" w:before="180"/>
              <w:ind w:left="97" w:right="0"/>
              <w:jc w:val="left"/>
              <w:rPr>
                <w:rFonts w:ascii="楷体" w:hAnsi="楷体" w:cs="楷体" w:eastAsia="楷体" w:hint="default"/>
                <w:sz w:val="22"/>
                <w:szCs w:val="22"/>
              </w:rPr>
            </w:pPr>
            <w:r>
              <w:rPr>
                <w:rFonts w:ascii="楷体" w:hAnsi="楷体" w:cs="楷体" w:eastAsia="楷体" w:hint="default"/>
                <w:sz w:val="22"/>
                <w:szCs w:val="22"/>
              </w:rPr>
              <w:t>本公司商品销售收入适用增值税。其中：内销商品销项税率为</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17%</w:t>
            </w:r>
            <w:r>
              <w:rPr>
                <w:rFonts w:ascii="楷体" w:hAnsi="楷体" w:cs="楷体" w:eastAsia="楷体" w:hint="default"/>
                <w:sz w:val="22"/>
                <w:szCs w:val="22"/>
              </w:rPr>
              <w:t>。</w:t>
            </w:r>
          </w:p>
        </w:tc>
        <w:tc>
          <w:tcPr>
            <w:tcW w:w="1574" w:type="dxa"/>
            <w:tcBorders>
              <w:top w:val="single" w:sz="12" w:space="0" w:color="000000"/>
              <w:left w:val="nil" w:sz="6" w:space="0" w:color="auto"/>
              <w:bottom w:val="nil" w:sz="6" w:space="0" w:color="auto"/>
              <w:right w:val="nil" w:sz="6" w:space="0" w:color="auto"/>
            </w:tcBorders>
          </w:tcPr>
          <w:p>
            <w:pPr/>
          </w:p>
        </w:tc>
      </w:tr>
    </w:tbl>
    <w:p>
      <w:pPr>
        <w:spacing w:line="307" w:lineRule="auto" w:before="68"/>
        <w:ind w:left="138" w:right="204" w:firstLine="440"/>
        <w:jc w:val="left"/>
        <w:rPr>
          <w:rFonts w:ascii="楷体" w:hAnsi="楷体" w:cs="楷体" w:eastAsia="楷体" w:hint="default"/>
          <w:sz w:val="22"/>
          <w:szCs w:val="22"/>
        </w:rPr>
      </w:pPr>
      <w:r>
        <w:rPr>
          <w:rFonts w:ascii="楷体" w:hAnsi="楷体" w:cs="楷体" w:eastAsia="楷体" w:hint="default"/>
          <w:sz w:val="22"/>
          <w:szCs w:val="22"/>
        </w:rPr>
        <w:t>购买原材料等所支付的增值税进项税额可以抵扣销项税，税率为</w:t>
      </w:r>
      <w:r>
        <w:rPr>
          <w:rFonts w:ascii="楷体" w:hAnsi="楷体" w:cs="楷体" w:eastAsia="楷体" w:hint="default"/>
          <w:spacing w:val="-72"/>
          <w:sz w:val="22"/>
          <w:szCs w:val="22"/>
        </w:rPr>
        <w:t> </w:t>
      </w:r>
      <w:r>
        <w:rPr>
          <w:rFonts w:ascii="Times New Roman" w:hAnsi="Times New Roman" w:cs="Times New Roman" w:eastAsia="Times New Roman" w:hint="default"/>
          <w:spacing w:val="-3"/>
          <w:sz w:val="22"/>
          <w:szCs w:val="22"/>
        </w:rPr>
        <w:t>17%</w:t>
      </w:r>
      <w:r>
        <w:rPr>
          <w:rFonts w:ascii="楷体" w:hAnsi="楷体" w:cs="楷体" w:eastAsia="楷体" w:hint="default"/>
          <w:spacing w:val="-3"/>
          <w:sz w:val="22"/>
          <w:szCs w:val="22"/>
        </w:rPr>
        <w:t>。其中：为出口产品而</w:t>
      </w:r>
      <w:r>
        <w:rPr>
          <w:rFonts w:ascii="楷体" w:hAnsi="楷体" w:cs="楷体" w:eastAsia="楷体" w:hint="default"/>
          <w:w w:val="99"/>
          <w:sz w:val="22"/>
          <w:szCs w:val="22"/>
        </w:rPr>
        <w:t> </w:t>
      </w:r>
      <w:r>
        <w:rPr>
          <w:rFonts w:ascii="楷体" w:hAnsi="楷体" w:cs="楷体" w:eastAsia="楷体" w:hint="default"/>
          <w:sz w:val="22"/>
          <w:szCs w:val="22"/>
        </w:rPr>
        <w:t>支付的进项税可以申请退税。</w:t>
      </w:r>
    </w:p>
    <w:p>
      <w:pPr>
        <w:spacing w:before="118"/>
        <w:ind w:left="579" w:right="213" w:firstLine="0"/>
        <w:jc w:val="left"/>
        <w:rPr>
          <w:rFonts w:ascii="楷体" w:hAnsi="楷体" w:cs="楷体" w:eastAsia="楷体" w:hint="default"/>
          <w:sz w:val="22"/>
          <w:szCs w:val="22"/>
        </w:rPr>
      </w:pPr>
      <w:r>
        <w:rPr>
          <w:rFonts w:ascii="楷体" w:hAnsi="楷体" w:cs="楷体" w:eastAsia="楷体" w:hint="default"/>
          <w:sz w:val="22"/>
          <w:szCs w:val="22"/>
        </w:rPr>
        <w:t>增值税应纳税额为当期销项税抵减当期进项税后的余额。</w:t>
      </w:r>
    </w:p>
    <w:p>
      <w:pPr>
        <w:spacing w:before="180"/>
        <w:ind w:left="579" w:right="213" w:firstLine="0"/>
        <w:jc w:val="left"/>
        <w:rPr>
          <w:rFonts w:ascii="黑体" w:hAnsi="黑体" w:cs="黑体" w:eastAsia="黑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21"/>
          <w:sz w:val="22"/>
          <w:szCs w:val="22"/>
        </w:rPr>
        <w:t> </w:t>
      </w:r>
      <w:r>
        <w:rPr>
          <w:rFonts w:ascii="黑体" w:hAnsi="黑体" w:cs="黑体" w:eastAsia="黑体" w:hint="default"/>
          <w:sz w:val="22"/>
          <w:szCs w:val="22"/>
        </w:rPr>
        <w:t>营业税</w:t>
      </w:r>
    </w:p>
    <w:p>
      <w:pPr>
        <w:spacing w:line="391" w:lineRule="auto" w:before="180"/>
        <w:ind w:left="579" w:right="772" w:firstLine="0"/>
        <w:jc w:val="left"/>
        <w:rPr>
          <w:rFonts w:ascii="楷体" w:hAnsi="楷体" w:cs="楷体" w:eastAsia="楷体" w:hint="default"/>
          <w:sz w:val="22"/>
          <w:szCs w:val="22"/>
        </w:rPr>
      </w:pPr>
      <w:r>
        <w:rPr>
          <w:rFonts w:ascii="楷体" w:hAnsi="楷体" w:cs="楷体" w:eastAsia="楷体" w:hint="default"/>
          <w:sz w:val="22"/>
          <w:szCs w:val="22"/>
        </w:rPr>
        <w:t>公司的工程收入按应税收入的</w:t>
      </w:r>
      <w:r>
        <w:rPr>
          <w:rFonts w:ascii="楷体" w:hAnsi="楷体" w:cs="楷体" w:eastAsia="楷体" w:hint="default"/>
          <w:spacing w:val="-55"/>
          <w:sz w:val="22"/>
          <w:szCs w:val="22"/>
        </w:rPr>
        <w:t> </w:t>
      </w:r>
      <w:r>
        <w:rPr>
          <w:rFonts w:ascii="楷体" w:hAnsi="楷体" w:cs="楷体" w:eastAsia="楷体" w:hint="default"/>
          <w:sz w:val="22"/>
          <w:szCs w:val="22"/>
        </w:rPr>
        <w:t>3%计缴营业税；</w:t>
      </w:r>
      <w:r>
        <w:rPr>
          <w:rFonts w:ascii="楷体" w:hAnsi="楷体" w:cs="楷体" w:eastAsia="楷体" w:hint="default"/>
          <w:w w:val="99"/>
          <w:sz w:val="22"/>
          <w:szCs w:val="22"/>
        </w:rPr>
        <w:t> </w:t>
      </w:r>
      <w:r>
        <w:rPr>
          <w:rFonts w:ascii="楷体" w:hAnsi="楷体" w:cs="楷体" w:eastAsia="楷体" w:hint="default"/>
          <w:sz w:val="22"/>
          <w:szCs w:val="22"/>
        </w:rPr>
        <w:t>公司的软件开发、网络数据信息加工与服务收入按应税收入的</w:t>
      </w:r>
      <w:r>
        <w:rPr>
          <w:rFonts w:ascii="楷体" w:hAnsi="楷体" w:cs="楷体" w:eastAsia="楷体" w:hint="default"/>
          <w:spacing w:val="-55"/>
          <w:sz w:val="22"/>
          <w:szCs w:val="22"/>
        </w:rPr>
        <w:t> </w:t>
      </w:r>
      <w:r>
        <w:rPr>
          <w:rFonts w:ascii="楷体" w:hAnsi="楷体" w:cs="楷体" w:eastAsia="楷体" w:hint="default"/>
          <w:sz w:val="22"/>
          <w:szCs w:val="22"/>
        </w:rPr>
        <w:t>5%计缴营业税；</w:t>
      </w:r>
      <w:r>
        <w:rPr>
          <w:rFonts w:ascii="楷体" w:hAnsi="楷体" w:cs="楷体" w:eastAsia="楷体" w:hint="default"/>
          <w:w w:val="99"/>
          <w:sz w:val="22"/>
          <w:szCs w:val="22"/>
        </w:rPr>
        <w:t> </w:t>
      </w:r>
      <w:r>
        <w:rPr>
          <w:rFonts w:ascii="楷体" w:hAnsi="楷体" w:cs="楷体" w:eastAsia="楷体" w:hint="default"/>
          <w:sz w:val="22"/>
          <w:szCs w:val="22"/>
        </w:rPr>
        <w:t>公司的技术开发、技术转让、技术咨询、技术培训收入按应税收入的</w:t>
      </w:r>
      <w:r>
        <w:rPr>
          <w:rFonts w:ascii="楷体" w:hAnsi="楷体" w:cs="楷体" w:eastAsia="楷体" w:hint="default"/>
          <w:spacing w:val="-57"/>
          <w:sz w:val="22"/>
          <w:szCs w:val="22"/>
        </w:rPr>
        <w:t> </w:t>
      </w:r>
      <w:r>
        <w:rPr>
          <w:rFonts w:ascii="楷体" w:hAnsi="楷体" w:cs="楷体" w:eastAsia="楷体" w:hint="default"/>
          <w:sz w:val="22"/>
          <w:szCs w:val="22"/>
        </w:rPr>
        <w:t>5%计缴营业税；</w:t>
      </w:r>
      <w:r>
        <w:rPr>
          <w:rFonts w:ascii="楷体" w:hAnsi="楷体" w:cs="楷体" w:eastAsia="楷体" w:hint="default"/>
          <w:w w:val="99"/>
          <w:sz w:val="22"/>
          <w:szCs w:val="22"/>
        </w:rPr>
        <w:t> </w:t>
      </w:r>
      <w:r>
        <w:rPr>
          <w:rFonts w:ascii="楷体" w:hAnsi="楷体" w:cs="楷体" w:eastAsia="楷体" w:hint="default"/>
          <w:sz w:val="22"/>
          <w:szCs w:val="22"/>
        </w:rPr>
        <w:t>公司的房屋租赁收入按应税收入的</w:t>
      </w:r>
      <w:r>
        <w:rPr>
          <w:rFonts w:ascii="楷体" w:hAnsi="楷体" w:cs="楷体" w:eastAsia="楷体" w:hint="default"/>
          <w:spacing w:val="-57"/>
          <w:sz w:val="22"/>
          <w:szCs w:val="22"/>
        </w:rPr>
        <w:t> </w:t>
      </w:r>
      <w:r>
        <w:rPr>
          <w:rFonts w:ascii="楷体" w:hAnsi="楷体" w:cs="楷体" w:eastAsia="楷体" w:hint="default"/>
          <w:sz w:val="22"/>
          <w:szCs w:val="22"/>
        </w:rPr>
        <w:t>5%计缴营业税。</w:t>
      </w:r>
    </w:p>
    <w:p>
      <w:pPr>
        <w:spacing w:before="41"/>
        <w:ind w:left="579" w:right="213" w:firstLine="0"/>
        <w:jc w:val="left"/>
        <w:rPr>
          <w:rFonts w:ascii="黑体" w:hAnsi="黑体" w:cs="黑体" w:eastAsia="黑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21"/>
          <w:sz w:val="22"/>
          <w:szCs w:val="22"/>
        </w:rPr>
        <w:t> </w:t>
      </w:r>
      <w:r>
        <w:rPr>
          <w:rFonts w:ascii="黑体" w:hAnsi="黑体" w:cs="黑体" w:eastAsia="黑体" w:hint="default"/>
          <w:sz w:val="22"/>
          <w:szCs w:val="22"/>
        </w:rPr>
        <w:t>城建税及教育费附加</w:t>
      </w:r>
    </w:p>
    <w:p>
      <w:pPr>
        <w:spacing w:line="324" w:lineRule="auto" w:before="180"/>
        <w:ind w:left="138" w:right="213" w:firstLine="440"/>
        <w:jc w:val="left"/>
        <w:rPr>
          <w:rFonts w:ascii="楷体" w:hAnsi="楷体" w:cs="楷体" w:eastAsia="楷体" w:hint="default"/>
          <w:sz w:val="22"/>
          <w:szCs w:val="22"/>
        </w:rPr>
      </w:pPr>
      <w:r>
        <w:rPr>
          <w:rFonts w:ascii="楷体" w:hAnsi="楷体" w:cs="楷体" w:eastAsia="楷体" w:hint="default"/>
          <w:sz w:val="22"/>
          <w:szCs w:val="22"/>
        </w:rPr>
        <w:t>本公司城建税、教育费附加均以应纳增值税、营业税额为计税依据，适用税率分别为</w:t>
      </w:r>
      <w:r>
        <w:rPr>
          <w:rFonts w:ascii="楷体" w:hAnsi="楷体" w:cs="楷体" w:eastAsia="楷体" w:hint="default"/>
          <w:spacing w:val="45"/>
          <w:sz w:val="22"/>
          <w:szCs w:val="22"/>
        </w:rPr>
        <w:t> </w:t>
      </w:r>
      <w:r>
        <w:rPr>
          <w:rFonts w:ascii="楷体" w:hAnsi="楷体" w:cs="楷体" w:eastAsia="楷体" w:hint="default"/>
          <w:sz w:val="22"/>
          <w:szCs w:val="22"/>
        </w:rPr>
        <w:t>7%和</w:t>
      </w:r>
      <w:r>
        <w:rPr>
          <w:rFonts w:ascii="楷体" w:hAnsi="楷体" w:cs="楷体" w:eastAsia="楷体" w:hint="default"/>
          <w:w w:val="99"/>
          <w:sz w:val="22"/>
          <w:szCs w:val="22"/>
        </w:rPr>
        <w:t> </w:t>
      </w:r>
      <w:r>
        <w:rPr>
          <w:rFonts w:ascii="楷体" w:hAnsi="楷体" w:cs="楷体" w:eastAsia="楷体" w:hint="default"/>
          <w:sz w:val="22"/>
          <w:szCs w:val="22"/>
        </w:rPr>
        <w:t>3%。</w:t>
      </w:r>
    </w:p>
    <w:p>
      <w:pPr>
        <w:spacing w:before="103"/>
        <w:ind w:left="579" w:right="213" w:firstLine="0"/>
        <w:jc w:val="left"/>
        <w:rPr>
          <w:rFonts w:ascii="黑体" w:hAnsi="黑体" w:cs="黑体" w:eastAsia="黑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21"/>
          <w:sz w:val="22"/>
          <w:szCs w:val="22"/>
        </w:rPr>
        <w:t> </w:t>
      </w:r>
      <w:r>
        <w:rPr>
          <w:rFonts w:ascii="黑体" w:hAnsi="黑体" w:cs="黑体" w:eastAsia="黑体" w:hint="default"/>
          <w:sz w:val="22"/>
          <w:szCs w:val="22"/>
        </w:rPr>
        <w:t>房产税</w:t>
      </w:r>
    </w:p>
    <w:p>
      <w:pPr>
        <w:spacing w:before="180"/>
        <w:ind w:left="579" w:right="213" w:firstLine="0"/>
        <w:jc w:val="left"/>
        <w:rPr>
          <w:rFonts w:ascii="楷体" w:hAnsi="楷体" w:cs="楷体" w:eastAsia="楷体" w:hint="default"/>
          <w:sz w:val="22"/>
          <w:szCs w:val="22"/>
        </w:rPr>
      </w:pPr>
      <w:r>
        <w:rPr>
          <w:rFonts w:ascii="楷体" w:hAnsi="楷体" w:cs="楷体" w:eastAsia="楷体" w:hint="default"/>
          <w:sz w:val="22"/>
          <w:szCs w:val="22"/>
        </w:rPr>
        <w:t>公司自用房产以房产原值的</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70%</w:t>
      </w:r>
      <w:r>
        <w:rPr>
          <w:rFonts w:ascii="楷体" w:hAnsi="楷体" w:cs="楷体" w:eastAsia="楷体" w:hint="default"/>
          <w:sz w:val="22"/>
          <w:szCs w:val="22"/>
        </w:rPr>
        <w:t>为计税依据，按</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1.2%</w:t>
      </w:r>
      <w:r>
        <w:rPr>
          <w:rFonts w:ascii="楷体" w:hAnsi="楷体" w:cs="楷体" w:eastAsia="楷体" w:hint="default"/>
          <w:sz w:val="22"/>
          <w:szCs w:val="22"/>
        </w:rPr>
        <w:t>的税率计缴房产税。</w:t>
      </w:r>
    </w:p>
    <w:p>
      <w:pPr>
        <w:spacing w:after="0"/>
        <w:jc w:val="left"/>
        <w:rPr>
          <w:rFonts w:ascii="楷体" w:hAnsi="楷体" w:cs="楷体" w:eastAsia="楷体" w:hint="default"/>
          <w:sz w:val="22"/>
          <w:szCs w:val="22"/>
        </w:rPr>
        <w:sectPr>
          <w:pgSz w:w="11910" w:h="16840"/>
          <w:pgMar w:header="610" w:footer="784" w:top="1080" w:bottom="980" w:left="1280" w:right="106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1138" w:right="663" w:firstLine="0"/>
        <w:jc w:val="left"/>
        <w:rPr>
          <w:rFonts w:ascii="楷体" w:hAnsi="楷体" w:cs="楷体" w:eastAsia="楷体" w:hint="default"/>
          <w:sz w:val="22"/>
          <w:szCs w:val="22"/>
        </w:rPr>
      </w:pPr>
      <w:r>
        <w:rPr>
          <w:rFonts w:ascii="楷体" w:hAnsi="楷体" w:cs="楷体" w:eastAsia="楷体" w:hint="default"/>
          <w:sz w:val="22"/>
          <w:szCs w:val="22"/>
        </w:rPr>
        <w:t>公司出租房产以租金为计税依据，按</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12%</w:t>
      </w:r>
      <w:r>
        <w:rPr>
          <w:rFonts w:ascii="楷体" w:hAnsi="楷体" w:cs="楷体" w:eastAsia="楷体" w:hint="default"/>
          <w:sz w:val="22"/>
          <w:szCs w:val="22"/>
        </w:rPr>
        <w:t>的税率计缴房产税。</w:t>
      </w:r>
    </w:p>
    <w:p>
      <w:pPr>
        <w:spacing w:before="162"/>
        <w:ind w:left="1139" w:right="663" w:firstLine="0"/>
        <w:jc w:val="left"/>
        <w:rPr>
          <w:rFonts w:ascii="黑体" w:hAnsi="黑体" w:cs="黑体" w:eastAsia="黑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21"/>
          <w:sz w:val="22"/>
          <w:szCs w:val="22"/>
        </w:rPr>
        <w:t> </w:t>
      </w:r>
      <w:r>
        <w:rPr>
          <w:rFonts w:ascii="黑体" w:hAnsi="黑体" w:cs="黑体" w:eastAsia="黑体" w:hint="default"/>
          <w:sz w:val="22"/>
          <w:szCs w:val="22"/>
        </w:rPr>
        <w:t>其他税项</w:t>
      </w:r>
    </w:p>
    <w:p>
      <w:pPr>
        <w:spacing w:before="180"/>
        <w:ind w:left="1139" w:right="663" w:firstLine="0"/>
        <w:jc w:val="left"/>
        <w:rPr>
          <w:rFonts w:ascii="楷体" w:hAnsi="楷体" w:cs="楷体" w:eastAsia="楷体" w:hint="default"/>
          <w:sz w:val="22"/>
          <w:szCs w:val="22"/>
        </w:rPr>
      </w:pPr>
      <w:r>
        <w:rPr>
          <w:rFonts w:ascii="楷体" w:hAnsi="楷体" w:cs="楷体" w:eastAsia="楷体" w:hint="default"/>
          <w:sz w:val="22"/>
          <w:szCs w:val="22"/>
        </w:rPr>
        <w:t>公司的其他税项按国家有关规定计算缴纳。</w:t>
      </w:r>
    </w:p>
    <w:p>
      <w:pPr>
        <w:pStyle w:val="Heading3"/>
        <w:spacing w:line="240" w:lineRule="auto" w:before="87"/>
        <w:ind w:left="1180" w:right="663"/>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六、</w:t>
      </w:r>
      <w:r>
        <w:rPr>
          <w:rFonts w:ascii="Microsoft JhengHei" w:hAnsi="Microsoft JhengHei" w:cs="Microsoft JhengHei" w:eastAsia="Microsoft JhengHei" w:hint="default"/>
          <w:spacing w:val="-2"/>
        </w:rPr>
        <w:t> </w:t>
      </w:r>
      <w:r>
        <w:rPr>
          <w:rFonts w:ascii="Microsoft JhengHei" w:hAnsi="Microsoft JhengHei" w:cs="Microsoft JhengHei" w:eastAsia="Microsoft JhengHei" w:hint="default"/>
        </w:rPr>
        <w:t>企业合并及合并财务报表</w:t>
      </w:r>
      <w:r>
        <w:rPr>
          <w:rFonts w:ascii="Microsoft JhengHei" w:hAnsi="Microsoft JhengHei" w:cs="Microsoft JhengHei" w:eastAsia="Microsoft JhengHei" w:hint="default"/>
          <w:b w:val="0"/>
          <w:bCs w:val="0"/>
        </w:rPr>
      </w:r>
    </w:p>
    <w:p>
      <w:pPr>
        <w:tabs>
          <w:tab w:pos="1719" w:val="left" w:leader="none"/>
        </w:tabs>
        <w:spacing w:before="72"/>
        <w:ind w:left="1138" w:right="663" w:firstLine="0"/>
        <w:jc w:val="left"/>
        <w:rPr>
          <w:rFonts w:ascii="楷体" w:hAnsi="楷体" w:cs="楷体" w:eastAsia="楷体" w:hint="default"/>
          <w:sz w:val="22"/>
          <w:szCs w:val="22"/>
        </w:rPr>
      </w:pPr>
      <w:r>
        <w:rPr/>
        <w:pict>
          <v:group style="position:absolute;margin-left:42.540001pt;margin-top:30.41783pt;width:516.4500pt;height:.1pt;mso-position-horizontal-relative:page;mso-position-vertical-relative:paragraph;z-index:-899536" coordorigin="851,608" coordsize="10329,2">
            <v:shape style="position:absolute;left:851;top:608;width:10329;height:2" coordorigin="851,608" coordsize="10329,0" path="m851,608l11179,608e" filled="false" stroked="true" strokeweight="1.5pt" strokecolor="#000000">
              <v:path arrowok="t"/>
            </v:shape>
            <w10:wrap type="none"/>
          </v:group>
        </w:pict>
      </w:r>
      <w:r>
        <w:rPr>
          <w:rFonts w:ascii="Times New Roman" w:hAnsi="Times New Roman" w:cs="Times New Roman" w:eastAsia="Times New Roman" w:hint="default"/>
          <w:b/>
          <w:bCs/>
          <w:sz w:val="22"/>
          <w:szCs w:val="22"/>
        </w:rPr>
        <w:t>(</w:t>
      </w:r>
      <w:r>
        <w:rPr>
          <w:rFonts w:ascii="Microsoft JhengHei" w:hAnsi="Microsoft JhengHei" w:cs="Microsoft JhengHei" w:eastAsia="Microsoft JhengHei" w:hint="default"/>
          <w:b/>
          <w:bCs/>
          <w:sz w:val="22"/>
          <w:szCs w:val="22"/>
        </w:rPr>
        <w:t>一</w:t>
      </w:r>
      <w:r>
        <w:rPr>
          <w:rFonts w:ascii="Times New Roman" w:hAnsi="Times New Roman" w:cs="Times New Roman" w:eastAsia="Times New Roman" w:hint="default"/>
          <w:b/>
          <w:bCs/>
          <w:sz w:val="22"/>
          <w:szCs w:val="22"/>
        </w:rPr>
        <w:t>)</w:t>
        <w:tab/>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日，本公司纳入合并范围的子公司资料列示如下：</w:t>
      </w:r>
    </w:p>
    <w:p>
      <w:pPr>
        <w:spacing w:after="0"/>
        <w:jc w:val="left"/>
        <w:rPr>
          <w:rFonts w:ascii="楷体" w:hAnsi="楷体" w:cs="楷体" w:eastAsia="楷体" w:hint="default"/>
          <w:sz w:val="22"/>
          <w:szCs w:val="22"/>
        </w:rPr>
        <w:sectPr>
          <w:pgSz w:w="11910" w:h="16840"/>
          <w:pgMar w:header="610" w:footer="784" w:top="1080" w:bottom="980" w:left="720" w:right="600"/>
        </w:sectPr>
      </w:pPr>
    </w:p>
    <w:p>
      <w:pPr>
        <w:tabs>
          <w:tab w:pos="3373" w:val="left" w:leader="none"/>
        </w:tabs>
        <w:spacing w:before="104"/>
        <w:ind w:left="1358" w:right="-20" w:firstLine="0"/>
        <w:jc w:val="left"/>
        <w:rPr>
          <w:rFonts w:ascii="Microsoft JhengHei" w:hAnsi="Microsoft JhengHei" w:cs="Microsoft JhengHei" w:eastAsia="Microsoft JhengHei" w:hint="default"/>
          <w:sz w:val="15"/>
          <w:szCs w:val="15"/>
        </w:rPr>
      </w:pPr>
      <w:r>
        <w:rPr/>
        <w:pict>
          <v:shape style="position:absolute;margin-left:41.82pt;margin-top:19.940742pt;width:517.5pt;height:556.6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8"/>
                    <w:gridCol w:w="544"/>
                    <w:gridCol w:w="1324"/>
                    <w:gridCol w:w="784"/>
                    <w:gridCol w:w="837"/>
                    <w:gridCol w:w="3319"/>
                    <w:gridCol w:w="493"/>
                  </w:tblGrid>
                  <w:tr>
                    <w:trPr>
                      <w:trHeight w:val="175" w:hRule="exact"/>
                    </w:trPr>
                    <w:tc>
                      <w:tcPr>
                        <w:tcW w:w="3048" w:type="dxa"/>
                        <w:tcBorders>
                          <w:top w:val="nil" w:sz="6" w:space="0" w:color="auto"/>
                          <w:left w:val="nil" w:sz="6" w:space="0" w:color="auto"/>
                          <w:bottom w:val="single" w:sz="4" w:space="0" w:color="000000"/>
                          <w:right w:val="nil" w:sz="6" w:space="0" w:color="auto"/>
                        </w:tcBorders>
                      </w:tcPr>
                      <w:p>
                        <w:pPr/>
                      </w:p>
                    </w:tc>
                    <w:tc>
                      <w:tcPr>
                        <w:tcW w:w="544" w:type="dxa"/>
                        <w:tcBorders>
                          <w:top w:val="nil" w:sz="6" w:space="0" w:color="auto"/>
                          <w:left w:val="nil" w:sz="6" w:space="0" w:color="auto"/>
                          <w:bottom w:val="single" w:sz="4" w:space="0" w:color="000000"/>
                          <w:right w:val="nil" w:sz="6" w:space="0" w:color="auto"/>
                        </w:tcBorders>
                      </w:tcPr>
                      <w:p>
                        <w:pPr>
                          <w:pStyle w:val="TableParagraph"/>
                          <w:spacing w:line="167" w:lineRule="exact"/>
                          <w:ind w:right="185"/>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次</w:t>
                        </w:r>
                        <w:r>
                          <w:rPr>
                            <w:rFonts w:ascii="Microsoft JhengHei" w:hAnsi="Microsoft JhengHei" w:cs="Microsoft JhengHei" w:eastAsia="Microsoft JhengHei" w:hint="default"/>
                            <w:sz w:val="15"/>
                            <w:szCs w:val="15"/>
                          </w:rPr>
                        </w:r>
                      </w:p>
                    </w:tc>
                    <w:tc>
                      <w:tcPr>
                        <w:tcW w:w="1324" w:type="dxa"/>
                        <w:tcBorders>
                          <w:top w:val="nil" w:sz="6" w:space="0" w:color="auto"/>
                          <w:left w:val="nil" w:sz="6" w:space="0" w:color="auto"/>
                          <w:bottom w:val="single" w:sz="4" w:space="0" w:color="000000"/>
                          <w:right w:val="nil" w:sz="6" w:space="0" w:color="auto"/>
                        </w:tcBorders>
                      </w:tcPr>
                      <w:p>
                        <w:pPr/>
                      </w:p>
                    </w:tc>
                    <w:tc>
                      <w:tcPr>
                        <w:tcW w:w="784" w:type="dxa"/>
                        <w:tcBorders>
                          <w:top w:val="nil" w:sz="6" w:space="0" w:color="auto"/>
                          <w:left w:val="nil" w:sz="6" w:space="0" w:color="auto"/>
                          <w:bottom w:val="single" w:sz="4" w:space="0" w:color="000000"/>
                          <w:right w:val="nil" w:sz="6" w:space="0" w:color="auto"/>
                        </w:tcBorders>
                      </w:tcPr>
                      <w:p>
                        <w:pPr>
                          <w:pStyle w:val="TableParagraph"/>
                          <w:spacing w:line="167" w:lineRule="exact"/>
                          <w:ind w:left="22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837" w:type="dxa"/>
                        <w:tcBorders>
                          <w:top w:val="nil" w:sz="6" w:space="0" w:color="auto"/>
                          <w:left w:val="nil" w:sz="6" w:space="0" w:color="auto"/>
                          <w:bottom w:val="single" w:sz="4" w:space="0" w:color="000000"/>
                          <w:right w:val="nil" w:sz="6" w:space="0" w:color="auto"/>
                        </w:tcBorders>
                      </w:tcPr>
                      <w:p>
                        <w:pPr/>
                      </w:p>
                    </w:tc>
                    <w:tc>
                      <w:tcPr>
                        <w:tcW w:w="3319" w:type="dxa"/>
                        <w:tcBorders>
                          <w:top w:val="nil" w:sz="6" w:space="0" w:color="auto"/>
                          <w:left w:val="nil" w:sz="6" w:space="0" w:color="auto"/>
                          <w:bottom w:val="single" w:sz="4" w:space="0" w:color="000000"/>
                          <w:right w:val="nil" w:sz="6" w:space="0" w:color="auto"/>
                        </w:tcBorders>
                      </w:tcPr>
                      <w:p>
                        <w:pPr/>
                      </w:p>
                    </w:tc>
                    <w:tc>
                      <w:tcPr>
                        <w:tcW w:w="493" w:type="dxa"/>
                        <w:tcBorders>
                          <w:top w:val="nil" w:sz="6" w:space="0" w:color="auto"/>
                          <w:left w:val="nil" w:sz="6" w:space="0" w:color="auto"/>
                          <w:bottom w:val="single" w:sz="4" w:space="0" w:color="000000"/>
                          <w:right w:val="nil" w:sz="6" w:space="0" w:color="auto"/>
                        </w:tcBorders>
                      </w:tcPr>
                      <w:p>
                        <w:pPr>
                          <w:pStyle w:val="TableParagraph"/>
                          <w:spacing w:line="167" w:lineRule="exact"/>
                          <w:ind w:left="57"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并</w:t>
                        </w:r>
                        <w:r>
                          <w:rPr>
                            <w:rFonts w:ascii="Microsoft JhengHei" w:hAnsi="Microsoft JhengHei" w:cs="Microsoft JhengHei" w:eastAsia="Microsoft JhengHei" w:hint="default"/>
                            <w:sz w:val="15"/>
                            <w:szCs w:val="15"/>
                          </w:rPr>
                        </w:r>
                      </w:p>
                    </w:tc>
                  </w:tr>
                  <w:tr>
                    <w:trPr>
                      <w:trHeight w:val="299" w:hRule="exact"/>
                    </w:trPr>
                    <w:tc>
                      <w:tcPr>
                        <w:tcW w:w="304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22" w:right="0"/>
                          <w:jc w:val="left"/>
                          <w:rPr>
                            <w:rFonts w:ascii="Times New Roman" w:hAnsi="Times New Roman" w:cs="Times New Roman" w:eastAsia="Times New Roman" w:hint="default"/>
                            <w:sz w:val="15"/>
                            <w:szCs w:val="15"/>
                          </w:rPr>
                        </w:pPr>
                        <w:r>
                          <w:rPr>
                            <w:rFonts w:ascii="楷体" w:hAnsi="楷体" w:cs="楷体" w:eastAsia="楷体" w:hint="default"/>
                            <w:sz w:val="15"/>
                            <w:szCs w:val="15"/>
                          </w:rPr>
                          <w:t>泰豪科技股份有限公司</w:t>
                        </w:r>
                        <w:r>
                          <w:rPr>
                            <w:rFonts w:ascii="Times New Roman" w:hAnsi="Times New Roman" w:cs="Times New Roman" w:eastAsia="Times New Roman" w:hint="default"/>
                            <w:sz w:val="15"/>
                            <w:szCs w:val="15"/>
                          </w:rPr>
                          <w:t>(600590)</w:t>
                        </w:r>
                      </w:p>
                    </w:tc>
                    <w:tc>
                      <w:tcPr>
                        <w:tcW w:w="54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29449.56</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16"/>
                          <w:jc w:val="right"/>
                          <w:rPr>
                            <w:rFonts w:ascii="Times New Roman" w:hAnsi="Times New Roman" w:cs="Times New Roman" w:eastAsia="Times New Roman" w:hint="default"/>
                            <w:sz w:val="15"/>
                            <w:szCs w:val="15"/>
                          </w:rPr>
                        </w:pPr>
                        <w:r>
                          <w:rPr>
                            <w:rFonts w:ascii="Times New Roman"/>
                            <w:spacing w:val="-1"/>
                            <w:sz w:val="15"/>
                          </w:rPr>
                          <w:t>23.37%</w:t>
                        </w:r>
                      </w:p>
                    </w:tc>
                    <w:tc>
                      <w:tcPr>
                        <w:tcW w:w="83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0"/>
                          <w:jc w:val="center"/>
                          <w:rPr>
                            <w:rFonts w:ascii="楷体" w:hAnsi="楷体" w:cs="楷体" w:eastAsia="楷体" w:hint="default"/>
                            <w:sz w:val="15"/>
                            <w:szCs w:val="15"/>
                          </w:rPr>
                        </w:pPr>
                        <w:r>
                          <w:rPr>
                            <w:rFonts w:ascii="楷体" w:hAnsi="楷体" w:cs="楷体" w:eastAsia="楷体" w:hint="default"/>
                            <w:sz w:val="15"/>
                            <w:szCs w:val="15"/>
                          </w:rPr>
                          <w:t>江西南昌</w:t>
                        </w:r>
                      </w:p>
                    </w:tc>
                    <w:tc>
                      <w:tcPr>
                        <w:tcW w:w="3319"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18" w:right="0"/>
                          <w:jc w:val="left"/>
                          <w:rPr>
                            <w:rFonts w:ascii="楷体" w:hAnsi="楷体" w:cs="楷体" w:eastAsia="楷体" w:hint="default"/>
                            <w:sz w:val="15"/>
                            <w:szCs w:val="15"/>
                          </w:rPr>
                        </w:pPr>
                        <w:r>
                          <w:rPr>
                            <w:rFonts w:ascii="楷体" w:hAnsi="楷体" w:cs="楷体" w:eastAsia="楷体" w:hint="default"/>
                            <w:sz w:val="15"/>
                            <w:szCs w:val="15"/>
                          </w:rPr>
                          <w:t>智能建筑电气、发电机及机组、装备信息产品</w:t>
                        </w:r>
                      </w:p>
                    </w:tc>
                    <w:tc>
                      <w:tcPr>
                        <w:tcW w:w="493"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深圳市清华泰豪智能科技有限公司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2000.00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广东深圳</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智能电气产品、计算机软件</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楷体" w:hAnsi="楷体" w:cs="楷体" w:eastAsia="楷体" w:hint="default"/>
                            <w:sz w:val="15"/>
                            <w:szCs w:val="15"/>
                          </w:rPr>
                        </w:pPr>
                        <w:r>
                          <w:rPr>
                            <w:rFonts w:ascii="楷体" w:hAnsi="楷体" w:cs="楷体" w:eastAsia="楷体" w:hint="default"/>
                            <w:sz w:val="15"/>
                            <w:szCs w:val="15"/>
                          </w:rPr>
                          <w:t>江西清华泰豪三波电机有限公司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10000.00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江西南昌</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电源、电机及成套设备</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北京泰豪西电电源有限公司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2000.00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电源、电机及成套设备</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泰豪科技（深圳）电力技术有限公司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5000.00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82.50%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广东深圳</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电力设备、仪器仪表、自动化系统</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楷体" w:hAnsi="楷体" w:cs="楷体" w:eastAsia="楷体" w:hint="default"/>
                            <w:sz w:val="15"/>
                            <w:szCs w:val="15"/>
                          </w:rPr>
                        </w:pPr>
                        <w:r>
                          <w:rPr>
                            <w:rFonts w:ascii="楷体" w:hAnsi="楷体" w:cs="楷体" w:eastAsia="楷体" w:hint="default"/>
                            <w:sz w:val="15"/>
                            <w:szCs w:val="15"/>
                          </w:rPr>
                          <w:t>江西泰豪科技进出口有限公司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5000.00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江西南昌</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自营或代理种类商品和技术进出口</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上海泰豪智能建筑电气有限公司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500.00</w:t>
                        </w:r>
                        <w:r>
                          <w:rPr>
                            <w:rFonts w:ascii="Times New Roman" w:hAnsi="Times New Roman" w:cs="Times New Roman" w:eastAsia="Times New Roman" w:hint="default"/>
                            <w:spacing w:val="-3"/>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上海浦东</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建筑弱电、中央空调、电气自动化和环保工程</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衡阳泰豪通信车辆有限公司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8000.00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90.19%</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江西衡阳</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车载通信系统</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楷体" w:hAnsi="楷体" w:cs="楷体" w:eastAsia="楷体" w:hint="default"/>
                            <w:sz w:val="15"/>
                            <w:szCs w:val="15"/>
                          </w:rPr>
                        </w:pPr>
                        <w:r>
                          <w:rPr>
                            <w:rFonts w:ascii="楷体" w:hAnsi="楷体" w:cs="楷体" w:eastAsia="楷体" w:hint="default"/>
                            <w:sz w:val="15"/>
                            <w:szCs w:val="15"/>
                          </w:rPr>
                          <w:t>衡阳泰豪置业有限公司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3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江西衡阳</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房地产开发、物业管理</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江西清华泰豪微电机有限公司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60.00%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江西南昌</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发电机及机组、其他机电设备</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江西泰豪特种电机有限公司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5000.00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江西高安</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水轮</w:t>
                        </w:r>
                        <w:r>
                          <w:rPr>
                            <w:rFonts w:ascii="Times New Roman" w:hAnsi="Times New Roman" w:cs="Times New Roman" w:eastAsia="Times New Roman" w:hint="default"/>
                            <w:sz w:val="15"/>
                            <w:szCs w:val="15"/>
                          </w:rPr>
                          <w:t>/</w:t>
                        </w:r>
                        <w:r>
                          <w:rPr>
                            <w:rFonts w:ascii="楷体" w:hAnsi="楷体" w:cs="楷体" w:eastAsia="楷体" w:hint="default"/>
                            <w:sz w:val="15"/>
                            <w:szCs w:val="15"/>
                          </w:rPr>
                          <w:t>风力发电机组、特种电机及成套设备</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楷体" w:hAnsi="楷体" w:cs="楷体" w:eastAsia="楷体" w:hint="default"/>
                            <w:sz w:val="15"/>
                            <w:szCs w:val="15"/>
                          </w:rPr>
                        </w:pPr>
                        <w:r>
                          <w:rPr>
                            <w:rFonts w:ascii="楷体" w:hAnsi="楷体" w:cs="楷体" w:eastAsia="楷体" w:hint="default"/>
                            <w:sz w:val="15"/>
                            <w:szCs w:val="15"/>
                          </w:rPr>
                          <w:t>长春泰豪电子装备有限公司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3000.00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85.50%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吉林长春</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天线、雷达、光机电一体化产品</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北京泰豪智能科技股份有限公司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10000.00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70.20%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智能建筑产品和系统集成解决方案</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北京泰豪智能工程有限公司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3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5000.00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智能建筑产品的设计、安装调试和售后服务</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楷体" w:hAnsi="楷体" w:cs="楷体" w:eastAsia="楷体" w:hint="default"/>
                            <w:sz w:val="15"/>
                            <w:szCs w:val="15"/>
                          </w:rPr>
                        </w:pPr>
                        <w:r>
                          <w:rPr>
                            <w:rFonts w:ascii="楷体" w:hAnsi="楷体" w:cs="楷体" w:eastAsia="楷体" w:hint="default"/>
                            <w:sz w:val="15"/>
                            <w:szCs w:val="15"/>
                          </w:rPr>
                          <w:t>江西泰豪电源技术有限公司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8000.00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江西南昌</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发电机及机组的设计、制造、销售与售后服务</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上海信业智能科技股份有限公司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1800.00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65.00%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上海卢湾</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智能建筑与安防工程施工，网络通讯设备经销</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山东吉美乐有限公司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3640.00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82.42%</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山东济南</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发电机、办公设备产销</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楷体" w:hAnsi="楷体" w:cs="楷体" w:eastAsia="楷体" w:hint="default"/>
                            <w:sz w:val="15"/>
                            <w:szCs w:val="15"/>
                          </w:rPr>
                        </w:pPr>
                        <w:r>
                          <w:rPr>
                            <w:rFonts w:ascii="楷体" w:hAnsi="楷体" w:cs="楷体" w:eastAsia="楷体" w:hint="default"/>
                            <w:sz w:val="15"/>
                            <w:szCs w:val="15"/>
                          </w:rPr>
                          <w:t>山东大东科技城有限公司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3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300.00</w:t>
                        </w:r>
                        <w:r>
                          <w:rPr>
                            <w:rFonts w:ascii="Times New Roman" w:hAnsi="Times New Roman" w:cs="Times New Roman" w:eastAsia="Times New Roman" w:hint="default"/>
                            <w:spacing w:val="-3"/>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山东济南</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计算机外围设备、办公设备及配件批发零售</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济南吉美乐电源技术有限公司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3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山东济南</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电源设备新技术开发及技术服务</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同方人工环境有限公司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24900.00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91.968%</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中央空调机组、空气和水净化系统</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楷体" w:hAnsi="楷体" w:cs="楷体" w:eastAsia="楷体" w:hint="default"/>
                            <w:sz w:val="15"/>
                            <w:szCs w:val="15"/>
                          </w:rPr>
                        </w:pPr>
                        <w:r>
                          <w:rPr>
                            <w:rFonts w:ascii="楷体" w:hAnsi="楷体" w:cs="楷体" w:eastAsia="楷体" w:hint="default"/>
                            <w:sz w:val="15"/>
                            <w:szCs w:val="15"/>
                          </w:rPr>
                          <w:t>北京同方冷热科技有限公司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3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1500.00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80.00%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人工环境系统工程的设计、安装</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同方川崎空调设备有限公司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3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Times New Roman" w:hAnsi="Times New Roman" w:cs="Times New Roman" w:eastAsia="Times New Roman" w:hint="default"/>
                            <w:sz w:val="15"/>
                            <w:szCs w:val="15"/>
                          </w:rPr>
                          <w:t>US$967.35</w:t>
                        </w:r>
                        <w:r>
                          <w:rPr>
                            <w:rFonts w:ascii="Times New Roman" w:hAnsi="Times New Roman" w:cs="Times New Roman" w:eastAsia="Times New Roman" w:hint="default"/>
                            <w:spacing w:val="-5"/>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50.00%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河北廊坊</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吸收式冷冻机系列产品</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无锡同方人工环境有限公司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3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8000.00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江苏无锡</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户式空调机组</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楷体" w:hAnsi="楷体" w:cs="楷体" w:eastAsia="楷体" w:hint="default"/>
                            <w:sz w:val="15"/>
                            <w:szCs w:val="15"/>
                          </w:rPr>
                        </w:pPr>
                        <w:r>
                          <w:rPr>
                            <w:rFonts w:ascii="楷体" w:hAnsi="楷体" w:cs="楷体" w:eastAsia="楷体" w:hint="default"/>
                            <w:sz w:val="15"/>
                            <w:szCs w:val="15"/>
                          </w:rPr>
                          <w:t>同方威视技术股份有限公司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7500.00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76.00%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核放射集装箱</w:t>
                        </w:r>
                        <w:r>
                          <w:rPr>
                            <w:rFonts w:ascii="Times New Roman" w:hAnsi="Times New Roman" w:cs="Times New Roman" w:eastAsia="Times New Roman" w:hint="default"/>
                            <w:sz w:val="15"/>
                            <w:szCs w:val="15"/>
                          </w:rPr>
                          <w:t>/</w:t>
                        </w:r>
                        <w:r>
                          <w:rPr>
                            <w:rFonts w:ascii="楷体" w:hAnsi="楷体" w:cs="楷体" w:eastAsia="楷体" w:hint="default"/>
                            <w:sz w:val="15"/>
                            <w:szCs w:val="15"/>
                          </w:rPr>
                          <w:t>物品检查系统、工业射线装置</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清华同方威视技术（香港）有限公司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Times New Roman" w:hAnsi="Times New Roman" w:cs="Times New Roman" w:eastAsia="Times New Roman" w:hint="default"/>
                            <w:sz w:val="15"/>
                            <w:szCs w:val="15"/>
                          </w:rPr>
                          <w:t>HK$2259.74</w:t>
                        </w:r>
                        <w:r>
                          <w:rPr>
                            <w:rFonts w:ascii="Times New Roman" w:hAnsi="Times New Roman" w:cs="Times New Roman" w:eastAsia="Times New Roman" w:hint="default"/>
                            <w:spacing w:val="-5"/>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中国香港</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集装箱检查系统安装服务与技术支持</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宋体" w:hAnsi="宋体" w:cs="宋体" w:eastAsia="宋体" w:hint="default"/>
                            <w:sz w:val="15"/>
                            <w:szCs w:val="15"/>
                          </w:rPr>
                        </w:pPr>
                        <w:r>
                          <w:rPr>
                            <w:rFonts w:ascii="宋体"/>
                            <w:sz w:val="15"/>
                          </w:rPr>
                          <w:t>Nuctech Sydney Pty</w:t>
                        </w:r>
                        <w:r>
                          <w:rPr>
                            <w:rFonts w:ascii="宋体"/>
                            <w:spacing w:val="-8"/>
                            <w:sz w:val="15"/>
                          </w:rPr>
                          <w:t> </w:t>
                        </w:r>
                        <w:r>
                          <w:rPr>
                            <w:rFonts w:ascii="宋体"/>
                            <w:sz w:val="15"/>
                          </w:rPr>
                          <w:t>Ltd.</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3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Times New Roman" w:hAnsi="Times New Roman" w:cs="Times New Roman" w:eastAsia="Times New Roman" w:hint="default"/>
                            <w:sz w:val="15"/>
                            <w:szCs w:val="15"/>
                          </w:rPr>
                          <w:t>AU$7.50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90.00%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澳洲悉尼</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Times New Roman" w:hAnsi="Times New Roman" w:cs="Times New Roman" w:eastAsia="Times New Roman" w:hint="default"/>
                            <w:sz w:val="15"/>
                            <w:szCs w:val="15"/>
                          </w:rPr>
                          <w:t>X</w:t>
                        </w:r>
                        <w:r>
                          <w:rPr>
                            <w:rFonts w:ascii="Times New Roman" w:hAnsi="Times New Roman" w:cs="Times New Roman" w:eastAsia="Times New Roman" w:hint="default"/>
                            <w:spacing w:val="-2"/>
                            <w:sz w:val="15"/>
                            <w:szCs w:val="15"/>
                          </w:rPr>
                          <w:t> </w:t>
                        </w:r>
                        <w:r>
                          <w:rPr>
                            <w:rFonts w:ascii="楷体" w:hAnsi="楷体" w:cs="楷体" w:eastAsia="楷体" w:hint="default"/>
                            <w:sz w:val="15"/>
                            <w:szCs w:val="15"/>
                          </w:rPr>
                          <w:t>射线检查设备安装、分销及维护</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21"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宋体" w:hAnsi="宋体" w:cs="宋体" w:eastAsia="宋体" w:hint="default"/>
                            <w:sz w:val="15"/>
                            <w:szCs w:val="15"/>
                          </w:rPr>
                        </w:pPr>
                        <w:r>
                          <w:rPr>
                            <w:rFonts w:ascii="宋体"/>
                            <w:sz w:val="15"/>
                          </w:rPr>
                          <w:t>Nuctech Warsaw Co., Ltd. Sp. z</w:t>
                        </w:r>
                        <w:r>
                          <w:rPr>
                            <w:rFonts w:ascii="宋体"/>
                            <w:spacing w:val="-11"/>
                            <w:sz w:val="15"/>
                          </w:rPr>
                          <w:t> </w:t>
                        </w:r>
                        <w:r>
                          <w:rPr>
                            <w:rFonts w:ascii="宋体"/>
                            <w:sz w:val="15"/>
                          </w:rPr>
                          <w:t>o.o.</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3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Times New Roman" w:hAnsi="Times New Roman" w:cs="Times New Roman" w:eastAsia="Times New Roman" w:hint="default"/>
                            <w:sz w:val="15"/>
                            <w:szCs w:val="15"/>
                          </w:rPr>
                          <w:t>PolZ10.00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80.00%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波兰华沙</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Times New Roman" w:hAnsi="Times New Roman" w:cs="Times New Roman" w:eastAsia="Times New Roman" w:hint="default"/>
                            <w:sz w:val="15"/>
                            <w:szCs w:val="15"/>
                          </w:rPr>
                          <w:t>X</w:t>
                        </w:r>
                        <w:r>
                          <w:rPr>
                            <w:rFonts w:ascii="Times New Roman" w:hAnsi="Times New Roman" w:cs="Times New Roman" w:eastAsia="Times New Roman" w:hint="default"/>
                            <w:spacing w:val="-2"/>
                            <w:sz w:val="15"/>
                            <w:szCs w:val="15"/>
                          </w:rPr>
                          <w:t> </w:t>
                        </w:r>
                        <w:r>
                          <w:rPr>
                            <w:rFonts w:ascii="楷体" w:hAnsi="楷体" w:cs="楷体" w:eastAsia="楷体" w:hint="default"/>
                            <w:sz w:val="15"/>
                            <w:szCs w:val="15"/>
                          </w:rPr>
                          <w:t>射线检查设备安装、分销及维护</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480"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4" w:lineRule="auto" w:before="38"/>
                          <w:ind w:left="122" w:right="80"/>
                          <w:jc w:val="left"/>
                          <w:rPr>
                            <w:rFonts w:ascii="宋体" w:hAnsi="宋体" w:cs="宋体" w:eastAsia="宋体" w:hint="default"/>
                            <w:sz w:val="15"/>
                            <w:szCs w:val="15"/>
                          </w:rPr>
                        </w:pPr>
                        <w:r>
                          <w:rPr>
                            <w:rFonts w:ascii="宋体" w:hAnsi="宋体"/>
                            <w:sz w:val="15"/>
                          </w:rPr>
                          <w:t>Nuctech Ankara G </w:t>
                        </w:r>
                        <w:r>
                          <w:rPr>
                            <w:rFonts w:ascii="楷体" w:hAnsi="楷体"/>
                            <w:sz w:val="15"/>
                          </w:rPr>
                          <w:t>ü </w:t>
                        </w:r>
                        <w:r>
                          <w:rPr>
                            <w:rFonts w:ascii="宋体" w:hAnsi="宋体"/>
                            <w:sz w:val="15"/>
                          </w:rPr>
                          <w:t>venlik</w:t>
                        </w:r>
                        <w:r>
                          <w:rPr>
                            <w:rFonts w:ascii="宋体" w:hAnsi="宋体"/>
                            <w:spacing w:val="54"/>
                            <w:sz w:val="15"/>
                          </w:rPr>
                          <w:t> </w:t>
                        </w:r>
                        <w:r>
                          <w:rPr>
                            <w:rFonts w:ascii="宋体" w:hAnsi="宋体"/>
                            <w:sz w:val="15"/>
                          </w:rPr>
                          <w:t>Sistemleri</w:t>
                        </w:r>
                        <w:r>
                          <w:rPr>
                            <w:rFonts w:ascii="宋体" w:hAnsi="宋体"/>
                            <w:sz w:val="15"/>
                          </w:rPr>
                          <w:t> Sanayi ve Dis Ticaret Limited</w:t>
                        </w:r>
                        <w:r>
                          <w:rPr>
                            <w:rFonts w:ascii="宋体" w:hAnsi="宋体"/>
                            <w:spacing w:val="-13"/>
                            <w:sz w:val="15"/>
                          </w:rPr>
                          <w:t> </w:t>
                        </w:r>
                        <w:r>
                          <w:rPr>
                            <w:rFonts w:ascii="宋体" w:hAnsi="宋体"/>
                            <w:sz w:val="15"/>
                          </w:rPr>
                          <w:t>Sirketi</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3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25"/>
                          <w:jc w:val="right"/>
                          <w:rPr>
                            <w:rFonts w:ascii="楷体" w:hAnsi="楷体" w:cs="楷体" w:eastAsia="楷体" w:hint="default"/>
                            <w:sz w:val="15"/>
                            <w:szCs w:val="15"/>
                          </w:rPr>
                        </w:pPr>
                        <w:r>
                          <w:rPr>
                            <w:rFonts w:ascii="Times New Roman" w:hAnsi="Times New Roman" w:cs="Times New Roman" w:eastAsia="Times New Roman" w:hint="default"/>
                            <w:sz w:val="15"/>
                            <w:szCs w:val="15"/>
                          </w:rPr>
                          <w:t>TurL65.00</w:t>
                        </w:r>
                        <w:r>
                          <w:rPr>
                            <w:rFonts w:ascii="Times New Roman" w:hAnsi="Times New Roman" w:cs="Times New Roman" w:eastAsia="Times New Roman" w:hint="default"/>
                            <w:spacing w:val="-11"/>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80.00%</w:t>
                        </w:r>
                      </w:p>
                    </w:tc>
                    <w:tc>
                      <w:tcPr>
                        <w:tcW w:w="837" w:type="dxa"/>
                        <w:tcBorders>
                          <w:top w:val="nil" w:sz="6" w:space="0" w:color="auto"/>
                          <w:left w:val="nil" w:sz="6" w:space="0" w:color="auto"/>
                          <w:bottom w:val="nil" w:sz="6" w:space="0" w:color="auto"/>
                          <w:right w:val="nil" w:sz="6" w:space="0" w:color="auto"/>
                        </w:tcBorders>
                      </w:tcPr>
                      <w:p>
                        <w:pPr>
                          <w:pStyle w:val="TableParagraph"/>
                          <w:spacing w:line="244" w:lineRule="auto" w:before="38"/>
                          <w:ind w:left="192" w:right="192"/>
                          <w:jc w:val="left"/>
                          <w:rPr>
                            <w:rFonts w:ascii="楷体" w:hAnsi="楷体" w:cs="楷体" w:eastAsia="楷体" w:hint="default"/>
                            <w:sz w:val="15"/>
                            <w:szCs w:val="15"/>
                          </w:rPr>
                        </w:pPr>
                        <w:r>
                          <w:rPr>
                            <w:rFonts w:ascii="楷体" w:hAnsi="楷体" w:cs="楷体" w:eastAsia="楷体" w:hint="default"/>
                            <w:sz w:val="15"/>
                            <w:szCs w:val="15"/>
                          </w:rPr>
                          <w:t>土耳其 安卡拉</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18" w:right="0"/>
                          <w:jc w:val="left"/>
                          <w:rPr>
                            <w:rFonts w:ascii="楷体" w:hAnsi="楷体" w:cs="楷体" w:eastAsia="楷体" w:hint="default"/>
                            <w:sz w:val="15"/>
                            <w:szCs w:val="15"/>
                          </w:rPr>
                        </w:pPr>
                        <w:r>
                          <w:rPr>
                            <w:rFonts w:ascii="Times New Roman" w:hAnsi="Times New Roman" w:cs="Times New Roman" w:eastAsia="Times New Roman" w:hint="default"/>
                            <w:sz w:val="15"/>
                            <w:szCs w:val="15"/>
                          </w:rPr>
                          <w:t>X</w:t>
                        </w:r>
                        <w:r>
                          <w:rPr>
                            <w:rFonts w:ascii="Times New Roman" w:hAnsi="Times New Roman" w:cs="Times New Roman" w:eastAsia="Times New Roman" w:hint="default"/>
                            <w:spacing w:val="-2"/>
                            <w:sz w:val="15"/>
                            <w:szCs w:val="15"/>
                          </w:rPr>
                          <w:t> </w:t>
                        </w:r>
                        <w:r>
                          <w:rPr>
                            <w:rFonts w:ascii="楷体" w:hAnsi="楷体" w:cs="楷体" w:eastAsia="楷体" w:hint="default"/>
                            <w:sz w:val="15"/>
                            <w:szCs w:val="15"/>
                          </w:rPr>
                          <w:t>射线检查设备安装、分销及维护</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7"/>
                            <w:szCs w:val="7"/>
                          </w:rPr>
                        </w:pPr>
                      </w:p>
                      <w:p>
                        <w:pPr>
                          <w:pStyle w:val="TableParagraph"/>
                          <w:spacing w:line="240" w:lineRule="auto"/>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67"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196" w:lineRule="exact"/>
                          <w:ind w:left="122" w:right="0"/>
                          <w:jc w:val="left"/>
                          <w:rPr>
                            <w:rFonts w:ascii="宋体" w:hAnsi="宋体" w:cs="宋体" w:eastAsia="宋体" w:hint="default"/>
                            <w:sz w:val="15"/>
                            <w:szCs w:val="15"/>
                          </w:rPr>
                        </w:pPr>
                        <w:r>
                          <w:rPr>
                            <w:rFonts w:ascii="宋体"/>
                            <w:sz w:val="15"/>
                          </w:rPr>
                          <w:t>Deltrade 11 (Proprietary)</w:t>
                        </w:r>
                        <w:r>
                          <w:rPr>
                            <w:rFonts w:ascii="宋体"/>
                            <w:spacing w:val="-11"/>
                            <w:sz w:val="15"/>
                          </w:rPr>
                          <w:t> </w:t>
                        </w:r>
                        <w:r>
                          <w:rPr>
                            <w:rFonts w:ascii="宋体"/>
                            <w:sz w:val="15"/>
                          </w:rPr>
                          <w:t>Ltd.</w:t>
                        </w:r>
                      </w:p>
                    </w:tc>
                    <w:tc>
                      <w:tcPr>
                        <w:tcW w:w="544" w:type="dxa"/>
                        <w:tcBorders>
                          <w:top w:val="nil" w:sz="6" w:space="0" w:color="auto"/>
                          <w:left w:val="nil" w:sz="6" w:space="0" w:color="auto"/>
                          <w:bottom w:val="nil" w:sz="6" w:space="0" w:color="auto"/>
                          <w:right w:val="nil" w:sz="6" w:space="0" w:color="auto"/>
                        </w:tcBorders>
                      </w:tcPr>
                      <w:p>
                        <w:pPr>
                          <w:pStyle w:val="TableParagraph"/>
                          <w:spacing w:line="207" w:lineRule="exact"/>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3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07" w:lineRule="exact"/>
                          <w:ind w:right="125"/>
                          <w:jc w:val="right"/>
                          <w:rPr>
                            <w:rFonts w:ascii="楷体" w:hAnsi="楷体" w:cs="楷体" w:eastAsia="楷体" w:hint="default"/>
                            <w:sz w:val="15"/>
                            <w:szCs w:val="15"/>
                          </w:rPr>
                        </w:pPr>
                        <w:r>
                          <w:rPr>
                            <w:rFonts w:ascii="Times New Roman" w:hAnsi="Times New Roman" w:cs="Times New Roman" w:eastAsia="Times New Roman" w:hint="default"/>
                            <w:sz w:val="15"/>
                            <w:szCs w:val="15"/>
                          </w:rPr>
                          <w:t>SAL0.01</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right"/>
                          <w:rPr>
                            <w:rFonts w:ascii="Times New Roman" w:hAnsi="Times New Roman" w:cs="Times New Roman" w:eastAsia="Times New Roman" w:hint="default"/>
                            <w:sz w:val="15"/>
                            <w:szCs w:val="15"/>
                          </w:rPr>
                        </w:pPr>
                        <w:r>
                          <w:rPr>
                            <w:rFonts w:ascii="Times New Roman"/>
                            <w:spacing w:val="-1"/>
                            <w:sz w:val="15"/>
                          </w:rPr>
                          <w:t>51.00%</w:t>
                        </w:r>
                      </w:p>
                    </w:tc>
                    <w:tc>
                      <w:tcPr>
                        <w:tcW w:w="837"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center"/>
                          <w:rPr>
                            <w:rFonts w:ascii="楷体" w:hAnsi="楷体" w:cs="楷体" w:eastAsia="楷体" w:hint="default"/>
                            <w:sz w:val="15"/>
                            <w:szCs w:val="15"/>
                          </w:rPr>
                        </w:pPr>
                        <w:r>
                          <w:rPr>
                            <w:rFonts w:ascii="楷体" w:hAnsi="楷体" w:cs="楷体" w:eastAsia="楷体" w:hint="default"/>
                            <w:sz w:val="15"/>
                            <w:szCs w:val="15"/>
                          </w:rPr>
                          <w:t>南非</w:t>
                        </w:r>
                      </w:p>
                    </w:tc>
                    <w:tc>
                      <w:tcPr>
                        <w:tcW w:w="3319" w:type="dxa"/>
                        <w:tcBorders>
                          <w:top w:val="nil" w:sz="6" w:space="0" w:color="auto"/>
                          <w:left w:val="nil" w:sz="6" w:space="0" w:color="auto"/>
                          <w:bottom w:val="nil" w:sz="6" w:space="0" w:color="auto"/>
                          <w:right w:val="nil" w:sz="6" w:space="0" w:color="auto"/>
                        </w:tcBorders>
                      </w:tcPr>
                      <w:p>
                        <w:pPr>
                          <w:pStyle w:val="TableParagraph"/>
                          <w:spacing w:line="207" w:lineRule="exact"/>
                          <w:ind w:left="118" w:right="0"/>
                          <w:jc w:val="left"/>
                          <w:rPr>
                            <w:rFonts w:ascii="楷体" w:hAnsi="楷体" w:cs="楷体" w:eastAsia="楷体" w:hint="default"/>
                            <w:sz w:val="15"/>
                            <w:szCs w:val="15"/>
                          </w:rPr>
                        </w:pPr>
                        <w:r>
                          <w:rPr>
                            <w:rFonts w:ascii="Times New Roman" w:hAnsi="Times New Roman" w:cs="Times New Roman" w:eastAsia="Times New Roman" w:hint="default"/>
                            <w:sz w:val="15"/>
                            <w:szCs w:val="15"/>
                          </w:rPr>
                          <w:t>X</w:t>
                        </w:r>
                        <w:r>
                          <w:rPr>
                            <w:rFonts w:ascii="Times New Roman" w:hAnsi="Times New Roman" w:cs="Times New Roman" w:eastAsia="Times New Roman" w:hint="default"/>
                            <w:spacing w:val="-2"/>
                            <w:sz w:val="15"/>
                            <w:szCs w:val="15"/>
                          </w:rPr>
                          <w:t> </w:t>
                        </w:r>
                        <w:r>
                          <w:rPr>
                            <w:rFonts w:ascii="楷体" w:hAnsi="楷体" w:cs="楷体" w:eastAsia="楷体" w:hint="default"/>
                            <w:sz w:val="15"/>
                            <w:szCs w:val="15"/>
                          </w:rPr>
                          <w:t>射线检查设备安装、分销及维护</w:t>
                        </w:r>
                      </w:p>
                    </w:tc>
                    <w:tc>
                      <w:tcPr>
                        <w:tcW w:w="493" w:type="dxa"/>
                        <w:tcBorders>
                          <w:top w:val="nil" w:sz="6" w:space="0" w:color="auto"/>
                          <w:left w:val="nil" w:sz="6" w:space="0" w:color="auto"/>
                          <w:bottom w:val="nil" w:sz="6" w:space="0" w:color="auto"/>
                          <w:right w:val="nil" w:sz="6" w:space="0" w:color="auto"/>
                        </w:tcBorders>
                      </w:tcPr>
                      <w:p>
                        <w:pPr>
                          <w:pStyle w:val="TableParagraph"/>
                          <w:spacing w:line="196" w:lineRule="exact"/>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宋体" w:hAnsi="宋体" w:cs="宋体" w:eastAsia="宋体" w:hint="default"/>
                            <w:sz w:val="15"/>
                            <w:szCs w:val="15"/>
                          </w:rPr>
                        </w:pPr>
                        <w:r>
                          <w:rPr>
                            <w:rFonts w:ascii="宋体"/>
                            <w:sz w:val="15"/>
                          </w:rPr>
                          <w:t>Nuctech Co., Ltd.</w:t>
                        </w:r>
                        <w:r>
                          <w:rPr>
                            <w:rFonts w:ascii="宋体"/>
                            <w:spacing w:val="-7"/>
                            <w:sz w:val="15"/>
                          </w:rPr>
                          <w:t> </w:t>
                        </w:r>
                        <w:r>
                          <w:rPr>
                            <w:rFonts w:ascii="宋体"/>
                            <w:sz w:val="15"/>
                          </w:rPr>
                          <w:t>Ven.</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Times New Roman" w:hAnsi="Times New Roman" w:cs="Times New Roman" w:eastAsia="Times New Roman" w:hint="default"/>
                            <w:sz w:val="15"/>
                            <w:szCs w:val="15"/>
                          </w:rPr>
                          <w:t>VENP5000.00</w:t>
                        </w:r>
                        <w:r>
                          <w:rPr>
                            <w:rFonts w:ascii="Times New Roman" w:hAnsi="Times New Roman" w:cs="Times New Roman" w:eastAsia="Times New Roman" w:hint="default"/>
                            <w:spacing w:val="-6"/>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委内瑞拉</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Times New Roman" w:hAnsi="Times New Roman" w:cs="Times New Roman" w:eastAsia="Times New Roman" w:hint="default"/>
                            <w:sz w:val="15"/>
                            <w:szCs w:val="15"/>
                          </w:rPr>
                          <w:t>X</w:t>
                        </w:r>
                        <w:r>
                          <w:rPr>
                            <w:rFonts w:ascii="Times New Roman" w:hAnsi="Times New Roman" w:cs="Times New Roman" w:eastAsia="Times New Roman" w:hint="default"/>
                            <w:spacing w:val="-2"/>
                            <w:sz w:val="15"/>
                            <w:szCs w:val="15"/>
                          </w:rPr>
                          <w:t> </w:t>
                        </w:r>
                        <w:r>
                          <w:rPr>
                            <w:rFonts w:ascii="楷体" w:hAnsi="楷体" w:cs="楷体" w:eastAsia="楷体" w:hint="default"/>
                            <w:sz w:val="15"/>
                            <w:szCs w:val="15"/>
                          </w:rPr>
                          <w:t>射线检查设备安装、分销及维护</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宋体" w:hAnsi="宋体" w:cs="宋体" w:eastAsia="宋体" w:hint="default"/>
                            <w:sz w:val="15"/>
                            <w:szCs w:val="15"/>
                          </w:rPr>
                        </w:pPr>
                        <w:r>
                          <w:rPr>
                            <w:rFonts w:ascii="宋体"/>
                            <w:sz w:val="15"/>
                          </w:rPr>
                          <w:t>Nuctech Co., Ltd.</w:t>
                        </w:r>
                        <w:r>
                          <w:rPr>
                            <w:rFonts w:ascii="宋体"/>
                            <w:spacing w:val="-7"/>
                            <w:sz w:val="15"/>
                          </w:rPr>
                          <w:t> </w:t>
                        </w:r>
                        <w:r>
                          <w:rPr>
                            <w:rFonts w:ascii="宋体"/>
                            <w:sz w:val="15"/>
                          </w:rPr>
                          <w:t>Pan.</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Times New Roman" w:hAnsi="Times New Roman" w:cs="Times New Roman" w:eastAsia="Times New Roman" w:hint="default"/>
                            <w:sz w:val="15"/>
                            <w:szCs w:val="15"/>
                          </w:rPr>
                          <w:t>US$1.00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楷体" w:hAnsi="楷体" w:cs="楷体" w:eastAsia="楷体" w:hint="default"/>
                            <w:sz w:val="15"/>
                            <w:szCs w:val="15"/>
                          </w:rPr>
                        </w:pPr>
                        <w:r>
                          <w:rPr>
                            <w:rFonts w:ascii="楷体" w:hAnsi="楷体" w:cs="楷体" w:eastAsia="楷体" w:hint="default"/>
                            <w:sz w:val="15"/>
                            <w:szCs w:val="15"/>
                          </w:rPr>
                          <w:t>巴拿马</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Times New Roman" w:hAnsi="Times New Roman" w:cs="Times New Roman" w:eastAsia="Times New Roman" w:hint="default"/>
                            <w:sz w:val="15"/>
                            <w:szCs w:val="15"/>
                          </w:rPr>
                          <w:t>X</w:t>
                        </w:r>
                        <w:r>
                          <w:rPr>
                            <w:rFonts w:ascii="Times New Roman" w:hAnsi="Times New Roman" w:cs="Times New Roman" w:eastAsia="Times New Roman" w:hint="default"/>
                            <w:spacing w:val="-2"/>
                            <w:sz w:val="15"/>
                            <w:szCs w:val="15"/>
                          </w:rPr>
                          <w:t> </w:t>
                        </w:r>
                        <w:r>
                          <w:rPr>
                            <w:rFonts w:ascii="楷体" w:hAnsi="楷体" w:cs="楷体" w:eastAsia="楷体" w:hint="default"/>
                            <w:sz w:val="15"/>
                            <w:szCs w:val="15"/>
                          </w:rPr>
                          <w:t>射线检查设备安装、分销及维护</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楷体" w:hAnsi="楷体" w:cs="楷体" w:eastAsia="楷体" w:hint="default"/>
                            <w:sz w:val="15"/>
                            <w:szCs w:val="15"/>
                          </w:rPr>
                        </w:pPr>
                        <w:r>
                          <w:rPr>
                            <w:rFonts w:ascii="楷体" w:hAnsi="楷体" w:cs="楷体" w:eastAsia="楷体" w:hint="default"/>
                            <w:sz w:val="15"/>
                            <w:szCs w:val="15"/>
                          </w:rPr>
                          <w:t>北京威视数据系统有限公司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2500.00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72.00%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网络存储、数据安全、容灾备份解决方案</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北京固鸿科技有限责任公司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1200.00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80.00%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工业射线装置销售及安装服务</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北京华力兴科技发展有限责任公司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2100.00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65.00%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集装箱检查系统安装服务与技术支持</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楷体" w:hAnsi="楷体" w:cs="楷体" w:eastAsia="楷体" w:hint="default"/>
                            <w:sz w:val="15"/>
                            <w:szCs w:val="15"/>
                          </w:rPr>
                        </w:pPr>
                        <w:r>
                          <w:rPr>
                            <w:rFonts w:ascii="楷体" w:hAnsi="楷体" w:cs="楷体" w:eastAsia="楷体" w:hint="default"/>
                            <w:sz w:val="15"/>
                            <w:szCs w:val="15"/>
                          </w:rPr>
                          <w:t>北京汉鸿投资有限公司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2250.00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实业投资、投资咨询</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北京同方微电子有限公司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3160.00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86.00%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半导体集成电路芯片及相关产品</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30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楷体" w:hAnsi="楷体" w:cs="楷体" w:eastAsia="楷体" w:hint="default"/>
                            <w:sz w:val="15"/>
                            <w:szCs w:val="15"/>
                          </w:rPr>
                        </w:pPr>
                        <w:r>
                          <w:rPr>
                            <w:rFonts w:ascii="楷体" w:hAnsi="楷体" w:cs="楷体" w:eastAsia="楷体" w:hint="default"/>
                            <w:sz w:val="15"/>
                            <w:szCs w:val="15"/>
                          </w:rPr>
                          <w:t>北京同方创新投资有限公司</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18000.00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技术开发、服务与高新技术投资</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9" w:hRule="exact"/>
                    </w:trPr>
                    <w:tc>
                      <w:tcPr>
                        <w:tcW w:w="3048"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122" w:right="0"/>
                          <w:jc w:val="left"/>
                          <w:rPr>
                            <w:rFonts w:ascii="楷体" w:hAnsi="楷体" w:cs="楷体" w:eastAsia="楷体" w:hint="default"/>
                            <w:sz w:val="15"/>
                            <w:szCs w:val="15"/>
                          </w:rPr>
                        </w:pPr>
                        <w:r>
                          <w:rPr>
                            <w:rFonts w:ascii="楷体" w:hAnsi="楷体" w:cs="楷体" w:eastAsia="楷体" w:hint="default"/>
                            <w:sz w:val="15"/>
                            <w:szCs w:val="15"/>
                          </w:rPr>
                          <w:t>西藏同方西景科技有限公司</w:t>
                        </w:r>
                      </w:p>
                    </w:tc>
                    <w:tc>
                      <w:tcPr>
                        <w:tcW w:w="544"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28"/>
                          <w:jc w:val="right"/>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324"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1500.00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80.00%</w:t>
                        </w:r>
                      </w:p>
                    </w:tc>
                    <w:tc>
                      <w:tcPr>
                        <w:tcW w:w="837"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西藏拉萨</w:t>
                        </w:r>
                      </w:p>
                    </w:tc>
                    <w:tc>
                      <w:tcPr>
                        <w:tcW w:w="331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计算机软硬件开发，信息技术咨询</w:t>
                        </w:r>
                      </w:p>
                    </w:tc>
                    <w:tc>
                      <w:tcPr>
                        <w:tcW w:w="493"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57" w:right="0"/>
                          <w:jc w:val="center"/>
                          <w:rPr>
                            <w:rFonts w:ascii="楷体" w:hAnsi="楷体" w:cs="楷体" w:eastAsia="楷体" w:hint="default"/>
                            <w:sz w:val="15"/>
                            <w:szCs w:val="15"/>
                          </w:rPr>
                        </w:pPr>
                        <w:r>
                          <w:rPr>
                            <w:rFonts w:ascii="楷体" w:hAnsi="楷体" w:cs="楷体" w:eastAsia="楷体" w:hint="default"/>
                            <w:sz w:val="15"/>
                            <w:szCs w:val="15"/>
                          </w:rPr>
                          <w:t>是</w:t>
                        </w:r>
                      </w:p>
                    </w:tc>
                  </w:tr>
                </w:tbl>
                <w:p>
                  <w:pPr/>
                </w:p>
              </w:txbxContent>
            </v:textbox>
            <w10:wrap type="none"/>
          </v:shape>
        </w:pict>
      </w:r>
      <w:r>
        <w:rPr>
          <w:rFonts w:ascii="Microsoft JhengHei" w:hAnsi="Microsoft JhengHei" w:cs="Microsoft JhengHei" w:eastAsia="Microsoft JhengHei" w:hint="default"/>
          <w:b/>
          <w:bCs/>
          <w:sz w:val="15"/>
          <w:szCs w:val="15"/>
        </w:rPr>
        <w:t>公司名称</w:t>
        <w:tab/>
      </w:r>
      <w:r>
        <w:rPr>
          <w:rFonts w:ascii="Microsoft JhengHei" w:hAnsi="Microsoft JhengHei" w:cs="Microsoft JhengHei" w:eastAsia="Microsoft JhengHei" w:hint="default"/>
          <w:b/>
          <w:bCs/>
          <w:position w:val="10"/>
          <w:sz w:val="15"/>
          <w:szCs w:val="15"/>
        </w:rPr>
        <w:t>级</w:t>
      </w:r>
      <w:r>
        <w:rPr>
          <w:rFonts w:ascii="Microsoft JhengHei" w:hAnsi="Microsoft JhengHei" w:cs="Microsoft JhengHei" w:eastAsia="Microsoft JhengHei" w:hint="default"/>
          <w:sz w:val="15"/>
          <w:szCs w:val="15"/>
        </w:rPr>
      </w:r>
    </w:p>
    <w:p>
      <w:pPr>
        <w:tabs>
          <w:tab w:pos="1696" w:val="left" w:leader="none"/>
        </w:tabs>
        <w:spacing w:before="104"/>
        <w:ind w:left="493" w:right="-18"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注册资本</w:t>
        <w:tab/>
      </w:r>
      <w:r>
        <w:rPr>
          <w:rFonts w:ascii="Microsoft JhengHei" w:hAnsi="Microsoft JhengHei" w:cs="Microsoft JhengHei" w:eastAsia="Microsoft JhengHei" w:hint="default"/>
          <w:b/>
          <w:bCs/>
          <w:position w:val="10"/>
          <w:sz w:val="15"/>
          <w:szCs w:val="15"/>
        </w:rPr>
        <w:t>持股</w:t>
      </w:r>
      <w:r>
        <w:rPr>
          <w:rFonts w:ascii="Microsoft JhengHei" w:hAnsi="Microsoft JhengHei" w:cs="Microsoft JhengHei" w:eastAsia="Microsoft JhengHei" w:hint="default"/>
          <w:sz w:val="15"/>
          <w:szCs w:val="15"/>
        </w:rPr>
      </w:r>
    </w:p>
    <w:p>
      <w:pPr>
        <w:tabs>
          <w:tab w:pos="2443" w:val="left" w:leader="none"/>
          <w:tab w:pos="4571" w:val="left" w:leader="none"/>
        </w:tabs>
        <w:spacing w:before="104"/>
        <w:ind w:left="331"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注册地址</w:t>
        <w:tab/>
        <w:t>主营业务</w:t>
        <w:tab/>
      </w:r>
      <w:r>
        <w:rPr>
          <w:rFonts w:ascii="Microsoft JhengHei" w:hAnsi="Microsoft JhengHei" w:cs="Microsoft JhengHei" w:eastAsia="Microsoft JhengHei" w:hint="default"/>
          <w:b/>
          <w:bCs/>
          <w:position w:val="10"/>
          <w:sz w:val="15"/>
          <w:szCs w:val="15"/>
        </w:rPr>
        <w:t>合</w:t>
      </w:r>
      <w:r>
        <w:rPr>
          <w:rFonts w:ascii="Microsoft JhengHei" w:hAnsi="Microsoft JhengHei" w:cs="Microsoft JhengHei" w:eastAsia="Microsoft JhengHei" w:hint="default"/>
          <w:sz w:val="15"/>
          <w:szCs w:val="15"/>
        </w:rPr>
      </w:r>
    </w:p>
    <w:p>
      <w:pPr>
        <w:spacing w:after="0"/>
        <w:jc w:val="left"/>
        <w:rPr>
          <w:rFonts w:ascii="Microsoft JhengHei" w:hAnsi="Microsoft JhengHei" w:cs="Microsoft JhengHei" w:eastAsia="Microsoft JhengHei" w:hint="default"/>
          <w:sz w:val="15"/>
          <w:szCs w:val="15"/>
        </w:rPr>
        <w:sectPr>
          <w:type w:val="continuous"/>
          <w:pgSz w:w="11910" w:h="16840"/>
          <w:pgMar w:top="1600" w:bottom="280" w:left="720" w:right="600"/>
          <w:cols w:num="3" w:equalWidth="0">
            <w:col w:w="3524" w:space="40"/>
            <w:col w:w="1999" w:space="40"/>
            <w:col w:w="4987"/>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4"/>
          <w:szCs w:val="14"/>
        </w:rPr>
      </w:pPr>
    </w:p>
    <w:p>
      <w:pPr>
        <w:spacing w:line="30" w:lineRule="exact"/>
        <w:ind w:left="115"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517.9500pt;height:1.5pt;mso-position-horizontal-relative:char;mso-position-vertical-relative:line" coordorigin="0,0" coordsize="10359,30">
            <v:group style="position:absolute;left:15;top:15;width:10329;height:2" coordorigin="15,15" coordsize="10329,2">
              <v:shape style="position:absolute;left:15;top:15;width:10329;height:2" coordorigin="15,15" coordsize="10329,0" path="m15,15l10343,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after="0" w:line="30" w:lineRule="exact"/>
        <w:rPr>
          <w:rFonts w:ascii="Microsoft JhengHei" w:hAnsi="Microsoft JhengHei" w:cs="Microsoft JhengHei" w:eastAsia="Microsoft JhengHei" w:hint="default"/>
          <w:sz w:val="3"/>
          <w:szCs w:val="3"/>
        </w:rPr>
        <w:sectPr>
          <w:pgSz w:w="11910" w:h="16840"/>
          <w:pgMar w:header="610" w:footer="784" w:top="1080" w:bottom="980" w:left="720" w:right="600"/>
        </w:sectPr>
      </w:pPr>
    </w:p>
    <w:p>
      <w:pPr>
        <w:tabs>
          <w:tab w:pos="2014" w:val="left" w:leader="none"/>
        </w:tabs>
        <w:spacing w:line="217" w:lineRule="exact" w:before="0"/>
        <w:ind w:left="0" w:right="0"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公司名称</w:t>
        <w:tab/>
      </w:r>
      <w:r>
        <w:rPr>
          <w:rFonts w:ascii="Microsoft JhengHei" w:hAnsi="Microsoft JhengHei" w:cs="Microsoft JhengHei" w:eastAsia="Microsoft JhengHei" w:hint="default"/>
          <w:b/>
          <w:bCs/>
          <w:position w:val="10"/>
          <w:sz w:val="15"/>
          <w:szCs w:val="15"/>
        </w:rPr>
        <w:t>级</w:t>
      </w:r>
      <w:r>
        <w:rPr>
          <w:rFonts w:ascii="Microsoft JhengHei" w:hAnsi="Microsoft JhengHei" w:cs="Microsoft JhengHei" w:eastAsia="Microsoft JhengHei" w:hint="default"/>
          <w:sz w:val="15"/>
          <w:szCs w:val="15"/>
        </w:rPr>
      </w:r>
    </w:p>
    <w:p>
      <w:pPr>
        <w:spacing w:line="180" w:lineRule="exact" w:before="0"/>
        <w:ind w:left="0" w:right="1" w:firstLine="0"/>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次</w:t>
      </w:r>
      <w:r>
        <w:rPr>
          <w:rFonts w:ascii="Microsoft JhengHei" w:hAnsi="Microsoft JhengHei" w:cs="Microsoft JhengHei" w:eastAsia="Microsoft JhengHei" w:hint="default"/>
          <w:sz w:val="15"/>
          <w:szCs w:val="15"/>
        </w:rPr>
      </w:r>
    </w:p>
    <w:p>
      <w:pPr>
        <w:tabs>
          <w:tab w:pos="1696" w:val="left" w:leader="none"/>
        </w:tabs>
        <w:spacing w:line="132" w:lineRule="auto" w:before="81"/>
        <w:ind w:left="1696" w:right="0" w:hanging="1203"/>
        <w:jc w:val="righ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注册资本</w:t>
        <w:tab/>
      </w:r>
      <w:r>
        <w:rPr>
          <w:rFonts w:ascii="Microsoft JhengHei" w:hAnsi="Microsoft JhengHei" w:cs="Microsoft JhengHei" w:eastAsia="Microsoft JhengHei" w:hint="default"/>
          <w:b/>
          <w:bCs/>
          <w:position w:val="10"/>
          <w:sz w:val="15"/>
          <w:szCs w:val="15"/>
        </w:rPr>
        <w:t>持股</w:t>
      </w:r>
      <w:r>
        <w:rPr>
          <w:rFonts w:ascii="Microsoft JhengHei" w:hAnsi="Microsoft JhengHei" w:cs="Microsoft JhengHei" w:eastAsia="Microsoft JhengHei" w:hint="default"/>
          <w:b/>
          <w:bCs/>
          <w:spacing w:val="1"/>
          <w:position w:val="10"/>
          <w:sz w:val="15"/>
          <w:szCs w:val="15"/>
        </w:rPr>
        <w:t> </w:t>
      </w: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p>
      <w:pPr>
        <w:tabs>
          <w:tab w:pos="2443" w:val="left" w:leader="none"/>
          <w:tab w:pos="4571" w:val="left" w:leader="none"/>
        </w:tabs>
        <w:spacing w:line="132" w:lineRule="auto" w:before="81"/>
        <w:ind w:left="4571" w:right="258" w:hanging="4240"/>
        <w:jc w:val="righ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注册地址</w:t>
        <w:tab/>
        <w:t>主营业务</w:t>
        <w:tab/>
      </w:r>
      <w:r>
        <w:rPr>
          <w:rFonts w:ascii="Microsoft JhengHei" w:hAnsi="Microsoft JhengHei" w:cs="Microsoft JhengHei" w:eastAsia="Microsoft JhengHei" w:hint="default"/>
          <w:b/>
          <w:bCs/>
          <w:position w:val="10"/>
          <w:sz w:val="15"/>
          <w:szCs w:val="15"/>
        </w:rPr>
        <w:t>合</w:t>
      </w:r>
      <w:r>
        <w:rPr>
          <w:rFonts w:ascii="Microsoft JhengHei" w:hAnsi="Microsoft JhengHei" w:cs="Microsoft JhengHei" w:eastAsia="Microsoft JhengHei" w:hint="default"/>
          <w:b/>
          <w:bCs/>
          <w:position w:val="10"/>
          <w:sz w:val="15"/>
          <w:szCs w:val="15"/>
        </w:rPr>
        <w:t> </w:t>
      </w:r>
      <w:r>
        <w:rPr>
          <w:rFonts w:ascii="Microsoft JhengHei" w:hAnsi="Microsoft JhengHei" w:cs="Microsoft JhengHei" w:eastAsia="Microsoft JhengHei" w:hint="default"/>
          <w:b/>
          <w:bCs/>
          <w:sz w:val="15"/>
          <w:szCs w:val="15"/>
        </w:rPr>
        <w:t>并</w:t>
      </w:r>
      <w:r>
        <w:rPr>
          <w:rFonts w:ascii="Microsoft JhengHei" w:hAnsi="Microsoft JhengHei" w:cs="Microsoft JhengHei" w:eastAsia="Microsoft JhengHei" w:hint="default"/>
          <w:sz w:val="15"/>
          <w:szCs w:val="15"/>
        </w:rPr>
      </w:r>
    </w:p>
    <w:p>
      <w:pPr>
        <w:spacing w:after="0" w:line="132" w:lineRule="auto"/>
        <w:jc w:val="right"/>
        <w:rPr>
          <w:rFonts w:ascii="Microsoft JhengHei" w:hAnsi="Microsoft JhengHei" w:cs="Microsoft JhengHei" w:eastAsia="Microsoft JhengHei" w:hint="default"/>
          <w:sz w:val="15"/>
          <w:szCs w:val="15"/>
        </w:rPr>
        <w:sectPr>
          <w:type w:val="continuous"/>
          <w:pgSz w:w="11910" w:h="16840"/>
          <w:pgMar w:top="1600" w:bottom="280" w:left="720" w:right="600"/>
          <w:cols w:num="3" w:equalWidth="0">
            <w:col w:w="3524" w:space="40"/>
            <w:col w:w="1999" w:space="40"/>
            <w:col w:w="4987"/>
          </w:cols>
        </w:sectPr>
      </w:pPr>
    </w:p>
    <w:p>
      <w:pPr>
        <w:spacing w:line="20" w:lineRule="exact"/>
        <w:ind w:left="12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16.9pt;height:.5pt;mso-position-horizontal-relative:char;mso-position-vertical-relative:line" coordorigin="0,0" coordsize="10338,10">
            <v:group style="position:absolute;left:5;top:5;width:10329;height:2" coordorigin="5,5" coordsize="10329,2">
              <v:shape style="position:absolute;left:5;top:5;width:10329;height:2" coordorigin="5,5" coordsize="10329,0" path="m5,5l10333,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3315" w:val="left" w:leader="none"/>
          <w:tab w:pos="10173" w:val="left" w:leader="none"/>
        </w:tabs>
        <w:spacing w:line="328" w:lineRule="auto" w:before="18"/>
        <w:ind w:left="238" w:right="258" w:firstLine="0"/>
        <w:jc w:val="both"/>
        <w:rPr>
          <w:rFonts w:ascii="楷体" w:hAnsi="楷体" w:cs="楷体" w:eastAsia="楷体" w:hint="default"/>
          <w:sz w:val="15"/>
          <w:szCs w:val="15"/>
        </w:rPr>
      </w:pPr>
      <w:r>
        <w:rPr>
          <w:rFonts w:ascii="楷体" w:hAnsi="楷体" w:cs="楷体" w:eastAsia="楷体" w:hint="default"/>
          <w:sz w:val="15"/>
          <w:szCs w:val="15"/>
        </w:rPr>
        <w:t>南京同方北斗科技有限公司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500.00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江苏南京   卫星导航定位、授时通讯及应用系统开发        </w:t>
      </w:r>
      <w:r>
        <w:rPr>
          <w:rFonts w:ascii="楷体" w:hAnsi="楷体" w:cs="楷体" w:eastAsia="楷体" w:hint="default"/>
          <w:spacing w:val="49"/>
          <w:sz w:val="15"/>
          <w:szCs w:val="15"/>
        </w:rPr>
        <w:t> </w:t>
      </w:r>
      <w:r>
        <w:rPr>
          <w:rFonts w:ascii="楷体" w:hAnsi="楷体" w:cs="楷体" w:eastAsia="楷体" w:hint="default"/>
          <w:sz w:val="15"/>
          <w:szCs w:val="15"/>
        </w:rPr>
        <w:t>是</w:t>
      </w:r>
      <w:r>
        <w:rPr>
          <w:rFonts w:ascii="楷体" w:hAnsi="楷体" w:cs="楷体" w:eastAsia="楷体" w:hint="default"/>
          <w:sz w:val="15"/>
          <w:szCs w:val="15"/>
        </w:rPr>
        <w:t> 辽宁同方安全技术有限公司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400.00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辽宁沈阳  </w:t>
      </w:r>
      <w:r>
        <w:rPr>
          <w:rFonts w:ascii="楷体" w:hAnsi="楷体" w:cs="楷体" w:eastAsia="楷体" w:hint="default"/>
          <w:spacing w:val="24"/>
          <w:sz w:val="15"/>
          <w:szCs w:val="15"/>
        </w:rPr>
        <w:t> </w:t>
      </w:r>
      <w:r>
        <w:rPr>
          <w:rFonts w:ascii="楷体" w:hAnsi="楷体" w:cs="楷体" w:eastAsia="楷体" w:hint="default"/>
          <w:sz w:val="15"/>
          <w:szCs w:val="15"/>
        </w:rPr>
        <w:t>火灾探测器等生产及销售</w:t>
        <w:tab/>
        <w:t>是</w:t>
      </w:r>
      <w:r>
        <w:rPr>
          <w:rFonts w:ascii="楷体" w:hAnsi="楷体" w:cs="楷体" w:eastAsia="楷体" w:hint="default"/>
          <w:sz w:val="15"/>
          <w:szCs w:val="15"/>
        </w:rPr>
        <w:t> 辽宁同方科贸有限责任公司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200.00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辽宁沈阳  </w:t>
      </w:r>
      <w:r>
        <w:rPr>
          <w:rFonts w:ascii="楷体" w:hAnsi="楷体" w:cs="楷体" w:eastAsia="楷体" w:hint="default"/>
          <w:spacing w:val="24"/>
          <w:sz w:val="15"/>
          <w:szCs w:val="15"/>
        </w:rPr>
        <w:t> </w:t>
      </w:r>
      <w:r>
        <w:rPr>
          <w:rFonts w:ascii="楷体" w:hAnsi="楷体" w:cs="楷体" w:eastAsia="楷体" w:hint="default"/>
          <w:sz w:val="15"/>
          <w:szCs w:val="15"/>
        </w:rPr>
        <w:t>计算机及信息产品</w:t>
        <w:tab/>
        <w:t>是</w:t>
      </w:r>
      <w:r>
        <w:rPr>
          <w:rFonts w:ascii="楷体" w:hAnsi="楷体" w:cs="楷体" w:eastAsia="楷体" w:hint="default"/>
          <w:sz w:val="15"/>
          <w:szCs w:val="15"/>
        </w:rPr>
        <w:t> 鞍山同方奥科电子有限公司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500.00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70.00%      </w:t>
      </w:r>
      <w:r>
        <w:rPr>
          <w:rFonts w:ascii="楷体" w:hAnsi="楷体" w:cs="楷体" w:eastAsia="楷体" w:hint="default"/>
          <w:sz w:val="15"/>
          <w:szCs w:val="15"/>
        </w:rPr>
        <w:t>辽宁鞍山  </w:t>
      </w:r>
      <w:r>
        <w:rPr>
          <w:rFonts w:ascii="楷体" w:hAnsi="楷体" w:cs="楷体" w:eastAsia="楷体" w:hint="default"/>
          <w:spacing w:val="24"/>
          <w:sz w:val="15"/>
          <w:szCs w:val="15"/>
        </w:rPr>
        <w:t> </w:t>
      </w:r>
      <w:r>
        <w:rPr>
          <w:rFonts w:ascii="楷体" w:hAnsi="楷体" w:cs="楷体" w:eastAsia="楷体" w:hint="default"/>
          <w:sz w:val="15"/>
          <w:szCs w:val="15"/>
        </w:rPr>
        <w:t>智能大口径水、电、气、热表</w:t>
        <w:tab/>
        <w:t>是</w:t>
      </w:r>
      <w:r>
        <w:rPr>
          <w:rFonts w:ascii="楷体" w:hAnsi="楷体" w:cs="楷体" w:eastAsia="楷体" w:hint="default"/>
          <w:sz w:val="15"/>
          <w:szCs w:val="15"/>
        </w:rPr>
        <w:t> 乌鲁木齐市金网信息工程有限公司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200.00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51.00%      </w:t>
      </w:r>
      <w:r>
        <w:rPr>
          <w:rFonts w:ascii="楷体" w:hAnsi="楷体" w:cs="楷体" w:eastAsia="楷体" w:hint="default"/>
          <w:sz w:val="15"/>
          <w:szCs w:val="15"/>
        </w:rPr>
        <w:t>新疆乌市  </w:t>
      </w:r>
      <w:r>
        <w:rPr>
          <w:rFonts w:ascii="楷体" w:hAnsi="楷体" w:cs="楷体" w:eastAsia="楷体" w:hint="default"/>
          <w:spacing w:val="24"/>
          <w:sz w:val="15"/>
          <w:szCs w:val="15"/>
        </w:rPr>
        <w:t> </w:t>
      </w:r>
      <w:r>
        <w:rPr>
          <w:rFonts w:ascii="楷体" w:hAnsi="楷体" w:cs="楷体" w:eastAsia="楷体" w:hint="default"/>
          <w:sz w:val="15"/>
          <w:szCs w:val="15"/>
        </w:rPr>
        <w:t>计算机软硬件开发与网络设计实施</w:t>
        <w:tab/>
        <w:t>是</w:t>
      </w:r>
      <w:r>
        <w:rPr>
          <w:rFonts w:ascii="楷体" w:hAnsi="楷体" w:cs="楷体" w:eastAsia="楷体" w:hint="default"/>
          <w:sz w:val="15"/>
          <w:szCs w:val="15"/>
        </w:rPr>
        <w:t> 北京同方互动广告有限公司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110.00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北京海淀   数字影院</w:t>
      </w:r>
      <w:r>
        <w:rPr>
          <w:rFonts w:ascii="宋体" w:hAnsi="宋体" w:cs="宋体" w:eastAsia="宋体" w:hint="default"/>
          <w:sz w:val="15"/>
          <w:szCs w:val="15"/>
        </w:rPr>
        <w:t>,</w:t>
      </w:r>
      <w:r>
        <w:rPr>
          <w:rFonts w:ascii="楷体" w:hAnsi="楷体" w:cs="楷体" w:eastAsia="楷体" w:hint="default"/>
          <w:sz w:val="15"/>
          <w:szCs w:val="15"/>
        </w:rPr>
        <w:t>广告设计、制作、代理、发布         </w:t>
      </w:r>
      <w:r>
        <w:rPr>
          <w:rFonts w:ascii="楷体" w:hAnsi="楷体" w:cs="楷体" w:eastAsia="楷体" w:hint="default"/>
          <w:spacing w:val="49"/>
          <w:sz w:val="15"/>
          <w:szCs w:val="15"/>
        </w:rPr>
        <w:t> </w:t>
      </w:r>
      <w:r>
        <w:rPr>
          <w:rFonts w:ascii="楷体" w:hAnsi="楷体" w:cs="楷体" w:eastAsia="楷体" w:hint="default"/>
          <w:sz w:val="15"/>
          <w:szCs w:val="15"/>
        </w:rPr>
        <w:t>是</w:t>
      </w:r>
      <w:r>
        <w:rPr>
          <w:rFonts w:ascii="楷体" w:hAnsi="楷体" w:cs="楷体" w:eastAsia="楷体" w:hint="default"/>
          <w:sz w:val="15"/>
          <w:szCs w:val="15"/>
        </w:rPr>
        <w:t> 桂林清华同方清洁能源有限责任公司         </w:t>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1000.00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65.00%      </w:t>
      </w:r>
      <w:r>
        <w:rPr>
          <w:rFonts w:ascii="楷体" w:hAnsi="楷体" w:cs="楷体" w:eastAsia="楷体" w:hint="default"/>
          <w:sz w:val="15"/>
          <w:szCs w:val="15"/>
        </w:rPr>
        <w:t>广西桂林  </w:t>
      </w:r>
      <w:r>
        <w:rPr>
          <w:rFonts w:ascii="楷体" w:hAnsi="楷体" w:cs="楷体" w:eastAsia="楷体" w:hint="default"/>
          <w:spacing w:val="25"/>
          <w:sz w:val="15"/>
          <w:szCs w:val="15"/>
        </w:rPr>
        <w:t> </w:t>
      </w:r>
      <w:r>
        <w:rPr>
          <w:rFonts w:ascii="楷体" w:hAnsi="楷体" w:cs="楷体" w:eastAsia="楷体" w:hint="default"/>
          <w:sz w:val="15"/>
          <w:szCs w:val="15"/>
        </w:rPr>
        <w:t>清洁能源发电、垃圾综合处理及利用</w:t>
        <w:tab/>
        <w:t>是</w:t>
      </w:r>
      <w:r>
        <w:rPr>
          <w:rFonts w:ascii="楷体" w:hAnsi="楷体" w:cs="楷体" w:eastAsia="楷体" w:hint="default"/>
          <w:sz w:val="15"/>
          <w:szCs w:val="15"/>
        </w:rPr>
        <w:t> 上海畅想文化发展有限公司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1000.00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65.00%      </w:t>
      </w:r>
      <w:r>
        <w:rPr>
          <w:rFonts w:ascii="楷体" w:hAnsi="楷体" w:cs="楷体" w:eastAsia="楷体" w:hint="default"/>
          <w:sz w:val="15"/>
          <w:szCs w:val="15"/>
        </w:rPr>
        <w:t>上海浦东   音</w:t>
      </w:r>
      <w:r>
        <w:rPr>
          <w:rFonts w:ascii="Times New Roman" w:hAnsi="Times New Roman" w:cs="Times New Roman" w:eastAsia="Times New Roman" w:hint="default"/>
          <w:sz w:val="15"/>
          <w:szCs w:val="15"/>
        </w:rPr>
        <w:t>/</w:t>
      </w:r>
      <w:r>
        <w:rPr>
          <w:rFonts w:ascii="楷体" w:hAnsi="楷体" w:cs="楷体" w:eastAsia="楷体" w:hint="default"/>
          <w:sz w:val="15"/>
          <w:szCs w:val="15"/>
        </w:rPr>
        <w:t>视频节目版权代理和音像制品制作发行        </w:t>
      </w:r>
      <w:r>
        <w:rPr>
          <w:rFonts w:ascii="楷体" w:hAnsi="楷体" w:cs="楷体" w:eastAsia="楷体" w:hint="default"/>
          <w:spacing w:val="7"/>
          <w:sz w:val="15"/>
          <w:szCs w:val="15"/>
        </w:rPr>
        <w:t> </w:t>
      </w:r>
      <w:r>
        <w:rPr>
          <w:rFonts w:ascii="楷体" w:hAnsi="楷体" w:cs="楷体" w:eastAsia="楷体" w:hint="default"/>
          <w:sz w:val="15"/>
          <w:szCs w:val="15"/>
        </w:rPr>
        <w:t>是</w:t>
      </w:r>
      <w:r>
        <w:rPr>
          <w:rFonts w:ascii="楷体" w:hAnsi="楷体" w:cs="楷体" w:eastAsia="楷体" w:hint="default"/>
          <w:sz w:val="15"/>
          <w:szCs w:val="15"/>
        </w:rPr>
        <w:t> 同方工业有限公司</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40000.00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北京海淀   军</w:t>
      </w:r>
      <w:r>
        <w:rPr>
          <w:rFonts w:ascii="Times New Roman" w:hAnsi="Times New Roman" w:cs="Times New Roman" w:eastAsia="Times New Roman" w:hint="default"/>
          <w:sz w:val="15"/>
          <w:szCs w:val="15"/>
        </w:rPr>
        <w:t>/</w:t>
      </w:r>
      <w:r>
        <w:rPr>
          <w:rFonts w:ascii="楷体" w:hAnsi="楷体" w:cs="楷体" w:eastAsia="楷体" w:hint="default"/>
          <w:sz w:val="15"/>
          <w:szCs w:val="15"/>
        </w:rPr>
        <w:t>民用工业项目投资管理，货物、技术进出口    </w:t>
      </w:r>
      <w:r>
        <w:rPr>
          <w:rFonts w:ascii="楷体" w:hAnsi="楷体" w:cs="楷体" w:eastAsia="楷体" w:hint="default"/>
          <w:spacing w:val="6"/>
          <w:sz w:val="15"/>
          <w:szCs w:val="15"/>
        </w:rPr>
        <w:t> </w:t>
      </w:r>
      <w:r>
        <w:rPr>
          <w:rFonts w:ascii="楷体" w:hAnsi="楷体" w:cs="楷体" w:eastAsia="楷体" w:hint="default"/>
          <w:sz w:val="15"/>
          <w:szCs w:val="15"/>
        </w:rPr>
        <w:t>是</w:t>
      </w:r>
    </w:p>
    <w:p>
      <w:pPr>
        <w:spacing w:after="0" w:line="328" w:lineRule="auto"/>
        <w:jc w:val="both"/>
        <w:rPr>
          <w:rFonts w:ascii="楷体" w:hAnsi="楷体" w:cs="楷体" w:eastAsia="楷体" w:hint="default"/>
          <w:sz w:val="15"/>
          <w:szCs w:val="15"/>
        </w:rPr>
        <w:sectPr>
          <w:type w:val="continuous"/>
          <w:pgSz w:w="11910" w:h="16840"/>
          <w:pgMar w:top="1600" w:bottom="280" w:left="720" w:right="600"/>
        </w:sectPr>
      </w:pPr>
    </w:p>
    <w:p>
      <w:pPr>
        <w:tabs>
          <w:tab w:pos="3315" w:val="left" w:leader="none"/>
          <w:tab w:pos="4156" w:val="left" w:leader="none"/>
          <w:tab w:pos="5234" w:val="left" w:leader="none"/>
          <w:tab w:pos="6009" w:val="left" w:leader="none"/>
        </w:tabs>
        <w:spacing w:line="122" w:lineRule="auto" w:before="59"/>
        <w:ind w:left="238" w:right="0" w:firstLine="5846"/>
        <w:jc w:val="left"/>
        <w:rPr>
          <w:rFonts w:ascii="楷体" w:hAnsi="楷体" w:cs="楷体" w:eastAsia="楷体" w:hint="default"/>
          <w:sz w:val="15"/>
          <w:szCs w:val="15"/>
        </w:rPr>
      </w:pPr>
      <w:r>
        <w:rPr>
          <w:rFonts w:ascii="楷体" w:hAnsi="楷体" w:cs="楷体" w:eastAsia="楷体" w:hint="default"/>
          <w:sz w:val="15"/>
          <w:szCs w:val="15"/>
        </w:rPr>
        <w:t>江西 江西同方昌明消防车辆有限公司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w:t>
        <w:tab/>
      </w:r>
      <w:r>
        <w:rPr>
          <w:rFonts w:ascii="楷体" w:hAnsi="楷体" w:cs="楷体" w:eastAsia="楷体" w:hint="default"/>
          <w:spacing w:val="-1"/>
          <w:sz w:val="15"/>
          <w:szCs w:val="15"/>
        </w:rPr>
        <w:t>￥</w:t>
      </w:r>
      <w:r>
        <w:rPr>
          <w:rFonts w:ascii="Times New Roman" w:hAnsi="Times New Roman" w:cs="Times New Roman" w:eastAsia="Times New Roman" w:hint="default"/>
          <w:spacing w:val="-1"/>
          <w:sz w:val="15"/>
          <w:szCs w:val="15"/>
        </w:rPr>
        <w:t>600.00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tab/>
      </w:r>
      <w:r>
        <w:rPr>
          <w:rFonts w:ascii="Times New Roman" w:hAnsi="Times New Roman" w:cs="Times New Roman" w:eastAsia="Times New Roman" w:hint="default"/>
          <w:spacing w:val="-1"/>
          <w:sz w:val="15"/>
          <w:szCs w:val="15"/>
        </w:rPr>
        <w:t>70.00%</w:t>
        <w:tab/>
      </w:r>
      <w:r>
        <w:rPr>
          <w:rFonts w:ascii="楷体" w:hAnsi="楷体" w:cs="楷体" w:eastAsia="楷体" w:hint="default"/>
          <w:position w:val="-9"/>
          <w:sz w:val="15"/>
          <w:szCs w:val="15"/>
        </w:rPr>
        <w:t>景德镇</w:t>
      </w:r>
      <w:r>
        <w:rPr>
          <w:rFonts w:ascii="楷体" w:hAnsi="楷体" w:cs="楷体" w:eastAsia="楷体" w:hint="default"/>
          <w:sz w:val="15"/>
          <w:szCs w:val="15"/>
        </w:rPr>
      </w:r>
    </w:p>
    <w:p>
      <w:pPr>
        <w:tabs>
          <w:tab w:pos="3639" w:val="left" w:leader="none"/>
        </w:tabs>
        <w:spacing w:before="73"/>
        <w:ind w:left="238" w:right="0" w:firstLine="0"/>
        <w:jc w:val="left"/>
        <w:rPr>
          <w:rFonts w:ascii="楷体" w:hAnsi="楷体" w:cs="楷体" w:eastAsia="楷体" w:hint="default"/>
          <w:sz w:val="15"/>
          <w:szCs w:val="15"/>
        </w:rPr>
      </w:pPr>
      <w:r>
        <w:rPr/>
        <w:br w:type="column"/>
      </w:r>
      <w:r>
        <w:rPr>
          <w:rFonts w:ascii="楷体" w:hAnsi="楷体" w:cs="楷体" w:eastAsia="楷体" w:hint="default"/>
          <w:sz w:val="15"/>
          <w:szCs w:val="15"/>
        </w:rPr>
        <w:t>消防车辆、消防设备、汽柴油发电机组经销</w:t>
        <w:tab/>
        <w:t>是</w:t>
      </w:r>
    </w:p>
    <w:p>
      <w:pPr>
        <w:spacing w:after="0"/>
        <w:jc w:val="left"/>
        <w:rPr>
          <w:rFonts w:ascii="楷体" w:hAnsi="楷体" w:cs="楷体" w:eastAsia="楷体" w:hint="default"/>
          <w:sz w:val="15"/>
          <w:szCs w:val="15"/>
        </w:rPr>
        <w:sectPr>
          <w:type w:val="continuous"/>
          <w:pgSz w:w="11910" w:h="16840"/>
          <w:pgMar w:top="1600" w:bottom="280" w:left="720" w:right="600"/>
          <w:cols w:num="2" w:equalWidth="0">
            <w:col w:w="6460" w:space="74"/>
            <w:col w:w="4056"/>
          </w:cols>
        </w:sectPr>
      </w:pPr>
    </w:p>
    <w:p>
      <w:pPr>
        <w:tabs>
          <w:tab w:pos="3315" w:val="left" w:leader="none"/>
          <w:tab w:pos="10173" w:val="left" w:leader="none"/>
        </w:tabs>
        <w:spacing w:line="328" w:lineRule="auto" w:before="105"/>
        <w:ind w:left="238" w:right="258" w:firstLine="0"/>
        <w:jc w:val="both"/>
        <w:rPr>
          <w:rFonts w:ascii="楷体" w:hAnsi="楷体" w:cs="楷体" w:eastAsia="楷体" w:hint="default"/>
          <w:sz w:val="15"/>
          <w:szCs w:val="15"/>
        </w:rPr>
      </w:pPr>
      <w:r>
        <w:rPr>
          <w:rFonts w:ascii="楷体" w:hAnsi="楷体" w:cs="楷体" w:eastAsia="楷体" w:hint="default"/>
          <w:sz w:val="15"/>
          <w:szCs w:val="15"/>
        </w:rPr>
        <w:t>同方江新造船有限公司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6000.00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江西湖口  </w:t>
      </w:r>
      <w:r>
        <w:rPr>
          <w:rFonts w:ascii="楷体" w:hAnsi="楷体" w:cs="楷体" w:eastAsia="楷体" w:hint="default"/>
          <w:spacing w:val="24"/>
          <w:sz w:val="15"/>
          <w:szCs w:val="15"/>
        </w:rPr>
        <w:t> </w:t>
      </w:r>
      <w:r>
        <w:rPr>
          <w:rFonts w:ascii="楷体" w:hAnsi="楷体" w:cs="楷体" w:eastAsia="楷体" w:hint="default"/>
          <w:sz w:val="15"/>
          <w:szCs w:val="15"/>
        </w:rPr>
        <w:t>船舶制造、修理，钢结构制造</w:t>
        <w:tab/>
        <w:t>是</w:t>
      </w:r>
      <w:r>
        <w:rPr>
          <w:rFonts w:ascii="楷体" w:hAnsi="楷体" w:cs="楷体" w:eastAsia="楷体" w:hint="default"/>
          <w:sz w:val="15"/>
          <w:szCs w:val="15"/>
        </w:rPr>
        <w:t> 江西无线电厂（</w:t>
      </w:r>
      <w:r>
        <w:rPr>
          <w:rFonts w:ascii="Times New Roman" w:hAnsi="Times New Roman" w:cs="Times New Roman" w:eastAsia="Times New Roman" w:hint="default"/>
          <w:sz w:val="15"/>
          <w:szCs w:val="15"/>
        </w:rPr>
        <w:t>713</w:t>
      </w:r>
      <w:r>
        <w:rPr>
          <w:rFonts w:ascii="Times New Roman" w:hAnsi="Times New Roman" w:cs="Times New Roman" w:eastAsia="Times New Roman" w:hint="default"/>
          <w:spacing w:val="-1"/>
          <w:sz w:val="15"/>
          <w:szCs w:val="15"/>
        </w:rPr>
        <w:t> </w:t>
      </w:r>
      <w:r>
        <w:rPr>
          <w:rFonts w:ascii="楷体" w:hAnsi="楷体" w:cs="楷体" w:eastAsia="楷体" w:hint="default"/>
          <w:sz w:val="15"/>
          <w:szCs w:val="15"/>
        </w:rPr>
        <w:t>厂）</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16000.00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江西九江  </w:t>
      </w:r>
      <w:r>
        <w:rPr>
          <w:rFonts w:ascii="楷体" w:hAnsi="楷体" w:cs="楷体" w:eastAsia="楷体" w:hint="default"/>
          <w:spacing w:val="23"/>
          <w:sz w:val="15"/>
          <w:szCs w:val="15"/>
        </w:rPr>
        <w:t> </w:t>
      </w:r>
      <w:r>
        <w:rPr>
          <w:rFonts w:ascii="楷体" w:hAnsi="楷体" w:cs="楷体" w:eastAsia="楷体" w:hint="default"/>
          <w:sz w:val="15"/>
          <w:szCs w:val="15"/>
        </w:rPr>
        <w:t>军</w:t>
      </w:r>
      <w:r>
        <w:rPr>
          <w:rFonts w:ascii="Times New Roman" w:hAnsi="Times New Roman" w:cs="Times New Roman" w:eastAsia="Times New Roman" w:hint="default"/>
          <w:sz w:val="15"/>
          <w:szCs w:val="15"/>
        </w:rPr>
        <w:t>/</w:t>
      </w:r>
      <w:r>
        <w:rPr>
          <w:rFonts w:ascii="楷体" w:hAnsi="楷体" w:cs="楷体" w:eastAsia="楷体" w:hint="default"/>
          <w:sz w:val="15"/>
          <w:szCs w:val="15"/>
        </w:rPr>
        <w:t>民用通信设备、电子产品</w:t>
        <w:tab/>
        <w:t>是 珠海同方爱德科技有限公司</w:t>
        <w:tab/>
      </w:r>
      <w:r>
        <w:rPr>
          <w:rFonts w:ascii="Times New Roman" w:hAnsi="Times New Roman" w:cs="Times New Roman" w:eastAsia="Times New Roman" w:hint="default"/>
          <w:sz w:val="15"/>
          <w:szCs w:val="15"/>
        </w:rPr>
        <w:t>3 </w:t>
      </w:r>
      <w:r>
        <w:rPr>
          <w:rFonts w:ascii="楷体" w:hAnsi="楷体" w:cs="楷体" w:eastAsia="楷体" w:hint="default"/>
          <w:sz w:val="15"/>
          <w:szCs w:val="15"/>
        </w:rPr>
        <w:t>级        ￥</w:t>
      </w:r>
      <w:r>
        <w:rPr>
          <w:rFonts w:ascii="Times New Roman" w:hAnsi="Times New Roman" w:cs="Times New Roman" w:eastAsia="Times New Roman" w:hint="default"/>
          <w:sz w:val="15"/>
          <w:szCs w:val="15"/>
        </w:rPr>
        <w:t>500.00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94.00%      </w:t>
      </w:r>
      <w:r>
        <w:rPr>
          <w:rFonts w:ascii="楷体" w:hAnsi="楷体" w:cs="楷体" w:eastAsia="楷体" w:hint="default"/>
          <w:sz w:val="15"/>
          <w:szCs w:val="15"/>
        </w:rPr>
        <w:t>广东珠海  </w:t>
      </w:r>
      <w:r>
        <w:rPr>
          <w:rFonts w:ascii="楷体" w:hAnsi="楷体" w:cs="楷体" w:eastAsia="楷体" w:hint="default"/>
          <w:spacing w:val="24"/>
          <w:sz w:val="15"/>
          <w:szCs w:val="15"/>
        </w:rPr>
        <w:t> </w:t>
      </w:r>
      <w:r>
        <w:rPr>
          <w:rFonts w:ascii="楷体" w:hAnsi="楷体" w:cs="楷体" w:eastAsia="楷体" w:hint="default"/>
          <w:sz w:val="15"/>
          <w:szCs w:val="15"/>
        </w:rPr>
        <w:t>电子通信、无线网络开发等</w:t>
        <w:tab/>
        <w:t>是</w:t>
      </w:r>
      <w:r>
        <w:rPr>
          <w:rFonts w:ascii="楷体" w:hAnsi="楷体" w:cs="楷体" w:eastAsia="楷体" w:hint="default"/>
          <w:sz w:val="15"/>
          <w:szCs w:val="15"/>
        </w:rPr>
        <w:t> 南京波轩信息技术有限公司</w:t>
        <w:tab/>
      </w:r>
      <w:r>
        <w:rPr>
          <w:rFonts w:ascii="Times New Roman" w:hAnsi="Times New Roman" w:cs="Times New Roman" w:eastAsia="Times New Roman" w:hint="default"/>
          <w:sz w:val="15"/>
          <w:szCs w:val="15"/>
        </w:rPr>
        <w:t>3 </w:t>
      </w:r>
      <w:r>
        <w:rPr>
          <w:rFonts w:ascii="楷体" w:hAnsi="楷体" w:cs="楷体" w:eastAsia="楷体" w:hint="default"/>
          <w:sz w:val="15"/>
          <w:szCs w:val="15"/>
        </w:rPr>
        <w:t>级        ￥</w:t>
      </w:r>
      <w:r>
        <w:rPr>
          <w:rFonts w:ascii="Times New Roman" w:hAnsi="Times New Roman" w:cs="Times New Roman" w:eastAsia="Times New Roman" w:hint="default"/>
          <w:sz w:val="15"/>
          <w:szCs w:val="15"/>
        </w:rPr>
        <w:t>500.00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80.00%      </w:t>
      </w:r>
      <w:r>
        <w:rPr>
          <w:rFonts w:ascii="楷体" w:hAnsi="楷体" w:cs="楷体" w:eastAsia="楷体" w:hint="default"/>
          <w:sz w:val="15"/>
          <w:szCs w:val="15"/>
        </w:rPr>
        <w:t>江苏南京  </w:t>
      </w:r>
      <w:r>
        <w:rPr>
          <w:rFonts w:ascii="楷体" w:hAnsi="楷体" w:cs="楷体" w:eastAsia="楷体" w:hint="default"/>
          <w:spacing w:val="24"/>
          <w:sz w:val="15"/>
          <w:szCs w:val="15"/>
        </w:rPr>
        <w:t> </w:t>
      </w:r>
      <w:r>
        <w:rPr>
          <w:rFonts w:ascii="楷体" w:hAnsi="楷体" w:cs="楷体" w:eastAsia="楷体" w:hint="default"/>
          <w:sz w:val="15"/>
          <w:szCs w:val="15"/>
        </w:rPr>
        <w:t>通信产品</w:t>
        <w:tab/>
        <w:t>是</w:t>
      </w:r>
      <w:r>
        <w:rPr>
          <w:rFonts w:ascii="楷体" w:hAnsi="楷体" w:cs="楷体" w:eastAsia="楷体" w:hint="default"/>
          <w:sz w:val="15"/>
          <w:szCs w:val="15"/>
        </w:rPr>
        <w:t> 山东同方鲁颖电子有限公司</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8000.00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97.00%      </w:t>
      </w:r>
      <w:r>
        <w:rPr>
          <w:rFonts w:ascii="楷体" w:hAnsi="楷体" w:cs="楷体" w:eastAsia="楷体" w:hint="default"/>
          <w:sz w:val="15"/>
          <w:szCs w:val="15"/>
        </w:rPr>
        <w:t>山东沂南   交</w:t>
      </w:r>
      <w:r>
        <w:rPr>
          <w:rFonts w:ascii="Times New Roman" w:hAnsi="Times New Roman" w:cs="Times New Roman" w:eastAsia="Times New Roman" w:hint="default"/>
          <w:sz w:val="15"/>
          <w:szCs w:val="15"/>
        </w:rPr>
        <w:t>/</w:t>
      </w:r>
      <w:r>
        <w:rPr>
          <w:rFonts w:ascii="楷体" w:hAnsi="楷体" w:cs="楷体" w:eastAsia="楷体" w:hint="default"/>
          <w:sz w:val="15"/>
          <w:szCs w:val="15"/>
        </w:rPr>
        <w:t>直流陶瓷电容器、片式电感器和陶瓷滤波器    </w:t>
      </w:r>
      <w:r>
        <w:rPr>
          <w:rFonts w:ascii="楷体" w:hAnsi="楷体" w:cs="楷体" w:eastAsia="楷体" w:hint="default"/>
          <w:spacing w:val="7"/>
          <w:sz w:val="15"/>
          <w:szCs w:val="15"/>
        </w:rPr>
        <w:t> </w:t>
      </w:r>
      <w:r>
        <w:rPr>
          <w:rFonts w:ascii="楷体" w:hAnsi="楷体" w:cs="楷体" w:eastAsia="楷体" w:hint="default"/>
          <w:sz w:val="15"/>
          <w:szCs w:val="15"/>
        </w:rPr>
        <w:t>是</w:t>
      </w:r>
      <w:r>
        <w:rPr>
          <w:rFonts w:ascii="楷体" w:hAnsi="楷体" w:cs="楷体" w:eastAsia="楷体" w:hint="default"/>
          <w:sz w:val="15"/>
          <w:szCs w:val="15"/>
        </w:rPr>
        <w:t> 沂南同皓电子元件有限公司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US$680.00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72.73%      </w:t>
      </w:r>
      <w:r>
        <w:rPr>
          <w:rFonts w:ascii="楷体" w:hAnsi="楷体" w:cs="楷体" w:eastAsia="楷体" w:hint="default"/>
          <w:sz w:val="15"/>
          <w:szCs w:val="15"/>
        </w:rPr>
        <w:t>山东沂南  </w:t>
      </w:r>
      <w:r>
        <w:rPr>
          <w:rFonts w:ascii="楷体" w:hAnsi="楷体" w:cs="楷体" w:eastAsia="楷体" w:hint="default"/>
          <w:spacing w:val="56"/>
          <w:sz w:val="15"/>
          <w:szCs w:val="15"/>
        </w:rPr>
        <w:t> </w:t>
      </w:r>
      <w:r>
        <w:rPr>
          <w:rFonts w:ascii="楷体" w:hAnsi="楷体" w:cs="楷体" w:eastAsia="楷体" w:hint="default"/>
          <w:sz w:val="15"/>
          <w:szCs w:val="15"/>
        </w:rPr>
        <w:t>陶瓷电容器、交流电容器、网络电容器</w:t>
        <w:tab/>
        <w:t>是</w:t>
      </w:r>
      <w:r>
        <w:rPr>
          <w:rFonts w:ascii="楷体" w:hAnsi="楷体" w:cs="楷体" w:eastAsia="楷体" w:hint="default"/>
          <w:sz w:val="15"/>
          <w:szCs w:val="15"/>
        </w:rPr>
        <w:t> 北京同方房地产开发有限公司</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5000.00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北京海淀  </w:t>
      </w:r>
      <w:r>
        <w:rPr>
          <w:rFonts w:ascii="楷体" w:hAnsi="楷体" w:cs="楷体" w:eastAsia="楷体" w:hint="default"/>
          <w:spacing w:val="24"/>
          <w:sz w:val="15"/>
          <w:szCs w:val="15"/>
        </w:rPr>
        <w:t> </w:t>
      </w:r>
      <w:r>
        <w:rPr>
          <w:rFonts w:ascii="楷体" w:hAnsi="楷体" w:cs="楷体" w:eastAsia="楷体" w:hint="default"/>
          <w:sz w:val="15"/>
          <w:szCs w:val="15"/>
        </w:rPr>
        <w:t>房地产开发</w:t>
        <w:tab/>
        <w:t>是</w:t>
      </w:r>
    </w:p>
    <w:p>
      <w:pPr>
        <w:tabs>
          <w:tab w:pos="3315" w:val="left" w:leader="none"/>
          <w:tab w:pos="10173" w:val="left" w:leader="none"/>
        </w:tabs>
        <w:spacing w:line="328" w:lineRule="auto" w:before="15"/>
        <w:ind w:left="238" w:right="258" w:firstLine="0"/>
        <w:jc w:val="both"/>
        <w:rPr>
          <w:rFonts w:ascii="楷体" w:hAnsi="楷体" w:cs="楷体" w:eastAsia="楷体" w:hint="default"/>
          <w:sz w:val="15"/>
          <w:szCs w:val="15"/>
        </w:rPr>
      </w:pPr>
      <w:r>
        <w:rPr>
          <w:rFonts w:ascii="楷体" w:hAnsi="楷体" w:cs="楷体" w:eastAsia="楷体" w:hint="default"/>
          <w:sz w:val="15"/>
          <w:szCs w:val="15"/>
        </w:rPr>
        <w:t>北京同方星城置业有限公司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5800.00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北京怀柔  </w:t>
      </w:r>
      <w:r>
        <w:rPr>
          <w:rFonts w:ascii="楷体" w:hAnsi="楷体" w:cs="楷体" w:eastAsia="楷体" w:hint="default"/>
          <w:spacing w:val="24"/>
          <w:sz w:val="15"/>
          <w:szCs w:val="15"/>
        </w:rPr>
        <w:t> </w:t>
      </w:r>
      <w:r>
        <w:rPr>
          <w:rFonts w:ascii="楷体" w:hAnsi="楷体" w:cs="楷体" w:eastAsia="楷体" w:hint="default"/>
          <w:sz w:val="15"/>
          <w:szCs w:val="15"/>
        </w:rPr>
        <w:t>房地产开发</w:t>
        <w:tab/>
        <w:t>是</w:t>
      </w:r>
      <w:r>
        <w:rPr>
          <w:rFonts w:ascii="楷体" w:hAnsi="楷体" w:cs="楷体" w:eastAsia="楷体" w:hint="default"/>
          <w:sz w:val="15"/>
          <w:szCs w:val="15"/>
        </w:rPr>
        <w:t> 九江同方实业有限公司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3565.31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江西九江   房地产开发、物业管理、室内外装饰工程        </w:t>
      </w:r>
      <w:r>
        <w:rPr>
          <w:rFonts w:ascii="楷体" w:hAnsi="楷体" w:cs="楷体" w:eastAsia="楷体" w:hint="default"/>
          <w:spacing w:val="49"/>
          <w:sz w:val="15"/>
          <w:szCs w:val="15"/>
        </w:rPr>
        <w:t> </w:t>
      </w:r>
      <w:r>
        <w:rPr>
          <w:rFonts w:ascii="楷体" w:hAnsi="楷体" w:cs="楷体" w:eastAsia="楷体" w:hint="default"/>
          <w:sz w:val="15"/>
          <w:szCs w:val="15"/>
        </w:rPr>
        <w:t>是</w:t>
      </w:r>
      <w:r>
        <w:rPr>
          <w:rFonts w:ascii="楷体" w:hAnsi="楷体" w:cs="楷体" w:eastAsia="楷体" w:hint="default"/>
          <w:sz w:val="15"/>
          <w:szCs w:val="15"/>
        </w:rPr>
        <w:t> 北京同方物业管理有限公司</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950.00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北京海淀  </w:t>
      </w:r>
      <w:r>
        <w:rPr>
          <w:rFonts w:ascii="楷体" w:hAnsi="楷体" w:cs="楷体" w:eastAsia="楷体" w:hint="default"/>
          <w:spacing w:val="24"/>
          <w:sz w:val="15"/>
          <w:szCs w:val="15"/>
        </w:rPr>
        <w:t> </w:t>
      </w:r>
      <w:r>
        <w:rPr>
          <w:rFonts w:ascii="楷体" w:hAnsi="楷体" w:cs="楷体" w:eastAsia="楷体" w:hint="default"/>
          <w:sz w:val="15"/>
          <w:szCs w:val="15"/>
        </w:rPr>
        <w:t>物业管理</w:t>
        <w:tab/>
        <w:t>是</w:t>
      </w:r>
    </w:p>
    <w:p>
      <w:pPr>
        <w:tabs>
          <w:tab w:pos="3315" w:val="left" w:leader="none"/>
          <w:tab w:pos="10173" w:val="left" w:leader="none"/>
        </w:tabs>
        <w:spacing w:line="328" w:lineRule="auto" w:before="15"/>
        <w:ind w:left="238" w:right="258" w:firstLine="0"/>
        <w:jc w:val="both"/>
        <w:rPr>
          <w:rFonts w:ascii="楷体" w:hAnsi="楷体" w:cs="楷体" w:eastAsia="楷体" w:hint="default"/>
          <w:sz w:val="15"/>
          <w:szCs w:val="15"/>
        </w:rPr>
      </w:pPr>
      <w:r>
        <w:rPr>
          <w:rFonts w:ascii="楷体" w:hAnsi="楷体" w:cs="楷体" w:eastAsia="楷体" w:hint="default"/>
          <w:sz w:val="15"/>
          <w:szCs w:val="15"/>
        </w:rPr>
        <w:t>北京华清御都商务服务有限公司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500.00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北京海淀  </w:t>
      </w:r>
      <w:r>
        <w:rPr>
          <w:rFonts w:ascii="楷体" w:hAnsi="楷体" w:cs="楷体" w:eastAsia="楷体" w:hint="default"/>
          <w:spacing w:val="24"/>
          <w:sz w:val="15"/>
          <w:szCs w:val="15"/>
        </w:rPr>
        <w:t> </w:t>
      </w:r>
      <w:r>
        <w:rPr>
          <w:rFonts w:ascii="楷体" w:hAnsi="楷体" w:cs="楷体" w:eastAsia="楷体" w:hint="default"/>
          <w:sz w:val="15"/>
          <w:szCs w:val="15"/>
        </w:rPr>
        <w:t>餐饮、娱乐服务</w:t>
        <w:tab/>
        <w:t>是</w:t>
      </w:r>
      <w:r>
        <w:rPr>
          <w:rFonts w:ascii="楷体" w:hAnsi="楷体" w:cs="楷体" w:eastAsia="楷体" w:hint="default"/>
          <w:sz w:val="15"/>
          <w:szCs w:val="15"/>
        </w:rPr>
        <w:t> 无锡同方创新科技园有限公司</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10000.00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江苏无锡   科技园区及配套设施开发，计算机生产进出口    </w:t>
      </w:r>
      <w:r>
        <w:rPr>
          <w:rFonts w:ascii="楷体" w:hAnsi="楷体" w:cs="楷体" w:eastAsia="楷体" w:hint="default"/>
          <w:spacing w:val="48"/>
          <w:sz w:val="15"/>
          <w:szCs w:val="15"/>
        </w:rPr>
        <w:t> </w:t>
      </w:r>
      <w:r>
        <w:rPr>
          <w:rFonts w:ascii="楷体" w:hAnsi="楷体" w:cs="楷体" w:eastAsia="楷体" w:hint="default"/>
          <w:sz w:val="15"/>
          <w:szCs w:val="15"/>
        </w:rPr>
        <w:t>是</w:t>
      </w:r>
      <w:r>
        <w:rPr>
          <w:rFonts w:ascii="楷体" w:hAnsi="楷体" w:cs="楷体" w:eastAsia="楷体" w:hint="default"/>
          <w:sz w:val="15"/>
          <w:szCs w:val="15"/>
        </w:rPr>
        <w:t> 同方炭素科技有限公司</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5000.00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94.00%      </w:t>
      </w:r>
      <w:r>
        <w:rPr>
          <w:rFonts w:ascii="楷体" w:hAnsi="楷体" w:cs="楷体" w:eastAsia="楷体" w:hint="default"/>
          <w:sz w:val="15"/>
          <w:szCs w:val="15"/>
        </w:rPr>
        <w:t>江苏无锡  </w:t>
      </w:r>
      <w:r>
        <w:rPr>
          <w:rFonts w:ascii="楷体" w:hAnsi="楷体" w:cs="楷体" w:eastAsia="楷体" w:hint="default"/>
          <w:spacing w:val="24"/>
          <w:sz w:val="15"/>
          <w:szCs w:val="15"/>
        </w:rPr>
        <w:t> </w:t>
      </w:r>
      <w:r>
        <w:rPr>
          <w:rFonts w:ascii="楷体" w:hAnsi="楷体" w:cs="楷体" w:eastAsia="楷体" w:hint="default"/>
          <w:sz w:val="15"/>
          <w:szCs w:val="15"/>
        </w:rPr>
        <w:t>竹基活性炭及相关设备产销</w:t>
        <w:tab/>
        <w:t>是</w:t>
      </w:r>
      <w:r>
        <w:rPr>
          <w:rFonts w:ascii="楷体" w:hAnsi="楷体" w:cs="楷体" w:eastAsia="楷体" w:hint="default"/>
          <w:sz w:val="15"/>
          <w:szCs w:val="15"/>
        </w:rPr>
        <w:t> 同方炭素（福建）科技有限公司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800.00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65.00%      </w:t>
      </w:r>
      <w:r>
        <w:rPr>
          <w:rFonts w:ascii="楷体" w:hAnsi="楷体" w:cs="楷体" w:eastAsia="楷体" w:hint="default"/>
          <w:sz w:val="15"/>
          <w:szCs w:val="15"/>
        </w:rPr>
        <w:t>福建建瓯  </w:t>
      </w:r>
      <w:r>
        <w:rPr>
          <w:rFonts w:ascii="楷体" w:hAnsi="楷体" w:cs="楷体" w:eastAsia="楷体" w:hint="default"/>
          <w:spacing w:val="24"/>
          <w:sz w:val="15"/>
          <w:szCs w:val="15"/>
        </w:rPr>
        <w:t> </w:t>
      </w:r>
      <w:r>
        <w:rPr>
          <w:rFonts w:ascii="楷体" w:hAnsi="楷体" w:cs="楷体" w:eastAsia="楷体" w:hint="default"/>
          <w:sz w:val="15"/>
          <w:szCs w:val="15"/>
        </w:rPr>
        <w:t>竹基活性炭及相关设备产销</w:t>
        <w:tab/>
        <w:t>是</w:t>
      </w:r>
      <w:r>
        <w:rPr>
          <w:rFonts w:ascii="楷体" w:hAnsi="楷体" w:cs="楷体" w:eastAsia="楷体" w:hint="default"/>
          <w:sz w:val="15"/>
          <w:szCs w:val="15"/>
        </w:rPr>
        <w:t> 桂林同方炭素科技有限责任公司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1000.00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70.00%      </w:t>
      </w:r>
      <w:r>
        <w:rPr>
          <w:rFonts w:ascii="楷体" w:hAnsi="楷体" w:cs="楷体" w:eastAsia="楷体" w:hint="default"/>
          <w:sz w:val="15"/>
          <w:szCs w:val="15"/>
        </w:rPr>
        <w:t>广西桂林  </w:t>
      </w:r>
      <w:r>
        <w:rPr>
          <w:rFonts w:ascii="楷体" w:hAnsi="楷体" w:cs="楷体" w:eastAsia="楷体" w:hint="default"/>
          <w:spacing w:val="24"/>
          <w:sz w:val="15"/>
          <w:szCs w:val="15"/>
        </w:rPr>
        <w:t> </w:t>
      </w:r>
      <w:r>
        <w:rPr>
          <w:rFonts w:ascii="楷体" w:hAnsi="楷体" w:cs="楷体" w:eastAsia="楷体" w:hint="default"/>
          <w:sz w:val="15"/>
          <w:szCs w:val="15"/>
        </w:rPr>
        <w:t>竹基活性炭及相关设备产销</w:t>
        <w:tab/>
        <w:t>是</w:t>
      </w:r>
      <w:r>
        <w:rPr>
          <w:rFonts w:ascii="楷体" w:hAnsi="楷体" w:cs="楷体" w:eastAsia="楷体" w:hint="default"/>
          <w:sz w:val="15"/>
          <w:szCs w:val="15"/>
        </w:rPr>
        <w:t> 同方鞍山科技园有限公司</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3000.00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辽宁鞍山  </w:t>
      </w:r>
      <w:r>
        <w:rPr>
          <w:rFonts w:ascii="楷体" w:hAnsi="楷体" w:cs="楷体" w:eastAsia="楷体" w:hint="default"/>
          <w:spacing w:val="24"/>
          <w:sz w:val="15"/>
          <w:szCs w:val="15"/>
        </w:rPr>
        <w:t> </w:t>
      </w:r>
      <w:r>
        <w:rPr>
          <w:rFonts w:ascii="楷体" w:hAnsi="楷体" w:cs="楷体" w:eastAsia="楷体" w:hint="default"/>
          <w:sz w:val="15"/>
          <w:szCs w:val="15"/>
        </w:rPr>
        <w:t>科技园区及配套设施的开发管理</w:t>
        <w:tab/>
        <w:t>是</w:t>
      </w:r>
      <w:r>
        <w:rPr>
          <w:rFonts w:ascii="楷体" w:hAnsi="楷体" w:cs="楷体" w:eastAsia="楷体" w:hint="default"/>
          <w:sz w:val="15"/>
          <w:szCs w:val="15"/>
        </w:rPr>
        <w:t> </w:t>
      </w:r>
      <w:r>
        <w:rPr>
          <w:rFonts w:ascii="宋体" w:hAnsi="宋体" w:cs="宋体" w:eastAsia="宋体" w:hint="default"/>
          <w:sz w:val="15"/>
          <w:szCs w:val="15"/>
        </w:rPr>
        <w:t>Resuccess Investments</w:t>
      </w:r>
      <w:r>
        <w:rPr>
          <w:rFonts w:ascii="宋体" w:hAnsi="宋体" w:cs="宋体" w:eastAsia="宋体" w:hint="default"/>
          <w:spacing w:val="-10"/>
          <w:sz w:val="15"/>
          <w:szCs w:val="15"/>
        </w:rPr>
        <w:t> </w:t>
      </w:r>
      <w:r>
        <w:rPr>
          <w:rFonts w:ascii="宋体" w:hAnsi="宋体" w:cs="宋体" w:eastAsia="宋体" w:hint="default"/>
          <w:sz w:val="15"/>
          <w:szCs w:val="15"/>
        </w:rPr>
        <w:t>Ltd.</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US$1000.00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维京群岛  </w:t>
      </w:r>
      <w:r>
        <w:rPr>
          <w:rFonts w:ascii="楷体" w:hAnsi="楷体" w:cs="楷体" w:eastAsia="楷体" w:hint="default"/>
          <w:spacing w:val="55"/>
          <w:sz w:val="15"/>
          <w:szCs w:val="15"/>
        </w:rPr>
        <w:t> </w:t>
      </w:r>
      <w:r>
        <w:rPr>
          <w:rFonts w:ascii="楷体" w:hAnsi="楷体" w:cs="楷体" w:eastAsia="楷体" w:hint="default"/>
          <w:sz w:val="15"/>
          <w:szCs w:val="15"/>
        </w:rPr>
        <w:t>科技项目投资与管理</w:t>
        <w:tab/>
        <w:t>是</w:t>
      </w:r>
    </w:p>
    <w:p>
      <w:pPr>
        <w:tabs>
          <w:tab w:pos="3315" w:val="left" w:leader="none"/>
          <w:tab w:pos="10173" w:val="left" w:leader="none"/>
        </w:tabs>
        <w:spacing w:line="328" w:lineRule="auto" w:before="15"/>
        <w:ind w:left="238" w:right="258" w:firstLine="0"/>
        <w:jc w:val="both"/>
        <w:rPr>
          <w:rFonts w:ascii="楷体" w:hAnsi="楷体" w:cs="楷体" w:eastAsia="楷体" w:hint="default"/>
          <w:sz w:val="15"/>
          <w:szCs w:val="15"/>
        </w:rPr>
      </w:pPr>
      <w:r>
        <w:rPr>
          <w:rFonts w:ascii="宋体" w:hAnsi="宋体" w:cs="宋体" w:eastAsia="宋体" w:hint="default"/>
          <w:sz w:val="15"/>
          <w:szCs w:val="15"/>
        </w:rPr>
        <w:t>Know China International Holdings Ltd.   </w:t>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US$1.00 </w:t>
      </w:r>
      <w:r>
        <w:rPr>
          <w:rFonts w:ascii="楷体" w:hAnsi="楷体" w:cs="楷体" w:eastAsia="楷体" w:hint="default"/>
          <w:sz w:val="15"/>
          <w:szCs w:val="15"/>
        </w:rPr>
        <w:t>元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开曼群岛  </w:t>
      </w:r>
      <w:r>
        <w:rPr>
          <w:rFonts w:ascii="楷体" w:hAnsi="楷体" w:cs="楷体" w:eastAsia="楷体" w:hint="default"/>
          <w:spacing w:val="41"/>
          <w:sz w:val="15"/>
          <w:szCs w:val="15"/>
        </w:rPr>
        <w:t> </w:t>
      </w:r>
      <w:r>
        <w:rPr>
          <w:rFonts w:ascii="楷体" w:hAnsi="楷体" w:cs="楷体" w:eastAsia="楷体" w:hint="default"/>
          <w:sz w:val="15"/>
          <w:szCs w:val="15"/>
        </w:rPr>
        <w:t>科技项目投资与管理</w:t>
        <w:tab/>
        <w:t>是</w:t>
      </w:r>
      <w:r>
        <w:rPr>
          <w:rFonts w:ascii="楷体" w:hAnsi="楷体" w:cs="楷体" w:eastAsia="楷体" w:hint="default"/>
          <w:sz w:val="15"/>
          <w:szCs w:val="15"/>
        </w:rPr>
        <w:t> 同方知网（北京）技术有限公司</w:t>
        <w:tab/>
      </w:r>
      <w:r>
        <w:rPr>
          <w:rFonts w:ascii="Times New Roman" w:hAnsi="Times New Roman" w:cs="Times New Roman" w:eastAsia="Times New Roman" w:hint="default"/>
          <w:sz w:val="15"/>
          <w:szCs w:val="15"/>
        </w:rPr>
        <w:t>3 </w:t>
      </w:r>
      <w:r>
        <w:rPr>
          <w:rFonts w:ascii="楷体" w:hAnsi="楷体" w:cs="楷体" w:eastAsia="楷体" w:hint="default"/>
          <w:sz w:val="15"/>
          <w:szCs w:val="15"/>
        </w:rPr>
        <w:t>级      </w:t>
      </w:r>
      <w:r>
        <w:rPr>
          <w:rFonts w:ascii="Times New Roman" w:hAnsi="Times New Roman" w:cs="Times New Roman" w:eastAsia="Times New Roman" w:hint="default"/>
          <w:sz w:val="15"/>
          <w:szCs w:val="15"/>
        </w:rPr>
        <w:t>US$100.00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北京海淀  </w:t>
      </w:r>
      <w:r>
        <w:rPr>
          <w:rFonts w:ascii="楷体" w:hAnsi="楷体" w:cs="楷体" w:eastAsia="楷体" w:hint="default"/>
          <w:spacing w:val="56"/>
          <w:sz w:val="15"/>
          <w:szCs w:val="15"/>
        </w:rPr>
        <w:t> </w:t>
      </w:r>
      <w:r>
        <w:rPr>
          <w:rFonts w:ascii="楷体" w:hAnsi="楷体" w:cs="楷体" w:eastAsia="楷体" w:hint="default"/>
          <w:sz w:val="15"/>
          <w:szCs w:val="15"/>
        </w:rPr>
        <w:t>网络知识存储与信息检索</w:t>
        <w:tab/>
        <w:t>是</w:t>
      </w:r>
      <w:r>
        <w:rPr>
          <w:rFonts w:ascii="楷体" w:hAnsi="楷体" w:cs="楷体" w:eastAsia="楷体" w:hint="default"/>
          <w:sz w:val="15"/>
          <w:szCs w:val="15"/>
        </w:rPr>
        <w:t> </w:t>
      </w:r>
      <w:r>
        <w:rPr>
          <w:rFonts w:ascii="宋体" w:hAnsi="宋体" w:cs="宋体" w:eastAsia="宋体" w:hint="default"/>
          <w:sz w:val="15"/>
          <w:szCs w:val="15"/>
        </w:rPr>
        <w:t>TF-EPI Co.</w:t>
      </w:r>
      <w:r>
        <w:rPr>
          <w:rFonts w:ascii="宋体" w:hAnsi="宋体" w:cs="宋体" w:eastAsia="宋体" w:hint="default"/>
          <w:spacing w:val="-5"/>
          <w:sz w:val="15"/>
          <w:szCs w:val="15"/>
        </w:rPr>
        <w:t> </w:t>
      </w:r>
      <w:r>
        <w:rPr>
          <w:rFonts w:ascii="宋体" w:hAnsi="宋体" w:cs="宋体" w:eastAsia="宋体" w:hint="default"/>
          <w:sz w:val="15"/>
          <w:szCs w:val="15"/>
        </w:rPr>
        <w:t>Ltd.</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US$1.00 </w:t>
      </w:r>
      <w:r>
        <w:rPr>
          <w:rFonts w:ascii="楷体" w:hAnsi="楷体" w:cs="楷体" w:eastAsia="楷体" w:hint="default"/>
          <w:sz w:val="15"/>
          <w:szCs w:val="15"/>
        </w:rPr>
        <w:t>元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开曼群岛  </w:t>
      </w:r>
      <w:r>
        <w:rPr>
          <w:rFonts w:ascii="楷体" w:hAnsi="楷体" w:cs="楷体" w:eastAsia="楷体" w:hint="default"/>
          <w:spacing w:val="57"/>
          <w:sz w:val="15"/>
          <w:szCs w:val="15"/>
        </w:rPr>
        <w:t> </w:t>
      </w:r>
      <w:r>
        <w:rPr>
          <w:rFonts w:ascii="楷体" w:hAnsi="楷体" w:cs="楷体" w:eastAsia="楷体" w:hint="default"/>
          <w:sz w:val="15"/>
          <w:szCs w:val="15"/>
        </w:rPr>
        <w:t>科技项目投资与管理</w:t>
        <w:tab/>
        <w:t>是</w:t>
      </w:r>
      <w:r>
        <w:rPr>
          <w:rFonts w:ascii="楷体" w:hAnsi="楷体" w:cs="楷体" w:eastAsia="楷体" w:hint="default"/>
          <w:sz w:val="15"/>
          <w:szCs w:val="15"/>
        </w:rPr>
        <w:t> </w:t>
      </w:r>
      <w:r>
        <w:rPr>
          <w:rFonts w:ascii="宋体" w:hAnsi="宋体" w:cs="宋体" w:eastAsia="宋体" w:hint="default"/>
          <w:sz w:val="15"/>
          <w:szCs w:val="15"/>
        </w:rPr>
        <w:t>Tinggi Technologies Pte</w:t>
      </w:r>
      <w:r>
        <w:rPr>
          <w:rFonts w:ascii="宋体" w:hAnsi="宋体" w:cs="宋体" w:eastAsia="宋体" w:hint="default"/>
          <w:spacing w:val="-10"/>
          <w:sz w:val="15"/>
          <w:szCs w:val="15"/>
        </w:rPr>
        <w:t> </w:t>
      </w:r>
      <w:r>
        <w:rPr>
          <w:rFonts w:ascii="宋体" w:hAnsi="宋体" w:cs="宋体" w:eastAsia="宋体" w:hint="default"/>
          <w:sz w:val="15"/>
          <w:szCs w:val="15"/>
        </w:rPr>
        <w:t>Ltd.</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SGP$1262.93 </w:t>
      </w:r>
      <w:r>
        <w:rPr>
          <w:rFonts w:ascii="楷体" w:hAnsi="楷体" w:cs="楷体" w:eastAsia="楷体" w:hint="default"/>
          <w:sz w:val="15"/>
          <w:szCs w:val="15"/>
        </w:rPr>
        <w:t>万    </w:t>
      </w:r>
      <w:r>
        <w:rPr>
          <w:rFonts w:ascii="Times New Roman" w:hAnsi="Times New Roman" w:cs="Times New Roman" w:eastAsia="Times New Roman" w:hint="default"/>
          <w:sz w:val="15"/>
          <w:szCs w:val="15"/>
        </w:rPr>
        <w:t>61.38%        </w:t>
      </w:r>
      <w:r>
        <w:rPr>
          <w:rFonts w:ascii="楷体" w:hAnsi="楷体" w:cs="楷体" w:eastAsia="楷体" w:hint="default"/>
          <w:sz w:val="15"/>
          <w:szCs w:val="15"/>
        </w:rPr>
        <w:t>新加坡    高亮度发光二级管</w:t>
      </w:r>
      <w:r>
        <w:rPr>
          <w:rFonts w:ascii="Times New Roman" w:hAnsi="Times New Roman" w:cs="Times New Roman" w:eastAsia="Times New Roman" w:hint="default"/>
          <w:sz w:val="15"/>
          <w:szCs w:val="15"/>
        </w:rPr>
        <w:t>(LED)</w:t>
      </w:r>
      <w:r>
        <w:rPr>
          <w:rFonts w:ascii="楷体" w:hAnsi="楷体" w:cs="楷体" w:eastAsia="楷体" w:hint="default"/>
          <w:sz w:val="15"/>
          <w:szCs w:val="15"/>
        </w:rPr>
        <w:t>外延片和芯片研发制造   </w:t>
      </w:r>
      <w:r>
        <w:rPr>
          <w:rFonts w:ascii="楷体" w:hAnsi="楷体" w:cs="楷体" w:eastAsia="楷体" w:hint="default"/>
          <w:spacing w:val="52"/>
          <w:sz w:val="15"/>
          <w:szCs w:val="15"/>
        </w:rPr>
        <w:t> </w:t>
      </w:r>
      <w:r>
        <w:rPr>
          <w:rFonts w:ascii="楷体" w:hAnsi="楷体" w:cs="楷体" w:eastAsia="楷体" w:hint="default"/>
          <w:sz w:val="15"/>
          <w:szCs w:val="15"/>
        </w:rPr>
        <w:t>是</w:t>
      </w:r>
      <w:r>
        <w:rPr>
          <w:rFonts w:ascii="楷体" w:hAnsi="楷体" w:cs="楷体" w:eastAsia="楷体" w:hint="default"/>
          <w:sz w:val="15"/>
          <w:szCs w:val="15"/>
        </w:rPr>
        <w:t> </w:t>
      </w:r>
      <w:r>
        <w:rPr>
          <w:rFonts w:ascii="宋体" w:hAnsi="宋体" w:cs="宋体" w:eastAsia="宋体" w:hint="default"/>
          <w:sz w:val="15"/>
          <w:szCs w:val="15"/>
        </w:rPr>
        <w:t>TongFang Global</w:t>
      </w:r>
      <w:r>
        <w:rPr>
          <w:rFonts w:ascii="宋体" w:hAnsi="宋体" w:cs="宋体" w:eastAsia="宋体" w:hint="default"/>
          <w:spacing w:val="-7"/>
          <w:sz w:val="15"/>
          <w:szCs w:val="15"/>
        </w:rPr>
        <w:t> </w:t>
      </w:r>
      <w:r>
        <w:rPr>
          <w:rFonts w:ascii="宋体" w:hAnsi="宋体" w:cs="宋体" w:eastAsia="宋体" w:hint="default"/>
          <w:sz w:val="15"/>
          <w:szCs w:val="15"/>
        </w:rPr>
        <w:t>Ltd.</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HK$100.00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中国香港  </w:t>
      </w:r>
      <w:r>
        <w:rPr>
          <w:rFonts w:ascii="楷体" w:hAnsi="楷体" w:cs="楷体" w:eastAsia="楷体" w:hint="default"/>
          <w:spacing w:val="30"/>
          <w:sz w:val="15"/>
          <w:szCs w:val="15"/>
        </w:rPr>
        <w:t> </w:t>
      </w:r>
      <w:r>
        <w:rPr>
          <w:rFonts w:ascii="楷体" w:hAnsi="楷体" w:cs="楷体" w:eastAsia="楷体" w:hint="default"/>
          <w:sz w:val="15"/>
          <w:szCs w:val="15"/>
        </w:rPr>
        <w:t>计算机、数字电视等消费电子产品经销</w:t>
        <w:tab/>
        <w:t>是</w:t>
      </w:r>
      <w:r>
        <w:rPr>
          <w:rFonts w:ascii="楷体" w:hAnsi="楷体" w:cs="楷体" w:eastAsia="楷体" w:hint="default"/>
          <w:sz w:val="15"/>
          <w:szCs w:val="15"/>
        </w:rPr>
        <w:t> </w:t>
      </w:r>
      <w:r>
        <w:rPr>
          <w:rFonts w:ascii="宋体" w:hAnsi="宋体" w:cs="宋体" w:eastAsia="宋体" w:hint="default"/>
          <w:sz w:val="15"/>
          <w:szCs w:val="15"/>
        </w:rPr>
        <w:t>Technovator Int Private</w:t>
      </w:r>
      <w:r>
        <w:rPr>
          <w:rFonts w:ascii="宋体" w:hAnsi="宋体" w:cs="宋体" w:eastAsia="宋体" w:hint="default"/>
          <w:spacing w:val="-10"/>
          <w:sz w:val="15"/>
          <w:szCs w:val="15"/>
        </w:rPr>
        <w:t> </w:t>
      </w:r>
      <w:r>
        <w:rPr>
          <w:rFonts w:ascii="宋体" w:hAnsi="宋体" w:cs="宋体" w:eastAsia="宋体" w:hint="default"/>
          <w:sz w:val="15"/>
          <w:szCs w:val="15"/>
        </w:rPr>
        <w:t>Ltd.</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US$908.00 </w:t>
      </w:r>
      <w:r>
        <w:rPr>
          <w:rFonts w:ascii="楷体" w:hAnsi="楷体" w:cs="楷体" w:eastAsia="楷体" w:hint="default"/>
          <w:sz w:val="15"/>
          <w:szCs w:val="15"/>
        </w:rPr>
        <w:t>万    </w:t>
      </w:r>
      <w:r>
        <w:rPr>
          <w:rFonts w:ascii="Times New Roman" w:hAnsi="Times New Roman" w:cs="Times New Roman" w:eastAsia="Times New Roman" w:hint="default"/>
          <w:sz w:val="15"/>
          <w:szCs w:val="15"/>
        </w:rPr>
        <w:t>47.36%        </w:t>
      </w:r>
      <w:r>
        <w:rPr>
          <w:rFonts w:ascii="楷体" w:hAnsi="楷体" w:cs="楷体" w:eastAsia="楷体" w:hint="default"/>
          <w:sz w:val="15"/>
          <w:szCs w:val="15"/>
        </w:rPr>
        <w:t>新加坡   </w:t>
      </w:r>
      <w:r>
        <w:rPr>
          <w:rFonts w:ascii="楷体" w:hAnsi="楷体" w:cs="楷体" w:eastAsia="楷体" w:hint="default"/>
          <w:spacing w:val="56"/>
          <w:sz w:val="15"/>
          <w:szCs w:val="15"/>
        </w:rPr>
        <w:t> </w:t>
      </w:r>
      <w:r>
        <w:rPr>
          <w:rFonts w:ascii="楷体" w:hAnsi="楷体" w:cs="楷体" w:eastAsia="楷体" w:hint="default"/>
          <w:sz w:val="15"/>
          <w:szCs w:val="15"/>
        </w:rPr>
        <w:t>楼宇自动控制产品</w:t>
        <w:tab/>
        <w:t>是</w:t>
      </w:r>
      <w:r>
        <w:rPr>
          <w:rFonts w:ascii="楷体" w:hAnsi="楷体" w:cs="楷体" w:eastAsia="楷体" w:hint="default"/>
          <w:sz w:val="15"/>
          <w:szCs w:val="15"/>
        </w:rPr>
        <w:t> 同方泰德国际科技（北京）有限公司         </w:t>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US$700.00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北京怀柔  </w:t>
      </w:r>
      <w:r>
        <w:rPr>
          <w:rFonts w:ascii="楷体" w:hAnsi="楷体" w:cs="楷体" w:eastAsia="楷体" w:hint="default"/>
          <w:spacing w:val="56"/>
          <w:sz w:val="15"/>
          <w:szCs w:val="15"/>
        </w:rPr>
        <w:t> </w:t>
      </w:r>
      <w:r>
        <w:rPr>
          <w:rFonts w:ascii="楷体" w:hAnsi="楷体" w:cs="楷体" w:eastAsia="楷体" w:hint="default"/>
          <w:sz w:val="15"/>
          <w:szCs w:val="15"/>
        </w:rPr>
        <w:t>智能控制系统配套软</w:t>
      </w:r>
      <w:r>
        <w:rPr>
          <w:rFonts w:ascii="宋体" w:hAnsi="宋体" w:cs="宋体" w:eastAsia="宋体" w:hint="default"/>
          <w:sz w:val="15"/>
          <w:szCs w:val="15"/>
        </w:rPr>
        <w:t>/</w:t>
      </w:r>
      <w:r>
        <w:rPr>
          <w:rFonts w:ascii="楷体" w:hAnsi="楷体" w:cs="楷体" w:eastAsia="楷体" w:hint="default"/>
          <w:sz w:val="15"/>
          <w:szCs w:val="15"/>
        </w:rPr>
        <w:t>硬件产品</w:t>
        <w:tab/>
        <w:t>是</w:t>
      </w:r>
    </w:p>
    <w:p>
      <w:pPr>
        <w:spacing w:line="118" w:lineRule="exact" w:before="0"/>
        <w:ind w:left="5989" w:right="4105" w:firstLine="0"/>
        <w:jc w:val="center"/>
        <w:rPr>
          <w:rFonts w:ascii="楷体" w:hAnsi="楷体" w:cs="楷体" w:eastAsia="楷体" w:hint="default"/>
          <w:sz w:val="15"/>
          <w:szCs w:val="15"/>
        </w:rPr>
      </w:pPr>
      <w:r>
        <w:rPr>
          <w:rFonts w:ascii="楷体" w:hAnsi="楷体" w:cs="楷体" w:eastAsia="楷体" w:hint="default"/>
          <w:sz w:val="15"/>
          <w:szCs w:val="15"/>
        </w:rPr>
        <w:t>加拿大</w:t>
      </w:r>
    </w:p>
    <w:p>
      <w:pPr>
        <w:spacing w:after="0" w:line="118" w:lineRule="exact"/>
        <w:jc w:val="center"/>
        <w:rPr>
          <w:rFonts w:ascii="楷体" w:hAnsi="楷体" w:cs="楷体" w:eastAsia="楷体" w:hint="default"/>
          <w:sz w:val="15"/>
          <w:szCs w:val="15"/>
        </w:rPr>
        <w:sectPr>
          <w:type w:val="continuous"/>
          <w:pgSz w:w="11910" w:h="16840"/>
          <w:pgMar w:top="1600" w:bottom="280" w:left="720" w:right="600"/>
        </w:sectPr>
      </w:pPr>
    </w:p>
    <w:p>
      <w:pPr>
        <w:tabs>
          <w:tab w:pos="3315" w:val="left" w:leader="none"/>
          <w:tab w:pos="4040" w:val="left" w:leader="none"/>
          <w:tab w:pos="5234" w:val="left" w:leader="none"/>
        </w:tabs>
        <w:spacing w:line="161" w:lineRule="exact" w:before="0"/>
        <w:ind w:left="238" w:right="-19"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Distech Controls</w:t>
      </w:r>
      <w:r>
        <w:rPr>
          <w:rFonts w:ascii="宋体" w:hAnsi="宋体" w:cs="宋体" w:eastAsia="宋体" w:hint="default"/>
          <w:spacing w:val="-8"/>
          <w:sz w:val="15"/>
          <w:szCs w:val="15"/>
        </w:rPr>
        <w:t> </w:t>
      </w:r>
      <w:r>
        <w:rPr>
          <w:rFonts w:ascii="宋体" w:hAnsi="宋体" w:cs="宋体" w:eastAsia="宋体" w:hint="default"/>
          <w:sz w:val="15"/>
          <w:szCs w:val="15"/>
        </w:rPr>
        <w:t>Inc.</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w:t>
        <w:tab/>
      </w:r>
      <w:r>
        <w:rPr>
          <w:rFonts w:ascii="Times New Roman" w:hAnsi="Times New Roman" w:cs="Times New Roman" w:eastAsia="Times New Roman" w:hint="default"/>
          <w:sz w:val="15"/>
          <w:szCs w:val="15"/>
        </w:rPr>
        <w:t>US$861.83</w:t>
      </w:r>
      <w:r>
        <w:rPr>
          <w:rFonts w:ascii="Times New Roman" w:hAnsi="Times New Roman" w:cs="Times New Roman" w:eastAsia="Times New Roman" w:hint="default"/>
          <w:spacing w:val="-5"/>
          <w:sz w:val="15"/>
          <w:szCs w:val="15"/>
        </w:rPr>
        <w:t> </w:t>
      </w:r>
      <w:r>
        <w:rPr>
          <w:rFonts w:ascii="楷体" w:hAnsi="楷体" w:cs="楷体" w:eastAsia="楷体" w:hint="default"/>
          <w:sz w:val="15"/>
          <w:szCs w:val="15"/>
        </w:rPr>
        <w:t>万</w:t>
        <w:tab/>
      </w:r>
      <w:r>
        <w:rPr>
          <w:rFonts w:ascii="Times New Roman" w:hAnsi="Times New Roman" w:cs="Times New Roman" w:eastAsia="Times New Roman" w:hint="default"/>
          <w:sz w:val="15"/>
          <w:szCs w:val="15"/>
        </w:rPr>
        <w:t>60.30%</w:t>
      </w:r>
    </w:p>
    <w:p>
      <w:pPr>
        <w:tabs>
          <w:tab w:pos="4435" w:val="left" w:leader="none"/>
        </w:tabs>
        <w:spacing w:line="102" w:lineRule="exact" w:before="0"/>
        <w:ind w:left="1034" w:right="0" w:firstLine="0"/>
        <w:jc w:val="left"/>
        <w:rPr>
          <w:rFonts w:ascii="楷体" w:hAnsi="楷体" w:cs="楷体" w:eastAsia="楷体" w:hint="default"/>
          <w:sz w:val="15"/>
          <w:szCs w:val="15"/>
        </w:rPr>
      </w:pPr>
      <w:r>
        <w:rPr/>
        <w:br w:type="column"/>
      </w:r>
      <w:r>
        <w:rPr>
          <w:rFonts w:ascii="楷体" w:hAnsi="楷体" w:cs="楷体" w:eastAsia="楷体" w:hint="default"/>
          <w:sz w:val="15"/>
          <w:szCs w:val="15"/>
        </w:rPr>
        <w:t>智能建筑控制产品设计、生产、销售</w:t>
        <w:tab/>
        <w:t>是</w:t>
      </w:r>
    </w:p>
    <w:p>
      <w:pPr>
        <w:spacing w:line="149" w:lineRule="exact" w:before="0"/>
        <w:ind w:left="196" w:right="0" w:firstLine="0"/>
        <w:jc w:val="left"/>
        <w:rPr>
          <w:rFonts w:ascii="楷体" w:hAnsi="楷体" w:cs="楷体" w:eastAsia="楷体" w:hint="default"/>
          <w:sz w:val="15"/>
          <w:szCs w:val="15"/>
        </w:rPr>
      </w:pPr>
      <w:r>
        <w:rPr>
          <w:rFonts w:ascii="楷体" w:hAnsi="楷体" w:cs="楷体" w:eastAsia="楷体" w:hint="default"/>
          <w:sz w:val="15"/>
          <w:szCs w:val="15"/>
        </w:rPr>
        <w:t>魁北克省</w:t>
      </w:r>
    </w:p>
    <w:p>
      <w:pPr>
        <w:spacing w:after="0" w:line="149" w:lineRule="exact"/>
        <w:jc w:val="left"/>
        <w:rPr>
          <w:rFonts w:ascii="楷体" w:hAnsi="楷体" w:cs="楷体" w:eastAsia="楷体" w:hint="default"/>
          <w:sz w:val="15"/>
          <w:szCs w:val="15"/>
        </w:rPr>
        <w:sectPr>
          <w:type w:val="continuous"/>
          <w:pgSz w:w="11910" w:h="16840"/>
          <w:pgMar w:top="1600" w:bottom="280" w:left="720" w:right="600"/>
          <w:cols w:num="2" w:equalWidth="0">
            <w:col w:w="5699" w:space="40"/>
            <w:col w:w="4851"/>
          </w:cols>
        </w:sectPr>
      </w:pPr>
    </w:p>
    <w:p>
      <w:pPr>
        <w:spacing w:line="148" w:lineRule="exact" w:before="4"/>
        <w:ind w:left="0" w:right="72" w:firstLine="0"/>
        <w:jc w:val="right"/>
        <w:rPr>
          <w:rFonts w:ascii="楷体" w:hAnsi="楷体" w:cs="楷体" w:eastAsia="楷体" w:hint="default"/>
          <w:sz w:val="15"/>
          <w:szCs w:val="15"/>
        </w:rPr>
      </w:pPr>
      <w:r>
        <w:rPr>
          <w:rFonts w:ascii="楷体" w:hAnsi="楷体" w:cs="楷体" w:eastAsia="楷体" w:hint="default"/>
          <w:sz w:val="15"/>
          <w:szCs w:val="15"/>
        </w:rPr>
        <w:t>荷兰</w:t>
      </w:r>
    </w:p>
    <w:p>
      <w:pPr>
        <w:tabs>
          <w:tab w:pos="3076" w:val="left" w:leader="none"/>
          <w:tab w:pos="4143" w:val="left" w:leader="none"/>
          <w:tab w:pos="4995" w:val="left" w:leader="none"/>
          <w:tab w:pos="5770" w:val="left" w:leader="none"/>
        </w:tabs>
        <w:spacing w:line="248" w:lineRule="exact" w:before="0"/>
        <w:ind w:left="0" w:right="0" w:firstLine="0"/>
        <w:jc w:val="right"/>
        <w:rPr>
          <w:rFonts w:ascii="楷体" w:hAnsi="楷体" w:cs="楷体" w:eastAsia="楷体" w:hint="default"/>
          <w:sz w:val="15"/>
          <w:szCs w:val="15"/>
        </w:rPr>
      </w:pPr>
      <w:r>
        <w:rPr>
          <w:rFonts w:ascii="宋体" w:hAnsi="宋体" w:cs="宋体" w:eastAsia="宋体" w:hint="default"/>
          <w:spacing w:val="-1"/>
          <w:sz w:val="15"/>
          <w:szCs w:val="15"/>
        </w:rPr>
        <w:t>Distech</w:t>
      </w:r>
      <w:r>
        <w:rPr>
          <w:rFonts w:ascii="宋体" w:hAnsi="宋体" w:cs="宋体" w:eastAsia="宋体" w:hint="default"/>
          <w:sz w:val="15"/>
          <w:szCs w:val="15"/>
        </w:rPr>
        <w:t> </w:t>
      </w:r>
      <w:r>
        <w:rPr>
          <w:rFonts w:ascii="宋体" w:hAnsi="宋体" w:cs="宋体" w:eastAsia="宋体" w:hint="default"/>
          <w:spacing w:val="-1"/>
          <w:sz w:val="15"/>
          <w:szCs w:val="15"/>
        </w:rPr>
        <w:t>Controls</w:t>
      </w:r>
      <w:r>
        <w:rPr>
          <w:rFonts w:ascii="宋体" w:hAnsi="宋体" w:cs="宋体" w:eastAsia="宋体" w:hint="default"/>
          <w:sz w:val="15"/>
          <w:szCs w:val="15"/>
        </w:rPr>
        <w:t> </w:t>
      </w:r>
      <w:r>
        <w:rPr>
          <w:rFonts w:ascii="宋体" w:hAnsi="宋体" w:cs="宋体" w:eastAsia="宋体" w:hint="default"/>
          <w:spacing w:val="-1"/>
          <w:sz w:val="15"/>
          <w:szCs w:val="15"/>
        </w:rPr>
        <w:t>Europe</w:t>
      </w:r>
      <w:r>
        <w:rPr>
          <w:rFonts w:ascii="宋体" w:hAnsi="宋体" w:cs="宋体" w:eastAsia="宋体" w:hint="default"/>
          <w:spacing w:val="12"/>
          <w:sz w:val="15"/>
          <w:szCs w:val="15"/>
        </w:rPr>
        <w:t> </w:t>
      </w:r>
      <w:r>
        <w:rPr>
          <w:rFonts w:ascii="宋体" w:hAnsi="宋体" w:cs="宋体" w:eastAsia="宋体" w:hint="default"/>
          <w:sz w:val="15"/>
          <w:szCs w:val="15"/>
        </w:rPr>
        <w:t>BV</w:t>
        <w:tab/>
      </w:r>
      <w:r>
        <w:rPr>
          <w:rFonts w:ascii="Times New Roman" w:hAnsi="Times New Roman" w:cs="Times New Roman" w:eastAsia="Times New Roman" w:hint="default"/>
          <w:sz w:val="15"/>
          <w:szCs w:val="15"/>
        </w:rPr>
        <w:t>3 </w:t>
      </w:r>
      <w:r>
        <w:rPr>
          <w:rFonts w:ascii="楷体" w:hAnsi="楷体" w:cs="楷体" w:eastAsia="楷体" w:hint="default"/>
          <w:sz w:val="15"/>
          <w:szCs w:val="15"/>
        </w:rPr>
        <w:t>级</w:t>
        <w:tab/>
      </w:r>
      <w:r>
        <w:rPr>
          <w:rFonts w:ascii="Times New Roman" w:hAnsi="Times New Roman" w:cs="Times New Roman" w:eastAsia="Times New Roman" w:hint="default"/>
          <w:spacing w:val="-1"/>
          <w:sz w:val="15"/>
          <w:szCs w:val="15"/>
        </w:rPr>
        <w:t>€1.80</w:t>
      </w:r>
      <w:r>
        <w:rPr>
          <w:rFonts w:ascii="Times New Roman" w:hAnsi="Times New Roman" w:cs="Times New Roman" w:eastAsia="Times New Roman" w:hint="default"/>
          <w:spacing w:val="2"/>
          <w:sz w:val="15"/>
          <w:szCs w:val="15"/>
        </w:rPr>
        <w:t> </w:t>
      </w:r>
      <w:r>
        <w:rPr>
          <w:rFonts w:ascii="楷体" w:hAnsi="楷体" w:cs="楷体" w:eastAsia="楷体" w:hint="default"/>
          <w:sz w:val="15"/>
          <w:szCs w:val="15"/>
        </w:rPr>
        <w:t>万</w:t>
        <w:tab/>
      </w:r>
      <w:r>
        <w:rPr>
          <w:rFonts w:ascii="Times New Roman" w:hAnsi="Times New Roman" w:cs="Times New Roman" w:eastAsia="Times New Roman" w:hint="default"/>
          <w:spacing w:val="-1"/>
          <w:sz w:val="15"/>
          <w:szCs w:val="15"/>
        </w:rPr>
        <w:t>51.00%</w:t>
        <w:tab/>
      </w:r>
      <w:r>
        <w:rPr>
          <w:rFonts w:ascii="楷体" w:hAnsi="楷体" w:cs="楷体" w:eastAsia="楷体" w:hint="default"/>
          <w:position w:val="-9"/>
          <w:sz w:val="15"/>
          <w:szCs w:val="15"/>
        </w:rPr>
        <w:t>北布省</w:t>
      </w:r>
      <w:r>
        <w:rPr>
          <w:rFonts w:ascii="楷体" w:hAnsi="楷体" w:cs="楷体" w:eastAsia="楷体" w:hint="default"/>
          <w:sz w:val="15"/>
          <w:szCs w:val="15"/>
        </w:rPr>
      </w:r>
    </w:p>
    <w:p>
      <w:pPr>
        <w:tabs>
          <w:tab w:pos="3639" w:val="left" w:leader="none"/>
        </w:tabs>
        <w:spacing w:before="103"/>
        <w:ind w:left="238" w:right="0" w:firstLine="0"/>
        <w:jc w:val="left"/>
        <w:rPr>
          <w:rFonts w:ascii="楷体" w:hAnsi="楷体" w:cs="楷体" w:eastAsia="楷体" w:hint="default"/>
          <w:sz w:val="15"/>
          <w:szCs w:val="15"/>
        </w:rPr>
      </w:pPr>
      <w:r>
        <w:rPr/>
        <w:br w:type="column"/>
      </w:r>
      <w:r>
        <w:rPr>
          <w:rFonts w:ascii="楷体" w:hAnsi="楷体" w:cs="楷体" w:eastAsia="楷体" w:hint="default"/>
          <w:sz w:val="15"/>
          <w:szCs w:val="15"/>
        </w:rPr>
        <w:t>智能建筑控制产品及相关服务</w:t>
        <w:tab/>
        <w:t>是</w:t>
      </w:r>
    </w:p>
    <w:p>
      <w:pPr>
        <w:spacing w:after="0"/>
        <w:jc w:val="left"/>
        <w:rPr>
          <w:rFonts w:ascii="楷体" w:hAnsi="楷体" w:cs="楷体" w:eastAsia="楷体" w:hint="default"/>
          <w:sz w:val="15"/>
          <w:szCs w:val="15"/>
        </w:rPr>
        <w:sectPr>
          <w:type w:val="continuous"/>
          <w:pgSz w:w="11910" w:h="16840"/>
          <w:pgMar w:top="1600" w:bottom="280" w:left="720" w:right="600"/>
          <w:cols w:num="2" w:equalWidth="0">
            <w:col w:w="6460" w:space="74"/>
            <w:col w:w="4056"/>
          </w:cols>
        </w:sectPr>
      </w:pPr>
    </w:p>
    <w:p>
      <w:pPr>
        <w:tabs>
          <w:tab w:pos="3315" w:val="left" w:leader="none"/>
          <w:tab w:pos="10173" w:val="left" w:leader="none"/>
        </w:tabs>
        <w:spacing w:before="45"/>
        <w:ind w:left="238" w:right="0" w:firstLine="0"/>
        <w:jc w:val="both"/>
        <w:rPr>
          <w:rFonts w:ascii="楷体" w:hAnsi="楷体" w:cs="楷体" w:eastAsia="楷体" w:hint="default"/>
          <w:sz w:val="15"/>
          <w:szCs w:val="15"/>
        </w:rPr>
      </w:pPr>
      <w:r>
        <w:rPr>
          <w:rFonts w:ascii="楷体" w:hAnsi="楷体" w:cs="楷体" w:eastAsia="楷体" w:hint="default"/>
          <w:sz w:val="15"/>
          <w:szCs w:val="15"/>
        </w:rPr>
        <w:t>北京同方清芝商用机器有限公司</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2000.00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北京海淀  </w:t>
      </w:r>
      <w:r>
        <w:rPr>
          <w:rFonts w:ascii="楷体" w:hAnsi="楷体" w:cs="楷体" w:eastAsia="楷体" w:hint="default"/>
          <w:spacing w:val="24"/>
          <w:sz w:val="15"/>
          <w:szCs w:val="15"/>
        </w:rPr>
        <w:t> </w:t>
      </w:r>
      <w:r>
        <w:rPr>
          <w:rFonts w:ascii="楷体" w:hAnsi="楷体" w:cs="楷体" w:eastAsia="楷体" w:hint="default"/>
          <w:sz w:val="15"/>
          <w:szCs w:val="15"/>
        </w:rPr>
        <w:t>纸币清分机、点验钞机产品</w:t>
        <w:tab/>
        <w:t>是</w:t>
      </w:r>
    </w:p>
    <w:p>
      <w:pPr>
        <w:tabs>
          <w:tab w:pos="3315" w:val="left" w:leader="none"/>
          <w:tab w:pos="10173" w:val="left" w:leader="none"/>
        </w:tabs>
        <w:spacing w:before="76"/>
        <w:ind w:left="238" w:right="0" w:firstLine="0"/>
        <w:jc w:val="both"/>
        <w:rPr>
          <w:rFonts w:ascii="楷体" w:hAnsi="楷体" w:cs="楷体" w:eastAsia="楷体" w:hint="default"/>
          <w:sz w:val="15"/>
          <w:szCs w:val="15"/>
        </w:rPr>
      </w:pPr>
      <w:r>
        <w:rPr>
          <w:rFonts w:ascii="宋体" w:hAnsi="宋体" w:cs="宋体" w:eastAsia="宋体" w:hint="default"/>
          <w:sz w:val="15"/>
          <w:szCs w:val="15"/>
        </w:rPr>
        <w:t>THTF U.S.A.</w:t>
      </w:r>
      <w:r>
        <w:rPr>
          <w:rFonts w:ascii="宋体" w:hAnsi="宋体" w:cs="宋体" w:eastAsia="宋体" w:hint="default"/>
          <w:spacing w:val="69"/>
          <w:sz w:val="15"/>
          <w:szCs w:val="15"/>
        </w:rPr>
        <w:t> </w:t>
      </w:r>
      <w:r>
        <w:rPr>
          <w:rFonts w:ascii="宋体" w:hAnsi="宋体" w:cs="宋体" w:eastAsia="宋体" w:hint="default"/>
          <w:sz w:val="15"/>
          <w:szCs w:val="15"/>
        </w:rPr>
        <w:t>Inc.</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US$249.00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美国加州  </w:t>
      </w:r>
      <w:r>
        <w:rPr>
          <w:rFonts w:ascii="楷体" w:hAnsi="楷体" w:cs="楷体" w:eastAsia="楷体" w:hint="default"/>
          <w:spacing w:val="56"/>
          <w:sz w:val="15"/>
          <w:szCs w:val="15"/>
        </w:rPr>
        <w:t> </w:t>
      </w:r>
      <w:r>
        <w:rPr>
          <w:rFonts w:ascii="楷体" w:hAnsi="楷体" w:cs="楷体" w:eastAsia="楷体" w:hint="default"/>
          <w:sz w:val="15"/>
          <w:szCs w:val="15"/>
        </w:rPr>
        <w:t>计算机软件、数字通讯、电子产品等</w:t>
        <w:tab/>
        <w:t>是</w:t>
      </w:r>
    </w:p>
    <w:p>
      <w:pPr>
        <w:spacing w:line="148" w:lineRule="exact" w:before="33"/>
        <w:ind w:left="238" w:right="0" w:firstLine="0"/>
        <w:jc w:val="both"/>
        <w:rPr>
          <w:rFonts w:ascii="宋体" w:hAnsi="宋体" w:cs="宋体" w:eastAsia="宋体" w:hint="default"/>
          <w:sz w:val="15"/>
          <w:szCs w:val="15"/>
        </w:rPr>
      </w:pPr>
      <w:r>
        <w:rPr>
          <w:rFonts w:ascii="宋体"/>
          <w:sz w:val="15"/>
        </w:rPr>
        <w:t>TongFang Asia Pacific (R&amp;D Center)</w:t>
      </w:r>
      <w:r>
        <w:rPr>
          <w:rFonts w:ascii="宋体"/>
          <w:spacing w:val="-23"/>
          <w:sz w:val="15"/>
        </w:rPr>
        <w:t> </w:t>
      </w:r>
      <w:r>
        <w:rPr>
          <w:rFonts w:ascii="宋体"/>
          <w:sz w:val="15"/>
        </w:rPr>
        <w:t>Pte</w:t>
      </w:r>
    </w:p>
    <w:p>
      <w:pPr>
        <w:tabs>
          <w:tab w:pos="3315" w:val="left" w:leader="none"/>
          <w:tab w:pos="10173" w:val="left" w:leader="none"/>
        </w:tabs>
        <w:spacing w:line="248" w:lineRule="exact" w:before="0"/>
        <w:ind w:left="238" w:right="0" w:firstLine="0"/>
        <w:jc w:val="both"/>
        <w:rPr>
          <w:rFonts w:ascii="楷体" w:hAnsi="楷体" w:cs="楷体" w:eastAsia="楷体" w:hint="default"/>
          <w:sz w:val="15"/>
          <w:szCs w:val="15"/>
        </w:rPr>
      </w:pPr>
      <w:r>
        <w:rPr>
          <w:rFonts w:ascii="宋体" w:hAnsi="宋体" w:cs="宋体" w:eastAsia="宋体" w:hint="default"/>
          <w:spacing w:val="-1"/>
          <w:position w:val="-9"/>
          <w:sz w:val="15"/>
          <w:szCs w:val="15"/>
        </w:rPr>
        <w:t>Ltd.</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pacing w:val="-1"/>
          <w:sz w:val="15"/>
          <w:szCs w:val="15"/>
        </w:rPr>
        <w:t>US$300.00</w:t>
      </w:r>
      <w:r>
        <w:rPr>
          <w:rFonts w:ascii="Times New Roman" w:hAnsi="Times New Roman" w:cs="Times New Roman" w:eastAsia="Times New Roman" w:hint="default"/>
          <w:sz w:val="15"/>
          <w:szCs w:val="15"/>
        </w:rPr>
        <w:t> </w:t>
      </w:r>
      <w:r>
        <w:rPr>
          <w:rFonts w:ascii="楷体" w:hAnsi="楷体" w:cs="楷体" w:eastAsia="楷体" w:hint="default"/>
          <w:sz w:val="15"/>
          <w:szCs w:val="15"/>
        </w:rPr>
        <w:t>万   </w:t>
      </w:r>
      <w:r>
        <w:rPr>
          <w:rFonts w:ascii="Times New Roman" w:hAnsi="Times New Roman" w:cs="Times New Roman" w:eastAsia="Times New Roman" w:hint="default"/>
          <w:spacing w:val="-1"/>
          <w:sz w:val="15"/>
          <w:szCs w:val="15"/>
        </w:rPr>
        <w:t>100.00%</w:t>
      </w:r>
      <w:r>
        <w:rPr>
          <w:rFonts w:ascii="Times New Roman" w:hAnsi="Times New Roman" w:cs="Times New Roman" w:eastAsia="Times New Roman" w:hint="default"/>
          <w:sz w:val="15"/>
          <w:szCs w:val="15"/>
        </w:rPr>
        <w:t>        </w:t>
      </w:r>
      <w:r>
        <w:rPr>
          <w:rFonts w:ascii="楷体" w:hAnsi="楷体" w:cs="楷体" w:eastAsia="楷体" w:hint="default"/>
          <w:sz w:val="15"/>
          <w:szCs w:val="15"/>
        </w:rPr>
        <w:t>新加坡   </w:t>
      </w:r>
      <w:r>
        <w:rPr>
          <w:rFonts w:ascii="楷体" w:hAnsi="楷体" w:cs="楷体" w:eastAsia="楷体" w:hint="default"/>
          <w:spacing w:val="72"/>
          <w:sz w:val="15"/>
          <w:szCs w:val="15"/>
        </w:rPr>
        <w:t> </w:t>
      </w:r>
      <w:r>
        <w:rPr>
          <w:rFonts w:ascii="楷体" w:hAnsi="楷体" w:cs="楷体" w:eastAsia="楷体" w:hint="default"/>
          <w:sz w:val="15"/>
          <w:szCs w:val="15"/>
        </w:rPr>
        <w:t>智能建筑工程技术研发</w:t>
        <w:tab/>
        <w:t>是</w:t>
      </w:r>
    </w:p>
    <w:p>
      <w:pPr>
        <w:tabs>
          <w:tab w:pos="3315" w:val="left" w:leader="none"/>
          <w:tab w:pos="10173" w:val="left" w:leader="none"/>
        </w:tabs>
        <w:spacing w:line="328" w:lineRule="auto" w:before="47"/>
        <w:ind w:left="238" w:right="258" w:firstLine="0"/>
        <w:jc w:val="both"/>
        <w:rPr>
          <w:rFonts w:ascii="楷体" w:hAnsi="楷体" w:cs="楷体" w:eastAsia="楷体" w:hint="default"/>
          <w:sz w:val="15"/>
          <w:szCs w:val="15"/>
        </w:rPr>
      </w:pPr>
      <w:r>
        <w:rPr>
          <w:rFonts w:ascii="楷体" w:hAnsi="楷体" w:cs="楷体" w:eastAsia="楷体" w:hint="default"/>
          <w:sz w:val="15"/>
          <w:szCs w:val="15"/>
        </w:rPr>
        <w:t>北京同方信息安全技术股份有限公司         </w:t>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3375.00 </w:t>
      </w:r>
      <w:r>
        <w:rPr>
          <w:rFonts w:ascii="楷体" w:hAnsi="楷体" w:cs="楷体" w:eastAsia="楷体" w:hint="default"/>
          <w:sz w:val="15"/>
          <w:szCs w:val="15"/>
        </w:rPr>
        <w:t>万    </w:t>
      </w:r>
      <w:r>
        <w:rPr>
          <w:rFonts w:ascii="Times New Roman" w:hAnsi="Times New Roman" w:cs="Times New Roman" w:eastAsia="Times New Roman" w:hint="default"/>
          <w:sz w:val="15"/>
          <w:szCs w:val="15"/>
        </w:rPr>
        <w:t>51.79%      </w:t>
      </w:r>
      <w:r>
        <w:rPr>
          <w:rFonts w:ascii="楷体" w:hAnsi="楷体" w:cs="楷体" w:eastAsia="楷体" w:hint="default"/>
          <w:sz w:val="15"/>
          <w:szCs w:val="15"/>
        </w:rPr>
        <w:t>北京海淀  </w:t>
      </w:r>
      <w:r>
        <w:rPr>
          <w:rFonts w:ascii="楷体" w:hAnsi="楷体" w:cs="楷体" w:eastAsia="楷体" w:hint="default"/>
          <w:spacing w:val="25"/>
          <w:sz w:val="15"/>
          <w:szCs w:val="15"/>
        </w:rPr>
        <w:t> </w:t>
      </w:r>
      <w:r>
        <w:rPr>
          <w:rFonts w:ascii="楷体" w:hAnsi="楷体" w:cs="楷体" w:eastAsia="楷体" w:hint="default"/>
          <w:sz w:val="15"/>
          <w:szCs w:val="15"/>
        </w:rPr>
        <w:t>网络安全产品和技术服务</w:t>
        <w:tab/>
        <w:t>是</w:t>
      </w:r>
      <w:r>
        <w:rPr>
          <w:rFonts w:ascii="楷体" w:hAnsi="楷体" w:cs="楷体" w:eastAsia="楷体" w:hint="default"/>
          <w:sz w:val="15"/>
          <w:szCs w:val="15"/>
        </w:rPr>
        <w:t> 同方锐安科技有限公司</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6000.00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北京海淀  </w:t>
      </w:r>
      <w:r>
        <w:rPr>
          <w:rFonts w:ascii="楷体" w:hAnsi="楷体" w:cs="楷体" w:eastAsia="楷体" w:hint="default"/>
          <w:spacing w:val="24"/>
          <w:sz w:val="15"/>
          <w:szCs w:val="15"/>
        </w:rPr>
        <w:t> </w:t>
      </w:r>
      <w:r>
        <w:rPr>
          <w:rFonts w:ascii="楷体" w:hAnsi="楷体" w:cs="楷体" w:eastAsia="楷体" w:hint="default"/>
          <w:sz w:val="15"/>
          <w:szCs w:val="15"/>
        </w:rPr>
        <w:t>卡基存储、射频识别技术与应用</w:t>
        <w:tab/>
        <w:t>是</w:t>
      </w:r>
      <w:r>
        <w:rPr>
          <w:rFonts w:ascii="楷体" w:hAnsi="楷体" w:cs="楷体" w:eastAsia="楷体" w:hint="default"/>
          <w:sz w:val="15"/>
          <w:szCs w:val="15"/>
        </w:rPr>
        <w:t> 北京同方软件股份有限公司</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5000.00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74.00%      </w:t>
      </w:r>
      <w:r>
        <w:rPr>
          <w:rFonts w:ascii="楷体" w:hAnsi="楷体" w:cs="楷体" w:eastAsia="楷体" w:hint="default"/>
          <w:sz w:val="15"/>
          <w:szCs w:val="15"/>
        </w:rPr>
        <w:t>北京海淀   系统、应用、支撑和过程控制软件及相关硬件    </w:t>
      </w:r>
      <w:r>
        <w:rPr>
          <w:rFonts w:ascii="楷体" w:hAnsi="楷体" w:cs="楷体" w:eastAsia="楷体" w:hint="default"/>
          <w:spacing w:val="49"/>
          <w:sz w:val="15"/>
          <w:szCs w:val="15"/>
        </w:rPr>
        <w:t> </w:t>
      </w:r>
      <w:r>
        <w:rPr>
          <w:rFonts w:ascii="楷体" w:hAnsi="楷体" w:cs="楷体" w:eastAsia="楷体" w:hint="default"/>
          <w:sz w:val="15"/>
          <w:szCs w:val="15"/>
        </w:rPr>
        <w:t>是</w:t>
      </w:r>
      <w:r>
        <w:rPr>
          <w:rFonts w:ascii="楷体" w:hAnsi="楷体" w:cs="楷体" w:eastAsia="楷体" w:hint="default"/>
          <w:sz w:val="15"/>
          <w:szCs w:val="15"/>
        </w:rPr>
        <w:t> 吉林同方实业发展有限公司</w:t>
        <w:tab/>
      </w:r>
      <w:r>
        <w:rPr>
          <w:rFonts w:ascii="Times New Roman" w:hAnsi="Times New Roman" w:cs="Times New Roman" w:eastAsia="Times New Roman" w:hint="default"/>
          <w:sz w:val="15"/>
          <w:szCs w:val="15"/>
        </w:rPr>
        <w:t>2 </w:t>
      </w:r>
      <w:r>
        <w:rPr>
          <w:rFonts w:ascii="楷体" w:hAnsi="楷体" w:cs="楷体" w:eastAsia="楷体" w:hint="default"/>
          <w:sz w:val="15"/>
          <w:szCs w:val="15"/>
        </w:rPr>
        <w:t>级       ￥</w:t>
      </w:r>
      <w:r>
        <w:rPr>
          <w:rFonts w:ascii="Times New Roman" w:hAnsi="Times New Roman" w:cs="Times New Roman" w:eastAsia="Times New Roman" w:hint="default"/>
          <w:sz w:val="15"/>
          <w:szCs w:val="15"/>
        </w:rPr>
        <w:t>1000.00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80.00%      </w:t>
      </w:r>
      <w:r>
        <w:rPr>
          <w:rFonts w:ascii="楷体" w:hAnsi="楷体" w:cs="楷体" w:eastAsia="楷体" w:hint="default"/>
          <w:sz w:val="15"/>
          <w:szCs w:val="15"/>
        </w:rPr>
        <w:t>北京海淀   计算机及信息技术，软件开发与系统集成        </w:t>
      </w:r>
      <w:r>
        <w:rPr>
          <w:rFonts w:ascii="楷体" w:hAnsi="楷体" w:cs="楷体" w:eastAsia="楷体" w:hint="default"/>
          <w:spacing w:val="49"/>
          <w:sz w:val="15"/>
          <w:szCs w:val="15"/>
        </w:rPr>
        <w:t> </w:t>
      </w:r>
      <w:r>
        <w:rPr>
          <w:rFonts w:ascii="楷体" w:hAnsi="楷体" w:cs="楷体" w:eastAsia="楷体" w:hint="default"/>
          <w:sz w:val="15"/>
          <w:szCs w:val="15"/>
        </w:rPr>
        <w:t>是</w:t>
      </w:r>
      <w:r>
        <w:rPr>
          <w:rFonts w:ascii="楷体" w:hAnsi="楷体" w:cs="楷体" w:eastAsia="楷体" w:hint="default"/>
          <w:sz w:val="15"/>
          <w:szCs w:val="15"/>
        </w:rPr>
        <w:t> 同方光盘股份有限公司</w:t>
        <w:tab/>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9800.00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北京海淀   存储软件、数据库、电子出版物、光盘电子产品  </w:t>
      </w:r>
      <w:r>
        <w:rPr>
          <w:rFonts w:ascii="楷体" w:hAnsi="楷体" w:cs="楷体" w:eastAsia="楷体" w:hint="default"/>
          <w:spacing w:val="49"/>
          <w:sz w:val="15"/>
          <w:szCs w:val="15"/>
        </w:rPr>
        <w:t> </w:t>
      </w:r>
      <w:r>
        <w:rPr>
          <w:rFonts w:ascii="楷体" w:hAnsi="楷体" w:cs="楷体" w:eastAsia="楷体" w:hint="default"/>
          <w:sz w:val="15"/>
          <w:szCs w:val="15"/>
        </w:rPr>
        <w:t>是</w:t>
      </w:r>
      <w:r>
        <w:rPr>
          <w:rFonts w:ascii="楷体" w:hAnsi="楷体" w:cs="楷体" w:eastAsia="楷体" w:hint="default"/>
          <w:sz w:val="15"/>
          <w:szCs w:val="15"/>
        </w:rPr>
        <w:t> 中国学术期刊（光盘版）电子杂志社         </w:t>
      </w:r>
      <w:r>
        <w:rPr>
          <w:rFonts w:ascii="Times New Roman" w:hAnsi="Times New Roman" w:cs="Times New Roman" w:eastAsia="Times New Roman" w:hint="default"/>
          <w:sz w:val="15"/>
          <w:szCs w:val="15"/>
        </w:rPr>
        <w:t>1 </w:t>
      </w:r>
      <w:r>
        <w:rPr>
          <w:rFonts w:ascii="楷体" w:hAnsi="楷体" w:cs="楷体" w:eastAsia="楷体" w:hint="default"/>
          <w:sz w:val="15"/>
          <w:szCs w:val="15"/>
        </w:rPr>
        <w:t>级        ￥</w:t>
      </w:r>
      <w:r>
        <w:rPr>
          <w:rFonts w:ascii="Times New Roman" w:hAnsi="Times New Roman" w:cs="Times New Roman" w:eastAsia="Times New Roman" w:hint="default"/>
          <w:sz w:val="15"/>
          <w:szCs w:val="15"/>
        </w:rPr>
        <w:t>100.00 </w:t>
      </w:r>
      <w:r>
        <w:rPr>
          <w:rFonts w:ascii="楷体" w:hAnsi="楷体" w:cs="楷体" w:eastAsia="楷体" w:hint="default"/>
          <w:sz w:val="15"/>
          <w:szCs w:val="15"/>
        </w:rPr>
        <w:t>万   </w:t>
      </w:r>
      <w:r>
        <w:rPr>
          <w:rFonts w:ascii="Times New Roman" w:hAnsi="Times New Roman" w:cs="Times New Roman" w:eastAsia="Times New Roman" w:hint="default"/>
          <w:sz w:val="15"/>
          <w:szCs w:val="15"/>
        </w:rPr>
        <w:t>100.00%      </w:t>
      </w:r>
      <w:r>
        <w:rPr>
          <w:rFonts w:ascii="楷体" w:hAnsi="楷体" w:cs="楷体" w:eastAsia="楷体" w:hint="default"/>
          <w:sz w:val="15"/>
          <w:szCs w:val="15"/>
        </w:rPr>
        <w:t>北京海淀  </w:t>
      </w:r>
      <w:r>
        <w:rPr>
          <w:rFonts w:ascii="楷体" w:hAnsi="楷体" w:cs="楷体" w:eastAsia="楷体" w:hint="default"/>
          <w:spacing w:val="25"/>
          <w:sz w:val="15"/>
          <w:szCs w:val="15"/>
        </w:rPr>
        <w:t> </w:t>
      </w:r>
      <w:r>
        <w:rPr>
          <w:rFonts w:ascii="楷体" w:hAnsi="楷体" w:cs="楷体" w:eastAsia="楷体" w:hint="default"/>
          <w:sz w:val="15"/>
          <w:szCs w:val="15"/>
        </w:rPr>
        <w:t>电子学术期刊的编辑、出版、发行</w:t>
        <w:tab/>
        <w:t>是</w:t>
      </w:r>
    </w:p>
    <w:p>
      <w:pPr>
        <w:spacing w:line="30" w:lineRule="exact"/>
        <w:ind w:left="101" w:right="0" w:firstLine="0"/>
        <w:rPr>
          <w:rFonts w:ascii="楷体" w:hAnsi="楷体" w:cs="楷体" w:eastAsia="楷体" w:hint="default"/>
          <w:sz w:val="3"/>
          <w:szCs w:val="3"/>
        </w:rPr>
      </w:pPr>
      <w:r>
        <w:rPr>
          <w:rFonts w:ascii="楷体" w:hAnsi="楷体" w:cs="楷体" w:eastAsia="楷体" w:hint="default"/>
          <w:position w:val="0"/>
          <w:sz w:val="3"/>
          <w:szCs w:val="3"/>
        </w:rPr>
        <w:pict>
          <v:group style="width:519pt;height:1.5pt;mso-position-horizontal-relative:char;mso-position-vertical-relative:line" coordorigin="0,0" coordsize="10380,30">
            <v:group style="position:absolute;left:15;top:15;width:3076;height:2" coordorigin="15,15" coordsize="3076,2">
              <v:shape style="position:absolute;left:15;top:15;width:3076;height:2" coordorigin="15,15" coordsize="3076,0" path="m15,15l3091,15e" filled="false" stroked="true" strokeweight="1.5pt" strokecolor="#000000">
                <v:path arrowok="t"/>
              </v:shape>
            </v:group>
            <v:group style="position:absolute;left:3076;top:15;width:526;height:2" coordorigin="3076,15" coordsize="526,2">
              <v:shape style="position:absolute;left:3076;top:15;width:526;height:2" coordorigin="3076,15" coordsize="526,0" path="m3076,15l3602,15e" filled="false" stroked="true" strokeweight="1.5pt" strokecolor="#000000">
                <v:path arrowok="t"/>
              </v:shape>
            </v:group>
            <v:group style="position:absolute;left:3587;top:15;width:1328;height:2" coordorigin="3587,15" coordsize="1328,2">
              <v:shape style="position:absolute;left:3587;top:15;width:1328;height:2" coordorigin="3587,15" coordsize="1328,0" path="m3587,15l4915,15e" filled="false" stroked="true" strokeweight="1.5pt" strokecolor="#000000">
                <v:path arrowok="t"/>
              </v:shape>
            </v:group>
            <v:group style="position:absolute;left:4900;top:15;width:806;height:2" coordorigin="4900,15" coordsize="806,2">
              <v:shape style="position:absolute;left:4900;top:15;width:806;height:2" coordorigin="4900,15" coordsize="806,0" path="m4900,15l5705,15e" filled="false" stroked="true" strokeweight="1.5pt" strokecolor="#000000">
                <v:path arrowok="t"/>
              </v:shape>
            </v:group>
            <v:group style="position:absolute;left:5691;top:15;width:30;height:2" coordorigin="5691,15" coordsize="30,2">
              <v:shape style="position:absolute;left:5691;top:15;width:30;height:2" coordorigin="5691,15" coordsize="30,0" path="m5691,15l5721,15e" filled="false" stroked="true" strokeweight="1.5pt" strokecolor="#000000">
                <v:path arrowok="t"/>
              </v:shape>
            </v:group>
            <v:group style="position:absolute;left:5721;top:15;width:843;height:2" coordorigin="5721,15" coordsize="843,2">
              <v:shape style="position:absolute;left:5721;top:15;width:843;height:2" coordorigin="5721,15" coordsize="843,0" path="m5721,15l6563,15e" filled="false" stroked="true" strokeweight="1.5pt" strokecolor="#000000">
                <v:path arrowok="t"/>
              </v:shape>
            </v:group>
            <v:group style="position:absolute;left:6549;top:15;width:3382;height:2" coordorigin="6549,15" coordsize="3382,2">
              <v:shape style="position:absolute;left:6549;top:15;width:3382;height:2" coordorigin="6549,15" coordsize="3382,0" path="m6549,15l9931,15e" filled="false" stroked="true" strokeweight="1.5pt" strokecolor="#000000">
                <v:path arrowok="t"/>
              </v:shape>
            </v:group>
            <v:group style="position:absolute;left:9916;top:15;width:449;height:2" coordorigin="9916,15" coordsize="449,2">
              <v:shape style="position:absolute;left:9916;top:15;width:449;height:2" coordorigin="9916,15" coordsize="449,0" path="m9916,15l10365,15e" filled="false" stroked="true" strokeweight="1.5pt" strokecolor="#000000">
                <v:path arrowok="t"/>
              </v:shape>
            </v:group>
          </v:group>
        </w:pict>
      </w:r>
      <w:r>
        <w:rPr>
          <w:rFonts w:ascii="楷体" w:hAnsi="楷体" w:cs="楷体" w:eastAsia="楷体" w:hint="default"/>
          <w:position w:val="0"/>
          <w:sz w:val="3"/>
          <w:szCs w:val="3"/>
        </w:rPr>
      </w:r>
    </w:p>
    <w:p>
      <w:pPr>
        <w:spacing w:after="0" w:line="30" w:lineRule="exact"/>
        <w:rPr>
          <w:rFonts w:ascii="楷体" w:hAnsi="楷体" w:cs="楷体" w:eastAsia="楷体" w:hint="default"/>
          <w:sz w:val="3"/>
          <w:szCs w:val="3"/>
        </w:rPr>
        <w:sectPr>
          <w:type w:val="continuous"/>
          <w:pgSz w:w="11910" w:h="16840"/>
          <w:pgMar w:top="1600" w:bottom="280" w:left="720" w:right="600"/>
        </w:sectPr>
      </w:pPr>
    </w:p>
    <w:p>
      <w:pPr>
        <w:tabs>
          <w:tab w:pos="3373" w:val="left" w:leader="none"/>
        </w:tabs>
        <w:spacing w:line="297" w:lineRule="exact" w:before="0"/>
        <w:ind w:left="1358" w:right="-20" w:firstLine="0"/>
        <w:jc w:val="left"/>
        <w:rPr>
          <w:rFonts w:ascii="Microsoft JhengHei" w:hAnsi="Microsoft JhengHei" w:cs="Microsoft JhengHei" w:eastAsia="Microsoft JhengHei" w:hint="default"/>
          <w:sz w:val="15"/>
          <w:szCs w:val="15"/>
        </w:rPr>
      </w:pPr>
      <w:r>
        <w:rPr/>
        <w:pict>
          <v:shape style="position:absolute;margin-left:42.540001pt;margin-top:11.494388pt;width:516.4500pt;height:195.8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4"/>
                    <w:gridCol w:w="744"/>
                    <w:gridCol w:w="1274"/>
                    <w:gridCol w:w="784"/>
                    <w:gridCol w:w="837"/>
                    <w:gridCol w:w="3365"/>
                    <w:gridCol w:w="440"/>
                  </w:tblGrid>
                  <w:tr>
                    <w:trPr>
                      <w:trHeight w:val="175" w:hRule="exact"/>
                    </w:trPr>
                    <w:tc>
                      <w:tcPr>
                        <w:tcW w:w="2884" w:type="dxa"/>
                        <w:tcBorders>
                          <w:top w:val="nil" w:sz="6" w:space="0" w:color="auto"/>
                          <w:left w:val="nil" w:sz="6" w:space="0" w:color="auto"/>
                          <w:bottom w:val="single" w:sz="4" w:space="0" w:color="000000"/>
                          <w:right w:val="nil" w:sz="6" w:space="0" w:color="auto"/>
                        </w:tcBorders>
                      </w:tcPr>
                      <w:p>
                        <w:pPr/>
                      </w:p>
                    </w:tc>
                    <w:tc>
                      <w:tcPr>
                        <w:tcW w:w="744" w:type="dxa"/>
                        <w:tcBorders>
                          <w:top w:val="nil" w:sz="6" w:space="0" w:color="auto"/>
                          <w:left w:val="nil" w:sz="6" w:space="0" w:color="auto"/>
                          <w:bottom w:val="single" w:sz="4" w:space="0" w:color="000000"/>
                          <w:right w:val="nil" w:sz="6" w:space="0" w:color="auto"/>
                        </w:tcBorders>
                      </w:tcPr>
                      <w:p>
                        <w:pPr>
                          <w:pStyle w:val="TableParagraph"/>
                          <w:spacing w:line="167" w:lineRule="exact"/>
                          <w:ind w:left="120"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次</w:t>
                        </w:r>
                        <w:r>
                          <w:rPr>
                            <w:rFonts w:ascii="Microsoft JhengHei" w:hAnsi="Microsoft JhengHei" w:cs="Microsoft JhengHei" w:eastAsia="Microsoft JhengHei" w:hint="default"/>
                            <w:sz w:val="15"/>
                            <w:szCs w:val="15"/>
                          </w:rPr>
                        </w:r>
                      </w:p>
                    </w:tc>
                    <w:tc>
                      <w:tcPr>
                        <w:tcW w:w="1274" w:type="dxa"/>
                        <w:tcBorders>
                          <w:top w:val="nil" w:sz="6" w:space="0" w:color="auto"/>
                          <w:left w:val="nil" w:sz="6" w:space="0" w:color="auto"/>
                          <w:bottom w:val="single" w:sz="4" w:space="0" w:color="000000"/>
                          <w:right w:val="nil" w:sz="6" w:space="0" w:color="auto"/>
                        </w:tcBorders>
                      </w:tcPr>
                      <w:p>
                        <w:pPr/>
                      </w:p>
                    </w:tc>
                    <w:tc>
                      <w:tcPr>
                        <w:tcW w:w="784" w:type="dxa"/>
                        <w:tcBorders>
                          <w:top w:val="nil" w:sz="6" w:space="0" w:color="auto"/>
                          <w:left w:val="nil" w:sz="6" w:space="0" w:color="auto"/>
                          <w:bottom w:val="single" w:sz="4" w:space="0" w:color="000000"/>
                          <w:right w:val="nil" w:sz="6" w:space="0" w:color="auto"/>
                        </w:tcBorders>
                      </w:tcPr>
                      <w:p>
                        <w:pPr>
                          <w:pStyle w:val="TableParagraph"/>
                          <w:spacing w:line="167" w:lineRule="exact"/>
                          <w:ind w:left="226"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837" w:type="dxa"/>
                        <w:tcBorders>
                          <w:top w:val="nil" w:sz="6" w:space="0" w:color="auto"/>
                          <w:left w:val="nil" w:sz="6" w:space="0" w:color="auto"/>
                          <w:bottom w:val="single" w:sz="4" w:space="0" w:color="000000"/>
                          <w:right w:val="nil" w:sz="6" w:space="0" w:color="auto"/>
                        </w:tcBorders>
                      </w:tcPr>
                      <w:p>
                        <w:pPr/>
                      </w:p>
                    </w:tc>
                    <w:tc>
                      <w:tcPr>
                        <w:tcW w:w="3365" w:type="dxa"/>
                        <w:tcBorders>
                          <w:top w:val="nil" w:sz="6" w:space="0" w:color="auto"/>
                          <w:left w:val="nil" w:sz="6" w:space="0" w:color="auto"/>
                          <w:bottom w:val="single" w:sz="4" w:space="0" w:color="000000"/>
                          <w:right w:val="nil" w:sz="6" w:space="0" w:color="auto"/>
                        </w:tcBorders>
                      </w:tcPr>
                      <w:p>
                        <w:pPr/>
                      </w:p>
                    </w:tc>
                    <w:tc>
                      <w:tcPr>
                        <w:tcW w:w="440" w:type="dxa"/>
                        <w:tcBorders>
                          <w:top w:val="nil" w:sz="6" w:space="0" w:color="auto"/>
                          <w:left w:val="nil" w:sz="6" w:space="0" w:color="auto"/>
                          <w:bottom w:val="single" w:sz="4" w:space="0" w:color="000000"/>
                          <w:right w:val="nil" w:sz="6" w:space="0" w:color="auto"/>
                        </w:tcBorders>
                      </w:tcPr>
                      <w:p>
                        <w:pPr>
                          <w:pStyle w:val="TableParagraph"/>
                          <w:spacing w:line="167" w:lineRule="exact"/>
                          <w:ind w:left="19" w:right="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并</w:t>
                        </w:r>
                        <w:r>
                          <w:rPr>
                            <w:rFonts w:ascii="Microsoft JhengHei" w:hAnsi="Microsoft JhengHei" w:cs="Microsoft JhengHei" w:eastAsia="Microsoft JhengHei" w:hint="default"/>
                            <w:sz w:val="15"/>
                            <w:szCs w:val="15"/>
                          </w:rPr>
                        </w:r>
                      </w:p>
                    </w:tc>
                  </w:tr>
                  <w:tr>
                    <w:trPr>
                      <w:trHeight w:val="299" w:hRule="exact"/>
                    </w:trPr>
                    <w:tc>
                      <w:tcPr>
                        <w:tcW w:w="288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7" w:right="0"/>
                          <w:jc w:val="left"/>
                          <w:rPr>
                            <w:rFonts w:ascii="楷体" w:hAnsi="楷体" w:cs="楷体" w:eastAsia="楷体" w:hint="default"/>
                            <w:sz w:val="15"/>
                            <w:szCs w:val="15"/>
                          </w:rPr>
                        </w:pPr>
                        <w:r>
                          <w:rPr>
                            <w:rFonts w:ascii="楷体" w:hAnsi="楷体" w:cs="楷体" w:eastAsia="楷体" w:hint="default"/>
                            <w:sz w:val="15"/>
                            <w:szCs w:val="15"/>
                          </w:rPr>
                          <w:t>沈阳同方多媒体科技有限公司</w:t>
                        </w:r>
                      </w:p>
                    </w:tc>
                    <w:tc>
                      <w:tcPr>
                        <w:tcW w:w="74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31800.00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0"/>
                          <w:jc w:val="center"/>
                          <w:rPr>
                            <w:rFonts w:ascii="楷体" w:hAnsi="楷体" w:cs="楷体" w:eastAsia="楷体" w:hint="default"/>
                            <w:sz w:val="15"/>
                            <w:szCs w:val="15"/>
                          </w:rPr>
                        </w:pPr>
                        <w:r>
                          <w:rPr>
                            <w:rFonts w:ascii="楷体" w:hAnsi="楷体" w:cs="楷体" w:eastAsia="楷体" w:hint="default"/>
                            <w:sz w:val="15"/>
                            <w:szCs w:val="15"/>
                          </w:rPr>
                          <w:t>辽宁沈阳</w:t>
                        </w:r>
                      </w:p>
                    </w:tc>
                    <w:tc>
                      <w:tcPr>
                        <w:tcW w:w="336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18" w:right="0"/>
                          <w:jc w:val="left"/>
                          <w:rPr>
                            <w:rFonts w:ascii="楷体" w:hAnsi="楷体" w:cs="楷体" w:eastAsia="楷体" w:hint="default"/>
                            <w:sz w:val="15"/>
                            <w:szCs w:val="15"/>
                          </w:rPr>
                        </w:pPr>
                        <w:r>
                          <w:rPr>
                            <w:rFonts w:ascii="楷体" w:hAnsi="楷体" w:cs="楷体" w:eastAsia="楷体" w:hint="default"/>
                            <w:sz w:val="15"/>
                            <w:szCs w:val="15"/>
                          </w:rPr>
                          <w:t>数字电视及数字音视频产品</w:t>
                        </w:r>
                      </w:p>
                    </w:tc>
                    <w:tc>
                      <w:tcPr>
                        <w:tcW w:w="44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楷体" w:hAnsi="楷体" w:cs="楷体" w:eastAsia="楷体" w:hint="default"/>
                            <w:sz w:val="15"/>
                            <w:szCs w:val="15"/>
                          </w:rPr>
                        </w:pPr>
                        <w:r>
                          <w:rPr>
                            <w:rFonts w:ascii="楷体" w:hAnsi="楷体" w:cs="楷体" w:eastAsia="楷体" w:hint="default"/>
                            <w:sz w:val="15"/>
                            <w:szCs w:val="15"/>
                          </w:rPr>
                          <w:t>深圳市同方多媒体科技有限公司</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6500.00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广东深圳</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数字音</w:t>
                        </w:r>
                        <w:r>
                          <w:rPr>
                            <w:rFonts w:ascii="Times New Roman" w:hAnsi="Times New Roman" w:cs="Times New Roman" w:eastAsia="Times New Roman" w:hint="default"/>
                            <w:sz w:val="15"/>
                            <w:szCs w:val="15"/>
                          </w:rPr>
                          <w:t>/</w:t>
                        </w:r>
                        <w:r>
                          <w:rPr>
                            <w:rFonts w:ascii="楷体" w:hAnsi="楷体" w:cs="楷体" w:eastAsia="楷体" w:hint="default"/>
                            <w:sz w:val="15"/>
                            <w:szCs w:val="15"/>
                          </w:rPr>
                          <w:t>视频和信息产业技术及产品</w:t>
                        </w: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楷体" w:hAnsi="楷体" w:cs="楷体" w:eastAsia="楷体" w:hint="default"/>
                            <w:sz w:val="15"/>
                            <w:szCs w:val="15"/>
                          </w:rPr>
                        </w:pPr>
                        <w:r>
                          <w:rPr>
                            <w:rFonts w:ascii="楷体" w:hAnsi="楷体" w:cs="楷体" w:eastAsia="楷体" w:hint="default"/>
                            <w:sz w:val="15"/>
                            <w:szCs w:val="15"/>
                          </w:rPr>
                          <w:t>沈阳同方科技园有限公司</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13000.00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辽宁沈阳</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科技园区及配套设施的开发管理</w:t>
                        </w: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楷体" w:hAnsi="楷体" w:cs="楷体" w:eastAsia="楷体" w:hint="default"/>
                            <w:sz w:val="15"/>
                            <w:szCs w:val="15"/>
                          </w:rPr>
                        </w:pPr>
                        <w:r>
                          <w:rPr>
                            <w:rFonts w:ascii="楷体" w:hAnsi="楷体" w:cs="楷体" w:eastAsia="楷体" w:hint="default"/>
                            <w:sz w:val="15"/>
                            <w:szCs w:val="15"/>
                          </w:rPr>
                          <w:t>北京同方凌讯科技有限公司</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20000.00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93.10%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微电子集成电路、广播电视、信息家电产品</w:t>
                        </w: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楷体" w:hAnsi="楷体" w:cs="楷体" w:eastAsia="楷体" w:hint="default"/>
                            <w:sz w:val="15"/>
                            <w:szCs w:val="15"/>
                          </w:rPr>
                        </w:pPr>
                        <w:r>
                          <w:rPr>
                            <w:rFonts w:ascii="楷体" w:hAnsi="楷体" w:cs="楷体" w:eastAsia="楷体" w:hint="default"/>
                            <w:sz w:val="15"/>
                            <w:szCs w:val="15"/>
                          </w:rPr>
                          <w:t>北京同方吉兆科技有限公司</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7000.00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广播电视发射、通信信道和工业控制设备</w:t>
                        </w: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楷体" w:hAnsi="楷体" w:cs="楷体" w:eastAsia="楷体" w:hint="default"/>
                            <w:sz w:val="15"/>
                            <w:szCs w:val="15"/>
                          </w:rPr>
                        </w:pPr>
                        <w:r>
                          <w:rPr>
                            <w:rFonts w:ascii="楷体" w:hAnsi="楷体" w:cs="楷体" w:eastAsia="楷体" w:hint="default"/>
                            <w:sz w:val="15"/>
                            <w:szCs w:val="15"/>
                          </w:rPr>
                          <w:t>鞍山吉兆电子有限公司</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600.00</w:t>
                        </w:r>
                        <w:r>
                          <w:rPr>
                            <w:rFonts w:ascii="Times New Roman" w:hAnsi="Times New Roman" w:cs="Times New Roman" w:eastAsia="Times New Roman" w:hint="default"/>
                            <w:spacing w:val="-3"/>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广播电视发射和差转设备</w:t>
                        </w: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楷体" w:hAnsi="楷体" w:cs="楷体" w:eastAsia="楷体" w:hint="default"/>
                            <w:sz w:val="15"/>
                            <w:szCs w:val="15"/>
                          </w:rPr>
                        </w:pPr>
                        <w:r>
                          <w:rPr>
                            <w:rFonts w:ascii="楷体" w:hAnsi="楷体" w:cs="楷体" w:eastAsia="楷体" w:hint="default"/>
                            <w:sz w:val="15"/>
                            <w:szCs w:val="15"/>
                          </w:rPr>
                          <w:t>北京同方电子商务有限公司</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17125.00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电子商务项目投资</w:t>
                        </w: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楷体" w:hAnsi="楷体" w:cs="楷体" w:eastAsia="楷体" w:hint="default"/>
                            <w:sz w:val="15"/>
                            <w:szCs w:val="15"/>
                          </w:rPr>
                        </w:pPr>
                        <w:r>
                          <w:rPr>
                            <w:rFonts w:ascii="楷体" w:hAnsi="楷体" w:cs="楷体" w:eastAsia="楷体" w:hint="default"/>
                            <w:sz w:val="15"/>
                            <w:szCs w:val="15"/>
                          </w:rPr>
                          <w:t>中体同方体育科技有限公司</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4144.00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体育科技产品、体育竞赛管理系统</w:t>
                        </w: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楷体" w:hAnsi="楷体" w:cs="楷体" w:eastAsia="楷体" w:hint="default"/>
                            <w:sz w:val="15"/>
                            <w:szCs w:val="15"/>
                          </w:rPr>
                        </w:pPr>
                        <w:r>
                          <w:rPr>
                            <w:rFonts w:ascii="楷体" w:hAnsi="楷体" w:cs="楷体" w:eastAsia="楷体" w:hint="default"/>
                            <w:sz w:val="15"/>
                            <w:szCs w:val="15"/>
                          </w:rPr>
                          <w:t>同方鼎欣信息技术有限公司</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5000.00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计算机软硬件产品、应用服务</w:t>
                        </w: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宋体" w:hAnsi="宋体" w:cs="宋体" w:eastAsia="宋体" w:hint="default"/>
                            <w:sz w:val="15"/>
                            <w:szCs w:val="15"/>
                          </w:rPr>
                        </w:pPr>
                        <w:r>
                          <w:rPr>
                            <w:rFonts w:ascii="宋体"/>
                            <w:sz w:val="15"/>
                          </w:rPr>
                          <w:t>Nihon Seikaoho Software Co.,</w:t>
                        </w:r>
                        <w:r>
                          <w:rPr>
                            <w:rFonts w:ascii="宋体"/>
                            <w:spacing w:val="-12"/>
                            <w:sz w:val="15"/>
                          </w:rPr>
                          <w:t> </w:t>
                        </w:r>
                        <w:r>
                          <w:rPr>
                            <w:rFonts w:ascii="宋体"/>
                            <w:sz w:val="15"/>
                          </w:rPr>
                          <w:t>Ltd.</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2 </w:t>
                        </w:r>
                        <w:r>
                          <w:rPr>
                            <w:rFonts w:ascii="楷体" w:hAnsi="楷体" w:cs="楷体" w:eastAsia="楷体" w:hint="default"/>
                            <w:sz w:val="15"/>
                            <w:szCs w:val="15"/>
                          </w:rPr>
                          <w:t>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Times New Roman" w:hAnsi="Times New Roman" w:cs="Times New Roman" w:eastAsia="Times New Roman" w:hint="default"/>
                            <w:sz w:val="15"/>
                            <w:szCs w:val="15"/>
                          </w:rPr>
                          <w:t>JP</w:t>
                        </w:r>
                        <w:r>
                          <w:rPr>
                            <w:rFonts w:ascii="楷体" w:hAnsi="楷体" w:cs="楷体" w:eastAsia="楷体" w:hint="default"/>
                            <w:sz w:val="15"/>
                            <w:szCs w:val="15"/>
                          </w:rPr>
                          <w:t>￥</w:t>
                        </w:r>
                        <w:r>
                          <w:rPr>
                            <w:rFonts w:ascii="Times New Roman" w:hAnsi="Times New Roman" w:cs="Times New Roman" w:eastAsia="Times New Roman" w:hint="default"/>
                            <w:sz w:val="15"/>
                            <w:szCs w:val="15"/>
                          </w:rPr>
                          <w:t>3000.00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日本横滨</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软件开发</w:t>
                        </w: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楷体" w:hAnsi="楷体" w:cs="楷体" w:eastAsia="楷体" w:hint="default"/>
                            <w:sz w:val="15"/>
                            <w:szCs w:val="15"/>
                          </w:rPr>
                        </w:pPr>
                        <w:r>
                          <w:rPr>
                            <w:rFonts w:ascii="楷体" w:hAnsi="楷体" w:cs="楷体" w:eastAsia="楷体" w:hint="default"/>
                            <w:sz w:val="15"/>
                            <w:szCs w:val="15"/>
                          </w:rPr>
                          <w:t>北京市同方教育培训学校</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100.00</w:t>
                        </w:r>
                        <w:r>
                          <w:rPr>
                            <w:rFonts w:ascii="Times New Roman" w:hAnsi="Times New Roman" w:cs="Times New Roman" w:eastAsia="Times New Roman" w:hint="default"/>
                            <w:spacing w:val="-3"/>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北京海淀</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教育培训</w:t>
                        </w: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84" w:hRule="exact"/>
                    </w:trPr>
                    <w:tc>
                      <w:tcPr>
                        <w:tcW w:w="288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7" w:right="0"/>
                          <w:jc w:val="left"/>
                          <w:rPr>
                            <w:rFonts w:ascii="楷体" w:hAnsi="楷体" w:cs="楷体" w:eastAsia="楷体" w:hint="default"/>
                            <w:sz w:val="15"/>
                            <w:szCs w:val="15"/>
                          </w:rPr>
                        </w:pPr>
                        <w:r>
                          <w:rPr>
                            <w:rFonts w:ascii="楷体" w:hAnsi="楷体" w:cs="楷体" w:eastAsia="楷体" w:hint="default"/>
                            <w:sz w:val="15"/>
                            <w:szCs w:val="15"/>
                          </w:rPr>
                          <w:t>同方光电科技有限公司</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5"/>
                          <w:jc w:val="right"/>
                          <w:rPr>
                            <w:rFonts w:ascii="楷体" w:hAnsi="楷体" w:cs="楷体" w:eastAsia="楷体" w:hint="default"/>
                            <w:sz w:val="15"/>
                            <w:szCs w:val="15"/>
                          </w:rPr>
                        </w:pPr>
                        <w:r>
                          <w:rPr>
                            <w:rFonts w:ascii="楷体" w:hAnsi="楷体" w:cs="楷体" w:eastAsia="楷体" w:hint="default"/>
                            <w:sz w:val="15"/>
                            <w:szCs w:val="15"/>
                          </w:rPr>
                          <w:t>￥</w:t>
                        </w:r>
                        <w:r>
                          <w:rPr>
                            <w:rFonts w:ascii="Times New Roman" w:hAnsi="Times New Roman" w:cs="Times New Roman" w:eastAsia="Times New Roman" w:hint="default"/>
                            <w:sz w:val="15"/>
                            <w:szCs w:val="15"/>
                          </w:rPr>
                          <w:t>8000.00</w:t>
                        </w:r>
                        <w:r>
                          <w:rPr>
                            <w:rFonts w:ascii="Times New Roman" w:hAnsi="Times New Roman" w:cs="Times New Roman" w:eastAsia="Times New Roman" w:hint="default"/>
                            <w:spacing w:val="-4"/>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5"/>
                            <w:szCs w:val="15"/>
                          </w:rPr>
                        </w:pPr>
                        <w:r>
                          <w:rPr>
                            <w:rFonts w:ascii="Times New Roman"/>
                            <w:spacing w:val="-1"/>
                            <w:sz w:val="15"/>
                          </w:rPr>
                          <w:t>100.00%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楷体" w:hAnsi="楷体" w:cs="楷体" w:eastAsia="楷体" w:hint="default"/>
                            <w:sz w:val="15"/>
                            <w:szCs w:val="15"/>
                          </w:rPr>
                        </w:pPr>
                        <w:r>
                          <w:rPr>
                            <w:rFonts w:ascii="楷体" w:hAnsi="楷体" w:cs="楷体" w:eastAsia="楷体" w:hint="default"/>
                            <w:sz w:val="15"/>
                            <w:szCs w:val="15"/>
                          </w:rPr>
                          <w:t>北京顺义</w:t>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8" w:right="0"/>
                          <w:jc w:val="left"/>
                          <w:rPr>
                            <w:rFonts w:ascii="楷体" w:hAnsi="楷体" w:cs="楷体" w:eastAsia="楷体" w:hint="default"/>
                            <w:sz w:val="15"/>
                            <w:szCs w:val="15"/>
                          </w:rPr>
                        </w:pPr>
                        <w:r>
                          <w:rPr>
                            <w:rFonts w:ascii="楷体" w:hAnsi="楷体" w:cs="楷体" w:eastAsia="楷体" w:hint="default"/>
                            <w:sz w:val="15"/>
                            <w:szCs w:val="15"/>
                          </w:rPr>
                          <w:t>高亮度发光二级管</w:t>
                        </w:r>
                        <w:r>
                          <w:rPr>
                            <w:rFonts w:ascii="Times New Roman" w:hAnsi="Times New Roman" w:cs="Times New Roman" w:eastAsia="Times New Roman" w:hint="default"/>
                            <w:sz w:val="15"/>
                            <w:szCs w:val="15"/>
                          </w:rPr>
                          <w:t>(LED)</w:t>
                        </w:r>
                        <w:r>
                          <w:rPr>
                            <w:rFonts w:ascii="楷体" w:hAnsi="楷体" w:cs="楷体" w:eastAsia="楷体" w:hint="default"/>
                            <w:sz w:val="15"/>
                            <w:szCs w:val="15"/>
                          </w:rPr>
                          <w:t>外延片和芯片研发制造</w:t>
                        </w:r>
                      </w:p>
                    </w:tc>
                    <w:tc>
                      <w:tcPr>
                        <w:tcW w:w="44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r>
                    <w:trPr>
                      <w:trHeight w:val="290" w:hRule="exact"/>
                    </w:trPr>
                    <w:tc>
                      <w:tcPr>
                        <w:tcW w:w="2884"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left="107" w:right="0"/>
                          <w:jc w:val="left"/>
                          <w:rPr>
                            <w:rFonts w:ascii="楷体" w:hAnsi="楷体" w:cs="楷体" w:eastAsia="楷体" w:hint="default"/>
                            <w:sz w:val="15"/>
                            <w:szCs w:val="15"/>
                          </w:rPr>
                        </w:pPr>
                        <w:r>
                          <w:rPr>
                            <w:rFonts w:ascii="楷体" w:hAnsi="楷体" w:cs="楷体" w:eastAsia="楷体" w:hint="default"/>
                            <w:sz w:val="15"/>
                            <w:szCs w:val="15"/>
                          </w:rPr>
                          <w:t>清芯光电有限公司</w:t>
                        </w:r>
                      </w:p>
                    </w:tc>
                    <w:tc>
                      <w:tcPr>
                        <w:tcW w:w="744"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left="120" w:right="0"/>
                          <w:jc w:val="center"/>
                          <w:rPr>
                            <w:rFonts w:ascii="楷体" w:hAnsi="楷体" w:cs="楷体" w:eastAsia="楷体" w:hint="default"/>
                            <w:sz w:val="15"/>
                            <w:szCs w:val="15"/>
                          </w:rPr>
                        </w:pPr>
                        <w:r>
                          <w:rPr>
                            <w:rFonts w:ascii="Times New Roman" w:hAnsi="Times New Roman" w:cs="Times New Roman" w:eastAsia="Times New Roman" w:hint="default"/>
                            <w:sz w:val="15"/>
                            <w:szCs w:val="15"/>
                          </w:rPr>
                          <w:t>1 </w:t>
                        </w:r>
                        <w:r>
                          <w:rPr>
                            <w:rFonts w:ascii="楷体" w:hAnsi="楷体" w:cs="楷体" w:eastAsia="楷体" w:hint="default"/>
                            <w:sz w:val="15"/>
                            <w:szCs w:val="15"/>
                          </w:rPr>
                          <w:t>级</w:t>
                        </w:r>
                      </w:p>
                    </w:tc>
                    <w:tc>
                      <w:tcPr>
                        <w:tcW w:w="1274"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125"/>
                          <w:jc w:val="right"/>
                          <w:rPr>
                            <w:rFonts w:ascii="楷体" w:hAnsi="楷体" w:cs="楷体" w:eastAsia="楷体" w:hint="default"/>
                            <w:sz w:val="15"/>
                            <w:szCs w:val="15"/>
                          </w:rPr>
                        </w:pPr>
                        <w:r>
                          <w:rPr>
                            <w:rFonts w:ascii="Times New Roman" w:hAnsi="Times New Roman" w:cs="Times New Roman" w:eastAsia="Times New Roman" w:hint="default"/>
                            <w:sz w:val="15"/>
                            <w:szCs w:val="15"/>
                          </w:rPr>
                          <w:t>US$1000.00</w:t>
                        </w:r>
                        <w:r>
                          <w:rPr>
                            <w:rFonts w:ascii="Times New Roman" w:hAnsi="Times New Roman" w:cs="Times New Roman" w:eastAsia="Times New Roman" w:hint="default"/>
                            <w:spacing w:val="-5"/>
                            <w:sz w:val="15"/>
                            <w:szCs w:val="15"/>
                          </w:rPr>
                          <w:t> </w:t>
                        </w:r>
                        <w:r>
                          <w:rPr>
                            <w:rFonts w:ascii="楷体" w:hAnsi="楷体" w:cs="楷体" w:eastAsia="楷体" w:hint="default"/>
                            <w:sz w:val="15"/>
                            <w:szCs w:val="15"/>
                          </w:rPr>
                          <w:t>万</w:t>
                        </w:r>
                      </w:p>
                    </w:tc>
                    <w:tc>
                      <w:tcPr>
                        <w:tcW w:w="784"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right="116"/>
                          <w:jc w:val="right"/>
                          <w:rPr>
                            <w:rFonts w:ascii="Times New Roman" w:hAnsi="Times New Roman" w:cs="Times New Roman" w:eastAsia="Times New Roman" w:hint="default"/>
                            <w:sz w:val="15"/>
                            <w:szCs w:val="15"/>
                          </w:rPr>
                        </w:pPr>
                        <w:r>
                          <w:rPr>
                            <w:rFonts w:ascii="Times New Roman"/>
                            <w:spacing w:val="-1"/>
                            <w:sz w:val="15"/>
                          </w:rPr>
                          <w:t>55.00%</w:t>
                        </w:r>
                      </w:p>
                    </w:tc>
                    <w:tc>
                      <w:tcPr>
                        <w:tcW w:w="837"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0"/>
                          <w:jc w:val="center"/>
                          <w:rPr>
                            <w:rFonts w:ascii="楷体" w:hAnsi="楷体" w:cs="楷体" w:eastAsia="楷体" w:hint="default"/>
                            <w:sz w:val="15"/>
                            <w:szCs w:val="15"/>
                          </w:rPr>
                        </w:pPr>
                        <w:r>
                          <w:rPr>
                            <w:rFonts w:ascii="楷体" w:hAnsi="楷体" w:cs="楷体" w:eastAsia="楷体" w:hint="default"/>
                            <w:sz w:val="15"/>
                            <w:szCs w:val="15"/>
                          </w:rPr>
                          <w:t>河北廊坊</w:t>
                        </w:r>
                      </w:p>
                    </w:tc>
                    <w:tc>
                      <w:tcPr>
                        <w:tcW w:w="3365"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left="118" w:right="0"/>
                          <w:jc w:val="left"/>
                          <w:rPr>
                            <w:rFonts w:ascii="楷体" w:hAnsi="楷体" w:cs="楷体" w:eastAsia="楷体" w:hint="default"/>
                            <w:sz w:val="15"/>
                            <w:szCs w:val="15"/>
                          </w:rPr>
                        </w:pPr>
                        <w:r>
                          <w:rPr>
                            <w:rFonts w:ascii="楷体" w:hAnsi="楷体" w:cs="楷体" w:eastAsia="楷体" w:hint="default"/>
                            <w:sz w:val="15"/>
                            <w:szCs w:val="15"/>
                          </w:rPr>
                          <w:t>高亮度发光二级管</w:t>
                        </w:r>
                        <w:r>
                          <w:rPr>
                            <w:rFonts w:ascii="Times New Roman" w:hAnsi="Times New Roman" w:cs="Times New Roman" w:eastAsia="Times New Roman" w:hint="default"/>
                            <w:sz w:val="15"/>
                            <w:szCs w:val="15"/>
                          </w:rPr>
                          <w:t>(LED)</w:t>
                        </w:r>
                        <w:r>
                          <w:rPr>
                            <w:rFonts w:ascii="楷体" w:hAnsi="楷体" w:cs="楷体" w:eastAsia="楷体" w:hint="default"/>
                            <w:sz w:val="15"/>
                            <w:szCs w:val="15"/>
                          </w:rPr>
                          <w:t>外延片和芯片研发制造</w:t>
                        </w:r>
                      </w:p>
                    </w:tc>
                    <w:tc>
                      <w:tcPr>
                        <w:tcW w:w="440"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left="19" w:right="0"/>
                          <w:jc w:val="center"/>
                          <w:rPr>
                            <w:rFonts w:ascii="楷体" w:hAnsi="楷体" w:cs="楷体" w:eastAsia="楷体" w:hint="default"/>
                            <w:sz w:val="15"/>
                            <w:szCs w:val="15"/>
                          </w:rPr>
                        </w:pPr>
                        <w:r>
                          <w:rPr>
                            <w:rFonts w:ascii="楷体" w:hAnsi="楷体" w:cs="楷体" w:eastAsia="楷体" w:hint="default"/>
                            <w:sz w:val="15"/>
                            <w:szCs w:val="15"/>
                          </w:rPr>
                          <w:t>是</w:t>
                        </w:r>
                      </w:p>
                    </w:tc>
                  </w:tr>
                </w:tbl>
                <w:p>
                  <w:pPr/>
                </w:p>
              </w:txbxContent>
            </v:textbox>
            <w10:wrap type="none"/>
          </v:shape>
        </w:pict>
      </w:r>
      <w:r>
        <w:rPr>
          <w:rFonts w:ascii="Microsoft JhengHei" w:hAnsi="Microsoft JhengHei" w:cs="Microsoft JhengHei" w:eastAsia="Microsoft JhengHei" w:hint="default"/>
          <w:b/>
          <w:bCs/>
          <w:sz w:val="15"/>
          <w:szCs w:val="15"/>
        </w:rPr>
        <w:t>公司名称</w:t>
        <w:tab/>
      </w:r>
      <w:r>
        <w:rPr>
          <w:rFonts w:ascii="Microsoft JhengHei" w:hAnsi="Microsoft JhengHei" w:cs="Microsoft JhengHei" w:eastAsia="Microsoft JhengHei" w:hint="default"/>
          <w:b/>
          <w:bCs/>
          <w:position w:val="10"/>
          <w:sz w:val="15"/>
          <w:szCs w:val="15"/>
        </w:rPr>
        <w:t>级</w:t>
      </w:r>
      <w:r>
        <w:rPr>
          <w:rFonts w:ascii="Microsoft JhengHei" w:hAnsi="Microsoft JhengHei" w:cs="Microsoft JhengHei" w:eastAsia="Microsoft JhengHei" w:hint="default"/>
          <w:sz w:val="15"/>
          <w:szCs w:val="15"/>
        </w:rPr>
      </w:r>
    </w:p>
    <w:p>
      <w:pPr>
        <w:tabs>
          <w:tab w:pos="1696" w:val="left" w:leader="none"/>
        </w:tabs>
        <w:spacing w:line="297" w:lineRule="exact" w:before="0"/>
        <w:ind w:left="493" w:right="-18"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注册资本</w:t>
        <w:tab/>
      </w:r>
      <w:r>
        <w:rPr>
          <w:rFonts w:ascii="Microsoft JhengHei" w:hAnsi="Microsoft JhengHei" w:cs="Microsoft JhengHei" w:eastAsia="Microsoft JhengHei" w:hint="default"/>
          <w:b/>
          <w:bCs/>
          <w:position w:val="10"/>
          <w:sz w:val="15"/>
          <w:szCs w:val="15"/>
        </w:rPr>
        <w:t>持股</w:t>
      </w:r>
      <w:r>
        <w:rPr>
          <w:rFonts w:ascii="Microsoft JhengHei" w:hAnsi="Microsoft JhengHei" w:cs="Microsoft JhengHei" w:eastAsia="Microsoft JhengHei" w:hint="default"/>
          <w:sz w:val="15"/>
          <w:szCs w:val="15"/>
        </w:rPr>
      </w:r>
    </w:p>
    <w:p>
      <w:pPr>
        <w:tabs>
          <w:tab w:pos="2443" w:val="left" w:leader="none"/>
          <w:tab w:pos="4571" w:val="left" w:leader="none"/>
        </w:tabs>
        <w:spacing w:line="297" w:lineRule="exact" w:before="0"/>
        <w:ind w:left="331" w:right="0" w:firstLine="0"/>
        <w:jc w:val="left"/>
        <w:rPr>
          <w:rFonts w:ascii="Microsoft JhengHei" w:hAnsi="Microsoft JhengHei" w:cs="Microsoft JhengHei" w:eastAsia="Microsoft JhengHei" w:hint="default"/>
          <w:sz w:val="15"/>
          <w:szCs w:val="15"/>
        </w:rPr>
      </w:pPr>
      <w:r>
        <w:rPr/>
        <w:br w:type="column"/>
      </w:r>
      <w:r>
        <w:rPr>
          <w:rFonts w:ascii="Microsoft JhengHei" w:hAnsi="Microsoft JhengHei" w:cs="Microsoft JhengHei" w:eastAsia="Microsoft JhengHei" w:hint="default"/>
          <w:b/>
          <w:bCs/>
          <w:sz w:val="15"/>
          <w:szCs w:val="15"/>
        </w:rPr>
        <w:t>注册地址</w:t>
        <w:tab/>
        <w:t>主营业务</w:t>
        <w:tab/>
      </w:r>
      <w:r>
        <w:rPr>
          <w:rFonts w:ascii="Microsoft JhengHei" w:hAnsi="Microsoft JhengHei" w:cs="Microsoft JhengHei" w:eastAsia="Microsoft JhengHei" w:hint="default"/>
          <w:b/>
          <w:bCs/>
          <w:position w:val="10"/>
          <w:sz w:val="15"/>
          <w:szCs w:val="15"/>
        </w:rPr>
        <w:t>合</w:t>
      </w:r>
      <w:r>
        <w:rPr>
          <w:rFonts w:ascii="Microsoft JhengHei" w:hAnsi="Microsoft JhengHei" w:cs="Microsoft JhengHei" w:eastAsia="Microsoft JhengHei" w:hint="default"/>
          <w:sz w:val="15"/>
          <w:szCs w:val="15"/>
        </w:rPr>
      </w:r>
    </w:p>
    <w:p>
      <w:pPr>
        <w:spacing w:after="0" w:line="297" w:lineRule="exact"/>
        <w:jc w:val="left"/>
        <w:rPr>
          <w:rFonts w:ascii="Microsoft JhengHei" w:hAnsi="Microsoft JhengHei" w:cs="Microsoft JhengHei" w:eastAsia="Microsoft JhengHei" w:hint="default"/>
          <w:sz w:val="15"/>
          <w:szCs w:val="15"/>
        </w:rPr>
        <w:sectPr>
          <w:headerReference w:type="default" r:id="rId37"/>
          <w:pgSz w:w="11910" w:h="16840"/>
          <w:pgMar w:header="610" w:footer="784" w:top="1720" w:bottom="980" w:left="720" w:right="600"/>
          <w:cols w:num="3" w:equalWidth="0">
            <w:col w:w="3524" w:space="40"/>
            <w:col w:w="1999" w:space="40"/>
            <w:col w:w="4987"/>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4"/>
          <w:szCs w:val="24"/>
        </w:rPr>
      </w:pPr>
    </w:p>
    <w:p>
      <w:pPr>
        <w:tabs>
          <w:tab w:pos="1719" w:val="left" w:leader="none"/>
        </w:tabs>
        <w:spacing w:line="345" w:lineRule="exact" w:before="0"/>
        <w:ind w:left="1138" w:right="663"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w:t>
      </w:r>
      <w:r>
        <w:rPr>
          <w:rFonts w:ascii="Microsoft JhengHei" w:hAnsi="Microsoft JhengHei" w:cs="Microsoft JhengHei" w:eastAsia="Microsoft JhengHei" w:hint="default"/>
          <w:b/>
          <w:bCs/>
          <w:sz w:val="22"/>
          <w:szCs w:val="22"/>
        </w:rPr>
        <w:t>二</w:t>
      </w:r>
      <w:r>
        <w:rPr>
          <w:rFonts w:ascii="Times New Roman" w:hAnsi="Times New Roman" w:cs="Times New Roman" w:eastAsia="Times New Roman" w:hint="default"/>
          <w:b/>
          <w:bCs/>
          <w:sz w:val="22"/>
          <w:szCs w:val="22"/>
        </w:rPr>
        <w:t>)</w:t>
        <w:tab/>
      </w:r>
      <w:r>
        <w:rPr>
          <w:rFonts w:ascii="楷体" w:hAnsi="楷体" w:cs="楷体" w:eastAsia="楷体" w:hint="default"/>
          <w:sz w:val="22"/>
          <w:szCs w:val="22"/>
        </w:rPr>
        <w:t>合并范围的变动</w:t>
      </w:r>
    </w:p>
    <w:p>
      <w:pPr>
        <w:spacing w:line="324" w:lineRule="auto" w:before="155"/>
        <w:ind w:left="698" w:right="663" w:firstLine="453"/>
        <w:jc w:val="left"/>
        <w:rPr>
          <w:rFonts w:ascii="楷体" w:hAnsi="楷体" w:cs="楷体" w:eastAsia="楷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3"/>
          <w:sz w:val="22"/>
          <w:szCs w:val="22"/>
        </w:rPr>
        <w:t> </w:t>
      </w:r>
      <w:r>
        <w:rPr>
          <w:rFonts w:ascii="楷体" w:hAnsi="楷体" w:cs="楷体" w:eastAsia="楷体" w:hint="default"/>
          <w:sz w:val="22"/>
          <w:szCs w:val="22"/>
        </w:rPr>
        <w:t>报告期内，公司对同方环境股份有限公司不再拥有实质控制权，故本报告期不再将其纳</w:t>
      </w:r>
      <w:r>
        <w:rPr>
          <w:rFonts w:ascii="楷体" w:hAnsi="楷体" w:cs="楷体" w:eastAsia="楷体" w:hint="default"/>
          <w:w w:val="99"/>
          <w:sz w:val="22"/>
          <w:szCs w:val="22"/>
        </w:rPr>
        <w:t> </w:t>
      </w:r>
      <w:r>
        <w:rPr>
          <w:rFonts w:ascii="楷体" w:hAnsi="楷体" w:cs="楷体" w:eastAsia="楷体" w:hint="default"/>
          <w:sz w:val="22"/>
          <w:szCs w:val="22"/>
        </w:rPr>
        <w:t>入合并财务报表范围。</w:t>
      </w:r>
    </w:p>
    <w:p>
      <w:pPr>
        <w:spacing w:line="324" w:lineRule="auto" w:before="103"/>
        <w:ind w:left="698" w:right="663" w:firstLine="453"/>
        <w:jc w:val="left"/>
        <w:rPr>
          <w:rFonts w:ascii="楷体" w:hAnsi="楷体" w:cs="楷体" w:eastAsia="楷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3"/>
          <w:sz w:val="22"/>
          <w:szCs w:val="22"/>
        </w:rPr>
        <w:t> </w:t>
      </w:r>
      <w:r>
        <w:rPr>
          <w:rFonts w:ascii="楷体" w:hAnsi="楷体" w:cs="楷体" w:eastAsia="楷体" w:hint="default"/>
          <w:sz w:val="22"/>
          <w:szCs w:val="22"/>
        </w:rPr>
        <w:t>报告期内，公司对北京同方易豪科技有限公司不再拥有实质控制权，故本报告期不再将</w:t>
      </w:r>
      <w:r>
        <w:rPr>
          <w:rFonts w:ascii="楷体" w:hAnsi="楷体" w:cs="楷体" w:eastAsia="楷体" w:hint="default"/>
          <w:w w:val="99"/>
          <w:sz w:val="22"/>
          <w:szCs w:val="22"/>
        </w:rPr>
        <w:t> </w:t>
      </w:r>
      <w:r>
        <w:rPr>
          <w:rFonts w:ascii="楷体" w:hAnsi="楷体" w:cs="楷体" w:eastAsia="楷体" w:hint="default"/>
          <w:sz w:val="22"/>
          <w:szCs w:val="22"/>
        </w:rPr>
        <w:t>其纳入合并财务报表范围。</w:t>
      </w:r>
    </w:p>
    <w:p>
      <w:pPr>
        <w:spacing w:before="103"/>
        <w:ind w:left="1151" w:right="663" w:firstLine="0"/>
        <w:jc w:val="left"/>
        <w:rPr>
          <w:rFonts w:ascii="楷体" w:hAnsi="楷体" w:cs="楷体" w:eastAsia="楷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9"/>
          <w:sz w:val="22"/>
          <w:szCs w:val="22"/>
        </w:rPr>
        <w:t> </w:t>
      </w:r>
      <w:r>
        <w:rPr>
          <w:rFonts w:ascii="楷体" w:hAnsi="楷体" w:cs="楷体" w:eastAsia="楷体" w:hint="default"/>
          <w:sz w:val="22"/>
          <w:szCs w:val="22"/>
        </w:rPr>
        <w:t>报告期内，合并增加的子公司同方光电科技有限公司为本期新成立公司。</w:t>
      </w:r>
    </w:p>
    <w:p>
      <w:pPr>
        <w:pStyle w:val="Heading3"/>
        <w:spacing w:line="240" w:lineRule="auto" w:before="87"/>
        <w:ind w:left="1180" w:right="663"/>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七、</w:t>
      </w:r>
      <w:r>
        <w:rPr>
          <w:rFonts w:ascii="Microsoft JhengHei" w:hAnsi="Microsoft JhengHei" w:cs="Microsoft JhengHei" w:eastAsia="Microsoft JhengHei" w:hint="default"/>
          <w:spacing w:val="9"/>
        </w:rPr>
        <w:t> </w:t>
      </w:r>
      <w:r>
        <w:rPr>
          <w:rFonts w:ascii="Microsoft JhengHei" w:hAnsi="Microsoft JhengHei" w:cs="Microsoft JhengHei" w:eastAsia="Microsoft JhengHei" w:hint="default"/>
        </w:rPr>
        <w:t>合并财务报表主要项目注释</w:t>
      </w:r>
      <w:r>
        <w:rPr>
          <w:rFonts w:ascii="Microsoft JhengHei" w:hAnsi="Microsoft JhengHei" w:cs="Microsoft JhengHei" w:eastAsia="Microsoft JhengHei" w:hint="default"/>
          <w:b w:val="0"/>
          <w:bCs w:val="0"/>
        </w:rPr>
      </w:r>
    </w:p>
    <w:p>
      <w:pPr>
        <w:spacing w:before="142"/>
        <w:ind w:left="1138" w:right="0" w:firstLine="0"/>
        <w:jc w:val="left"/>
        <w:rPr>
          <w:rFonts w:ascii="宋体" w:hAnsi="宋体" w:cs="宋体" w:eastAsia="宋体" w:hint="default"/>
          <w:sz w:val="22"/>
          <w:szCs w:val="22"/>
        </w:rPr>
      </w:pPr>
      <w:r>
        <w:rPr>
          <w:rFonts w:ascii="楷体" w:hAnsi="楷体" w:cs="楷体" w:eastAsia="楷体" w:hint="default"/>
          <w:sz w:val="22"/>
          <w:szCs w:val="22"/>
        </w:rPr>
        <w:t>下列所披露的财务报表数据，除特别注明之外，</w:t>
      </w:r>
      <w:r>
        <w:rPr>
          <w:rFonts w:ascii="宋体" w:hAnsi="宋体" w:cs="宋体" w:eastAsia="宋体" w:hint="default"/>
          <w:sz w:val="22"/>
          <w:szCs w:val="22"/>
        </w:rPr>
        <w:t>“</w:t>
      </w:r>
      <w:r>
        <w:rPr>
          <w:rFonts w:ascii="楷体" w:hAnsi="楷体" w:cs="楷体" w:eastAsia="楷体" w:hint="default"/>
          <w:sz w:val="22"/>
          <w:szCs w:val="22"/>
        </w:rPr>
        <w:t>年初</w:t>
      </w:r>
      <w:r>
        <w:rPr>
          <w:rFonts w:ascii="宋体" w:hAnsi="宋体" w:cs="宋体" w:eastAsia="宋体" w:hint="default"/>
          <w:sz w:val="22"/>
          <w:szCs w:val="22"/>
        </w:rPr>
        <w:t>”</w:t>
      </w:r>
      <w:r>
        <w:rPr>
          <w:rFonts w:ascii="楷体" w:hAnsi="楷体" w:cs="楷体" w:eastAsia="楷体" w:hint="default"/>
          <w:sz w:val="22"/>
          <w:szCs w:val="22"/>
        </w:rPr>
        <w:t>系指</w:t>
      </w:r>
      <w:r>
        <w:rPr>
          <w:rFonts w:ascii="楷体" w:hAnsi="楷体" w:cs="楷体" w:eastAsia="楷体" w:hint="default"/>
          <w:spacing w:val="-43"/>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0"/>
          <w:sz w:val="22"/>
          <w:szCs w:val="22"/>
        </w:rPr>
        <w:t> </w:t>
      </w:r>
      <w:r>
        <w:rPr>
          <w:rFonts w:ascii="楷体" w:hAnsi="楷体" w:cs="楷体" w:eastAsia="楷体" w:hint="default"/>
          <w:sz w:val="22"/>
          <w:szCs w:val="22"/>
        </w:rPr>
        <w:t>年</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0"/>
          <w:sz w:val="22"/>
          <w:szCs w:val="22"/>
        </w:rPr>
        <w:t> </w:t>
      </w:r>
      <w:r>
        <w:rPr>
          <w:rFonts w:ascii="楷体" w:hAnsi="楷体" w:cs="楷体" w:eastAsia="楷体" w:hint="default"/>
          <w:sz w:val="22"/>
          <w:szCs w:val="22"/>
        </w:rPr>
        <w:t>月</w:t>
      </w:r>
      <w:r>
        <w:rPr>
          <w:rFonts w:ascii="楷体" w:hAnsi="楷体" w:cs="楷体" w:eastAsia="楷体" w:hint="default"/>
          <w:spacing w:val="-43"/>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0"/>
          <w:sz w:val="22"/>
          <w:szCs w:val="22"/>
        </w:rPr>
        <w:t> </w:t>
      </w:r>
      <w:r>
        <w:rPr>
          <w:rFonts w:ascii="楷体" w:hAnsi="楷体" w:cs="楷体" w:eastAsia="楷体" w:hint="default"/>
          <w:sz w:val="22"/>
          <w:szCs w:val="22"/>
        </w:rPr>
        <w:t>日，</w:t>
      </w:r>
      <w:r>
        <w:rPr>
          <w:rFonts w:ascii="宋体" w:hAnsi="宋体" w:cs="宋体" w:eastAsia="宋体" w:hint="default"/>
          <w:sz w:val="22"/>
          <w:szCs w:val="22"/>
        </w:rPr>
        <w:t>“</w:t>
      </w:r>
      <w:r>
        <w:rPr>
          <w:rFonts w:ascii="楷体" w:hAnsi="楷体" w:cs="楷体" w:eastAsia="楷体" w:hint="default"/>
          <w:sz w:val="22"/>
          <w:szCs w:val="22"/>
        </w:rPr>
        <w:t>年末</w:t>
      </w:r>
      <w:r>
        <w:rPr>
          <w:rFonts w:ascii="宋体" w:hAnsi="宋体" w:cs="宋体" w:eastAsia="宋体" w:hint="default"/>
          <w:sz w:val="22"/>
          <w:szCs w:val="22"/>
        </w:rPr>
        <w:t>”</w:t>
      </w:r>
    </w:p>
    <w:p>
      <w:pPr>
        <w:spacing w:before="85"/>
        <w:ind w:left="698" w:right="663" w:firstLine="0"/>
        <w:jc w:val="left"/>
        <w:rPr>
          <w:rFonts w:ascii="楷体" w:hAnsi="楷体" w:cs="楷体" w:eastAsia="楷体" w:hint="default"/>
          <w:sz w:val="22"/>
          <w:szCs w:val="22"/>
        </w:rPr>
      </w:pPr>
      <w:r>
        <w:rPr>
          <w:rFonts w:ascii="楷体" w:hAnsi="楷体" w:cs="楷体" w:eastAsia="楷体" w:hint="default"/>
          <w:sz w:val="22"/>
          <w:szCs w:val="22"/>
        </w:rPr>
        <w:t>系指</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楷体" w:hAnsi="楷体" w:cs="楷体" w:eastAsia="楷体" w:hint="default"/>
          <w:spacing w:val="-3"/>
          <w:sz w:val="22"/>
          <w:szCs w:val="22"/>
        </w:rPr>
        <w:t>日，</w:t>
      </w:r>
      <w:r>
        <w:rPr>
          <w:rFonts w:ascii="宋体" w:hAnsi="宋体" w:cs="宋体" w:eastAsia="宋体" w:hint="default"/>
          <w:spacing w:val="-3"/>
          <w:sz w:val="22"/>
          <w:szCs w:val="22"/>
        </w:rPr>
        <w:t>“</w:t>
      </w:r>
      <w:r>
        <w:rPr>
          <w:rFonts w:ascii="楷体" w:hAnsi="楷体" w:cs="楷体" w:eastAsia="楷体" w:hint="default"/>
          <w:spacing w:val="-3"/>
          <w:sz w:val="22"/>
          <w:szCs w:val="22"/>
        </w:rPr>
        <w:t>本年</w:t>
      </w:r>
      <w:r>
        <w:rPr>
          <w:rFonts w:ascii="宋体" w:hAnsi="宋体" w:cs="宋体" w:eastAsia="宋体" w:hint="default"/>
          <w:spacing w:val="-3"/>
          <w:sz w:val="22"/>
          <w:szCs w:val="22"/>
        </w:rPr>
        <w:t>”</w:t>
      </w:r>
      <w:r>
        <w:rPr>
          <w:rFonts w:ascii="楷体" w:hAnsi="楷体" w:cs="楷体" w:eastAsia="楷体" w:hint="default"/>
          <w:spacing w:val="-3"/>
          <w:sz w:val="22"/>
          <w:szCs w:val="22"/>
        </w:rPr>
        <w:t>系指</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日至</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楷体" w:hAnsi="楷体" w:cs="楷体" w:eastAsia="楷体" w:hint="default"/>
          <w:spacing w:val="-4"/>
          <w:sz w:val="22"/>
          <w:szCs w:val="22"/>
        </w:rPr>
        <w:t>日，</w:t>
      </w:r>
      <w:r>
        <w:rPr>
          <w:rFonts w:ascii="宋体" w:hAnsi="宋体" w:cs="宋体" w:eastAsia="宋体" w:hint="default"/>
          <w:spacing w:val="-4"/>
          <w:sz w:val="22"/>
          <w:szCs w:val="22"/>
        </w:rPr>
        <w:t>“</w:t>
      </w:r>
      <w:r>
        <w:rPr>
          <w:rFonts w:ascii="楷体" w:hAnsi="楷体" w:cs="楷体" w:eastAsia="楷体" w:hint="default"/>
          <w:spacing w:val="-4"/>
          <w:sz w:val="22"/>
          <w:szCs w:val="22"/>
        </w:rPr>
        <w:t>上年</w:t>
      </w:r>
      <w:r>
        <w:rPr>
          <w:rFonts w:ascii="宋体" w:hAnsi="宋体" w:cs="宋体" w:eastAsia="宋体" w:hint="default"/>
          <w:spacing w:val="-4"/>
          <w:sz w:val="22"/>
          <w:szCs w:val="22"/>
        </w:rPr>
        <w:t>”</w:t>
      </w:r>
      <w:r>
        <w:rPr>
          <w:rFonts w:ascii="宋体" w:hAnsi="宋体" w:cs="宋体" w:eastAsia="宋体" w:hint="default"/>
          <w:spacing w:val="-1"/>
          <w:sz w:val="22"/>
          <w:szCs w:val="22"/>
        </w:rPr>
        <w:t> </w:t>
      </w:r>
      <w:r>
        <w:rPr>
          <w:rFonts w:ascii="楷体" w:hAnsi="楷体" w:cs="楷体" w:eastAsia="楷体" w:hint="default"/>
          <w:sz w:val="22"/>
          <w:szCs w:val="22"/>
        </w:rPr>
        <w:t>系指</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w:t>
      </w:r>
    </w:p>
    <w:p>
      <w:pPr>
        <w:spacing w:before="85"/>
        <w:ind w:left="698" w:right="663" w:firstLine="0"/>
        <w:jc w:val="left"/>
        <w:rPr>
          <w:rFonts w:ascii="楷体" w:hAnsi="楷体" w:cs="楷体" w:eastAsia="楷体" w:hint="default"/>
          <w:sz w:val="22"/>
          <w:szCs w:val="22"/>
        </w:rPr>
      </w:pP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日至</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日，货币单位为人民币元。</w:t>
      </w:r>
    </w:p>
    <w:p>
      <w:pPr>
        <w:tabs>
          <w:tab w:pos="1605" w:val="left" w:leader="none"/>
        </w:tabs>
        <w:spacing w:before="163"/>
        <w:ind w:left="1151" w:right="663" w:firstLine="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1.</w:t>
        <w:tab/>
      </w:r>
      <w:r>
        <w:rPr>
          <w:rFonts w:ascii="楷体" w:hAnsi="楷体" w:cs="楷体" w:eastAsia="楷体" w:hint="default"/>
          <w:sz w:val="22"/>
          <w:szCs w:val="22"/>
        </w:rPr>
        <w:t>货币资金</w:t>
      </w:r>
    </w:p>
    <w:p>
      <w:pPr>
        <w:spacing w:line="240" w:lineRule="auto" w:before="3"/>
        <w:rPr>
          <w:rFonts w:ascii="楷体" w:hAnsi="楷体" w:cs="楷体" w:eastAsia="楷体" w:hint="default"/>
          <w:sz w:val="11"/>
          <w:szCs w:val="11"/>
        </w:rPr>
      </w:pPr>
    </w:p>
    <w:p>
      <w:pPr>
        <w:spacing w:line="30" w:lineRule="exact"/>
        <w:ind w:left="967"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15pt;height:1.5pt;mso-position-horizontal-relative:char;mso-position-vertical-relative:line" coordorigin="0,0" coordsize="8663,30">
            <v:group style="position:absolute;left:15;top:15;width:8633;height:2" coordorigin="15,15" coordsize="8633,2">
              <v:shape style="position:absolute;left:15;top:15;width:8633;height:2" coordorigin="15,15" coordsize="8633,0" path="m15,15l8648,15e" filled="false" stroked="true" strokeweight="1.5pt" strokecolor="#000000">
                <v:path arrowok="t"/>
              </v:shape>
            </v:group>
          </v:group>
        </w:pict>
      </w:r>
      <w:r>
        <w:rPr>
          <w:rFonts w:ascii="楷体" w:hAnsi="楷体" w:cs="楷体" w:eastAsia="楷体" w:hint="default"/>
          <w:position w:val="0"/>
          <w:sz w:val="3"/>
          <w:szCs w:val="3"/>
        </w:rPr>
      </w:r>
    </w:p>
    <w:p>
      <w:pPr>
        <w:tabs>
          <w:tab w:pos="7429" w:val="left" w:leader="none"/>
        </w:tabs>
        <w:spacing w:line="184" w:lineRule="exact" w:before="0"/>
        <w:ind w:left="3766" w:right="66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113" w:lineRule="exact" w:before="0"/>
        <w:ind w:left="1083" w:right="663" w:firstLine="0"/>
        <w:jc w:val="left"/>
        <w:rPr>
          <w:rFonts w:ascii="Microsoft JhengHei" w:hAnsi="Microsoft JhengHei" w:cs="Microsoft JhengHei" w:eastAsia="Microsoft JhengHei" w:hint="default"/>
          <w:sz w:val="18"/>
          <w:szCs w:val="18"/>
        </w:rPr>
      </w:pPr>
      <w:r>
        <w:rPr/>
        <w:pict>
          <v:group style="position:absolute;margin-left:150.479996pt;margin-top:5.183134pt;width:366.3pt;height:.1pt;mso-position-horizontal-relative:page;mso-position-vertical-relative:paragraph;z-index:2056" coordorigin="3010,104" coordsize="7326,2">
            <v:shape style="position:absolute;left:3010;top:104;width:7326;height:2" coordorigin="3010,104" coordsize="7326,0" path="m3010,104l10336,104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spacing w:after="0" w:line="113" w:lineRule="exact"/>
        <w:jc w:val="left"/>
        <w:rPr>
          <w:rFonts w:ascii="Microsoft JhengHei" w:hAnsi="Microsoft JhengHei" w:cs="Microsoft JhengHei" w:eastAsia="Microsoft JhengHei" w:hint="default"/>
          <w:sz w:val="18"/>
          <w:szCs w:val="18"/>
        </w:rPr>
        <w:sectPr>
          <w:type w:val="continuous"/>
          <w:pgSz w:w="11910" w:h="16840"/>
          <w:pgMar w:top="1600" w:bottom="280" w:left="720" w:right="600"/>
        </w:sectPr>
      </w:pPr>
    </w:p>
    <w:p>
      <w:pPr>
        <w:tabs>
          <w:tab w:pos="3947" w:val="left" w:leader="none"/>
        </w:tabs>
        <w:spacing w:line="300" w:lineRule="exact" w:before="0"/>
        <w:ind w:left="2853" w:right="-17" w:firstLine="0"/>
        <w:jc w:val="left"/>
        <w:rPr>
          <w:rFonts w:ascii="Microsoft JhengHei" w:hAnsi="Microsoft JhengHei" w:cs="Microsoft JhengHei" w:eastAsia="Microsoft JhengHei" w:hint="default"/>
          <w:sz w:val="18"/>
          <w:szCs w:val="18"/>
        </w:rPr>
      </w:pPr>
      <w:r>
        <w:rPr/>
        <w:pict>
          <v:shape style="position:absolute;margin-left:84.779999pt;margin-top:10.017pt;width:432pt;height:185.8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8"/>
                    <w:gridCol w:w="710"/>
                    <w:gridCol w:w="2951"/>
                    <w:gridCol w:w="712"/>
                    <w:gridCol w:w="1469"/>
                  </w:tblGrid>
                  <w:tr>
                    <w:trPr>
                      <w:trHeight w:val="200" w:hRule="exact"/>
                    </w:trPr>
                    <w:tc>
                      <w:tcPr>
                        <w:tcW w:w="2798"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Style w:val="TableParagraph"/>
                          <w:spacing w:line="200" w:lineRule="exact"/>
                          <w:ind w:left="1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汇率</w:t>
                        </w:r>
                        <w:r>
                          <w:rPr>
                            <w:rFonts w:ascii="Microsoft JhengHei" w:hAnsi="Microsoft JhengHei" w:cs="Microsoft JhengHei" w:eastAsia="Microsoft JhengHei" w:hint="default"/>
                            <w:sz w:val="18"/>
                            <w:szCs w:val="18"/>
                          </w:rPr>
                        </w:r>
                      </w:p>
                    </w:tc>
                    <w:tc>
                      <w:tcPr>
                        <w:tcW w:w="2951" w:type="dxa"/>
                        <w:tcBorders>
                          <w:top w:val="nil" w:sz="6" w:space="0" w:color="auto"/>
                          <w:left w:val="nil" w:sz="6" w:space="0" w:color="auto"/>
                          <w:bottom w:val="single" w:sz="4" w:space="0" w:color="000000"/>
                          <w:right w:val="nil" w:sz="6" w:space="0" w:color="auto"/>
                        </w:tcBorders>
                      </w:tcPr>
                      <w:p>
                        <w:pPr/>
                      </w:p>
                    </w:tc>
                    <w:tc>
                      <w:tcPr>
                        <w:tcW w:w="712" w:type="dxa"/>
                        <w:tcBorders>
                          <w:top w:val="nil" w:sz="6" w:space="0" w:color="auto"/>
                          <w:left w:val="nil" w:sz="6" w:space="0" w:color="auto"/>
                          <w:bottom w:val="single" w:sz="4" w:space="0" w:color="000000"/>
                          <w:right w:val="nil" w:sz="6" w:space="0" w:color="auto"/>
                        </w:tcBorders>
                      </w:tcPr>
                      <w:p>
                        <w:pPr>
                          <w:pStyle w:val="TableParagraph"/>
                          <w:spacing w:line="200" w:lineRule="exact"/>
                          <w:ind w:right="17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汇率</w:t>
                        </w:r>
                        <w:r>
                          <w:rPr>
                            <w:rFonts w:ascii="Microsoft JhengHei" w:hAnsi="Microsoft JhengHei" w:cs="Microsoft JhengHei" w:eastAsia="Microsoft JhengHei" w:hint="default"/>
                            <w:sz w:val="18"/>
                            <w:szCs w:val="18"/>
                          </w:rPr>
                        </w:r>
                      </w:p>
                    </w:tc>
                    <w:tc>
                      <w:tcPr>
                        <w:tcW w:w="1469" w:type="dxa"/>
                        <w:tcBorders>
                          <w:top w:val="nil" w:sz="6" w:space="0" w:color="auto"/>
                          <w:left w:val="nil" w:sz="6" w:space="0" w:color="auto"/>
                          <w:bottom w:val="single" w:sz="4" w:space="0" w:color="000000"/>
                          <w:right w:val="nil" w:sz="6" w:space="0" w:color="auto"/>
                        </w:tcBorders>
                      </w:tcPr>
                      <w:p>
                        <w:pPr/>
                      </w:p>
                    </w:tc>
                  </w:tr>
                  <w:tr>
                    <w:trPr>
                      <w:trHeight w:val="287" w:hRule="exact"/>
                    </w:trPr>
                    <w:tc>
                      <w:tcPr>
                        <w:tcW w:w="2798" w:type="dxa"/>
                        <w:tcBorders>
                          <w:top w:val="single" w:sz="4" w:space="0" w:color="000000"/>
                          <w:left w:val="nil" w:sz="6" w:space="0" w:color="auto"/>
                          <w:bottom w:val="nil" w:sz="6" w:space="0" w:color="auto"/>
                          <w:right w:val="nil" w:sz="6" w:space="0" w:color="auto"/>
                        </w:tcBorders>
                      </w:tcPr>
                      <w:p>
                        <w:pPr>
                          <w:pStyle w:val="TableParagraph"/>
                          <w:tabs>
                            <w:tab w:pos="1545" w:val="left" w:leader="none"/>
                          </w:tabs>
                          <w:spacing w:line="239" w:lineRule="exact"/>
                          <w:ind w:right="106"/>
                          <w:jc w:val="right"/>
                          <w:rPr>
                            <w:rFonts w:ascii="Times New Roman" w:hAnsi="Times New Roman" w:cs="Times New Roman" w:eastAsia="Times New Roman" w:hint="default"/>
                            <w:sz w:val="18"/>
                            <w:szCs w:val="18"/>
                          </w:rPr>
                        </w:pPr>
                        <w:r>
                          <w:rPr>
                            <w:rFonts w:ascii="楷体" w:hAnsi="楷体" w:cs="楷体" w:eastAsia="楷体" w:hint="default"/>
                            <w:sz w:val="18"/>
                            <w:szCs w:val="18"/>
                          </w:rPr>
                          <w:t>库存现金</w:t>
                          <w:tab/>
                        </w:r>
                        <w:r>
                          <w:rPr>
                            <w:rFonts w:ascii="Times New Roman" w:hAnsi="Times New Roman" w:cs="Times New Roman" w:eastAsia="Times New Roman" w:hint="default"/>
                            <w:spacing w:val="-1"/>
                            <w:sz w:val="18"/>
                            <w:szCs w:val="18"/>
                          </w:rPr>
                          <w:t>17,029,602.39</w:t>
                        </w:r>
                      </w:p>
                    </w:tc>
                    <w:tc>
                      <w:tcPr>
                        <w:tcW w:w="710" w:type="dxa"/>
                        <w:tcBorders>
                          <w:top w:val="single" w:sz="4" w:space="0" w:color="000000"/>
                          <w:left w:val="nil" w:sz="6" w:space="0" w:color="auto"/>
                          <w:bottom w:val="nil" w:sz="6" w:space="0" w:color="auto"/>
                          <w:right w:val="nil" w:sz="6" w:space="0" w:color="auto"/>
                        </w:tcBorders>
                      </w:tcPr>
                      <w:p>
                        <w:pPr/>
                      </w:p>
                    </w:tc>
                    <w:tc>
                      <w:tcPr>
                        <w:tcW w:w="2951" w:type="dxa"/>
                        <w:tcBorders>
                          <w:top w:val="single" w:sz="4" w:space="0" w:color="000000"/>
                          <w:left w:val="nil" w:sz="6" w:space="0" w:color="auto"/>
                          <w:bottom w:val="nil" w:sz="6" w:space="0" w:color="auto"/>
                          <w:right w:val="nil" w:sz="6" w:space="0" w:color="auto"/>
                        </w:tcBorders>
                      </w:tcPr>
                      <w:p>
                        <w:pPr>
                          <w:pStyle w:val="TableParagraph"/>
                          <w:tabs>
                            <w:tab w:pos="1475" w:val="left" w:leader="none"/>
                          </w:tabs>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17,029,602.39</w:t>
                          <w:tab/>
                          <w:t>14,183,053.96</w:t>
                        </w:r>
                      </w:p>
                    </w:tc>
                    <w:tc>
                      <w:tcPr>
                        <w:tcW w:w="712"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14,183,053.96</w:t>
                        </w:r>
                      </w:p>
                    </w:tc>
                  </w:tr>
                  <w:tr>
                    <w:trPr>
                      <w:trHeight w:val="283" w:hRule="exact"/>
                    </w:trPr>
                    <w:tc>
                      <w:tcPr>
                        <w:tcW w:w="2798" w:type="dxa"/>
                        <w:tcBorders>
                          <w:top w:val="nil" w:sz="6" w:space="0" w:color="auto"/>
                          <w:left w:val="nil" w:sz="6" w:space="0" w:color="auto"/>
                          <w:bottom w:val="nil" w:sz="6" w:space="0" w:color="auto"/>
                          <w:right w:val="nil" w:sz="6" w:space="0" w:color="auto"/>
                        </w:tcBorders>
                      </w:tcPr>
                      <w:p>
                        <w:pPr>
                          <w:pStyle w:val="TableParagraph"/>
                          <w:tabs>
                            <w:tab w:pos="1321" w:val="left" w:leader="none"/>
                          </w:tabs>
                          <w:spacing w:line="240" w:lineRule="exact"/>
                          <w:ind w:right="107"/>
                          <w:jc w:val="right"/>
                          <w:rPr>
                            <w:rFonts w:ascii="Times New Roman" w:hAnsi="Times New Roman" w:cs="Times New Roman" w:eastAsia="Times New Roman" w:hint="default"/>
                            <w:sz w:val="18"/>
                            <w:szCs w:val="18"/>
                          </w:rPr>
                        </w:pPr>
                        <w:r>
                          <w:rPr>
                            <w:rFonts w:ascii="楷体" w:hAnsi="楷体" w:cs="楷体" w:eastAsia="楷体" w:hint="default"/>
                            <w:sz w:val="18"/>
                            <w:szCs w:val="18"/>
                          </w:rPr>
                          <w:t>银行存款</w:t>
                          <w:tab/>
                        </w:r>
                        <w:r>
                          <w:rPr>
                            <w:rFonts w:ascii="Times New Roman" w:hAnsi="Times New Roman" w:cs="Times New Roman" w:eastAsia="Times New Roman" w:hint="default"/>
                            <w:spacing w:val="-1"/>
                            <w:sz w:val="18"/>
                            <w:szCs w:val="18"/>
                          </w:rPr>
                          <w:t>3,062,951,166.24</w:t>
                        </w:r>
                      </w:p>
                    </w:tc>
                    <w:tc>
                      <w:tcPr>
                        <w:tcW w:w="710" w:type="dxa"/>
                        <w:tcBorders>
                          <w:top w:val="nil" w:sz="6" w:space="0" w:color="auto"/>
                          <w:left w:val="nil" w:sz="6" w:space="0" w:color="auto"/>
                          <w:bottom w:val="nil" w:sz="6" w:space="0" w:color="auto"/>
                          <w:right w:val="nil" w:sz="6" w:space="0" w:color="auto"/>
                        </w:tcBorders>
                      </w:tcPr>
                      <w:p>
                        <w:pPr/>
                      </w:p>
                    </w:tc>
                    <w:tc>
                      <w:tcPr>
                        <w:tcW w:w="2951" w:type="dxa"/>
                        <w:tcBorders>
                          <w:top w:val="nil" w:sz="6" w:space="0" w:color="auto"/>
                          <w:left w:val="nil" w:sz="6" w:space="0" w:color="auto"/>
                          <w:bottom w:val="nil" w:sz="6" w:space="0" w:color="auto"/>
                          <w:right w:val="nil" w:sz="6" w:space="0" w:color="auto"/>
                        </w:tcBorders>
                      </w:tcPr>
                      <w:p>
                        <w:pPr>
                          <w:pStyle w:val="TableParagraph"/>
                          <w:tabs>
                            <w:tab w:pos="1583" w:val="left" w:leader="none"/>
                          </w:tabs>
                          <w:spacing w:line="240" w:lineRule="auto" w:before="33"/>
                          <w:ind w:left="106" w:right="0"/>
                          <w:jc w:val="left"/>
                          <w:rPr>
                            <w:rFonts w:ascii="Times New Roman" w:hAnsi="Times New Roman" w:cs="Times New Roman" w:eastAsia="Times New Roman" w:hint="default"/>
                            <w:sz w:val="18"/>
                            <w:szCs w:val="18"/>
                          </w:rPr>
                        </w:pPr>
                        <w:r>
                          <w:rPr>
                            <w:rFonts w:ascii="Times New Roman"/>
                            <w:spacing w:val="-1"/>
                            <w:sz w:val="18"/>
                          </w:rPr>
                          <w:t>3,062,961,367.06</w:t>
                          <w:tab/>
                          <w:t>2,604,321,885.37</w:t>
                        </w:r>
                      </w:p>
                    </w:tc>
                    <w:tc>
                      <w:tcPr>
                        <w:tcW w:w="71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2,604,321,885.37</w:t>
                        </w:r>
                      </w:p>
                    </w:tc>
                  </w:tr>
                  <w:tr>
                    <w:trPr>
                      <w:trHeight w:val="283" w:hRule="exact"/>
                    </w:trPr>
                    <w:tc>
                      <w:tcPr>
                        <w:tcW w:w="2798" w:type="dxa"/>
                        <w:tcBorders>
                          <w:top w:val="nil" w:sz="6" w:space="0" w:color="auto"/>
                          <w:left w:val="nil" w:sz="6" w:space="0" w:color="auto"/>
                          <w:bottom w:val="nil" w:sz="6" w:space="0" w:color="auto"/>
                          <w:right w:val="nil" w:sz="6" w:space="0" w:color="auto"/>
                        </w:tcBorders>
                      </w:tcPr>
                      <w:p>
                        <w:pPr>
                          <w:pStyle w:val="TableParagraph"/>
                          <w:tabs>
                            <w:tab w:pos="1365" w:val="left" w:leader="none"/>
                          </w:tabs>
                          <w:spacing w:line="240" w:lineRule="exact"/>
                          <w:ind w:right="106"/>
                          <w:jc w:val="right"/>
                          <w:rPr>
                            <w:rFonts w:ascii="Times New Roman" w:hAnsi="Times New Roman" w:cs="Times New Roman" w:eastAsia="Times New Roman" w:hint="default"/>
                            <w:sz w:val="18"/>
                            <w:szCs w:val="18"/>
                          </w:rPr>
                        </w:pPr>
                        <w:r>
                          <w:rPr>
                            <w:rFonts w:ascii="楷体" w:hAnsi="楷体" w:cs="楷体" w:eastAsia="楷体" w:hint="default"/>
                            <w:sz w:val="18"/>
                            <w:szCs w:val="18"/>
                          </w:rPr>
                          <w:t>其中：美元</w:t>
                          <w:tab/>
                        </w:r>
                        <w:r>
                          <w:rPr>
                            <w:rFonts w:ascii="Times New Roman" w:hAnsi="Times New Roman" w:cs="Times New Roman" w:eastAsia="Times New Roman" w:hint="default"/>
                            <w:spacing w:val="-1"/>
                            <w:sz w:val="18"/>
                            <w:szCs w:val="18"/>
                          </w:rPr>
                          <w:t>50,448,875.77</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7" w:right="0"/>
                          <w:jc w:val="left"/>
                          <w:rPr>
                            <w:rFonts w:ascii="Times New Roman" w:hAnsi="Times New Roman" w:cs="Times New Roman" w:eastAsia="Times New Roman" w:hint="default"/>
                            <w:sz w:val="18"/>
                            <w:szCs w:val="18"/>
                          </w:rPr>
                        </w:pPr>
                        <w:r>
                          <w:rPr>
                            <w:rFonts w:ascii="Times New Roman"/>
                            <w:sz w:val="18"/>
                          </w:rPr>
                          <w:t>6.8346</w:t>
                        </w:r>
                      </w:p>
                    </w:tc>
                    <w:tc>
                      <w:tcPr>
                        <w:tcW w:w="2951" w:type="dxa"/>
                        <w:tcBorders>
                          <w:top w:val="nil" w:sz="6" w:space="0" w:color="auto"/>
                          <w:left w:val="nil" w:sz="6" w:space="0" w:color="auto"/>
                          <w:bottom w:val="nil" w:sz="6" w:space="0" w:color="auto"/>
                          <w:right w:val="nil" w:sz="6" w:space="0" w:color="auto"/>
                        </w:tcBorders>
                      </w:tcPr>
                      <w:p>
                        <w:pPr>
                          <w:pStyle w:val="TableParagraph"/>
                          <w:tabs>
                            <w:tab w:pos="1572" w:val="left" w:leader="none"/>
                          </w:tabs>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344,797,886.34</w:t>
                          <w:tab/>
                          <w:t>11,993,862.12</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7.3046</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87,610,365.24</w:t>
                        </w:r>
                      </w:p>
                    </w:tc>
                  </w:tr>
                  <w:tr>
                    <w:trPr>
                      <w:trHeight w:val="283" w:hRule="exact"/>
                    </w:trPr>
                    <w:tc>
                      <w:tcPr>
                        <w:tcW w:w="2798" w:type="dxa"/>
                        <w:tcBorders>
                          <w:top w:val="nil" w:sz="6" w:space="0" w:color="auto"/>
                          <w:left w:val="nil" w:sz="6" w:space="0" w:color="auto"/>
                          <w:bottom w:val="nil" w:sz="6" w:space="0" w:color="auto"/>
                          <w:right w:val="nil" w:sz="6" w:space="0" w:color="auto"/>
                        </w:tcBorders>
                      </w:tcPr>
                      <w:p>
                        <w:pPr>
                          <w:pStyle w:val="TableParagraph"/>
                          <w:tabs>
                            <w:tab w:pos="1456" w:val="left" w:leader="none"/>
                          </w:tabs>
                          <w:spacing w:line="240" w:lineRule="exact"/>
                          <w:ind w:right="105"/>
                          <w:jc w:val="right"/>
                          <w:rPr>
                            <w:rFonts w:ascii="Times New Roman" w:hAnsi="Times New Roman" w:cs="Times New Roman" w:eastAsia="Times New Roman" w:hint="default"/>
                            <w:sz w:val="18"/>
                            <w:szCs w:val="18"/>
                          </w:rPr>
                        </w:pPr>
                        <w:r>
                          <w:rPr>
                            <w:rFonts w:ascii="楷体" w:hAnsi="楷体" w:cs="楷体" w:eastAsia="楷体" w:hint="default"/>
                            <w:sz w:val="18"/>
                            <w:szCs w:val="18"/>
                          </w:rPr>
                          <w:t>其他货币资金</w:t>
                          <w:tab/>
                        </w:r>
                        <w:r>
                          <w:rPr>
                            <w:rFonts w:ascii="Times New Roman" w:hAnsi="Times New Roman" w:cs="Times New Roman" w:eastAsia="Times New Roman" w:hint="default"/>
                            <w:spacing w:val="-1"/>
                            <w:sz w:val="18"/>
                            <w:szCs w:val="18"/>
                          </w:rPr>
                          <w:t>161,328,139.02</w:t>
                        </w:r>
                      </w:p>
                    </w:tc>
                    <w:tc>
                      <w:tcPr>
                        <w:tcW w:w="710" w:type="dxa"/>
                        <w:tcBorders>
                          <w:top w:val="nil" w:sz="6" w:space="0" w:color="auto"/>
                          <w:left w:val="nil" w:sz="6" w:space="0" w:color="auto"/>
                          <w:bottom w:val="nil" w:sz="6" w:space="0" w:color="auto"/>
                          <w:right w:val="nil" w:sz="6" w:space="0" w:color="auto"/>
                        </w:tcBorders>
                      </w:tcPr>
                      <w:p>
                        <w:pPr/>
                      </w:p>
                    </w:tc>
                    <w:tc>
                      <w:tcPr>
                        <w:tcW w:w="2951" w:type="dxa"/>
                        <w:tcBorders>
                          <w:top w:val="nil" w:sz="6" w:space="0" w:color="auto"/>
                          <w:left w:val="nil" w:sz="6" w:space="0" w:color="auto"/>
                          <w:bottom w:val="nil" w:sz="6" w:space="0" w:color="auto"/>
                          <w:right w:val="nil" w:sz="6" w:space="0" w:color="auto"/>
                        </w:tcBorders>
                      </w:tcPr>
                      <w:p>
                        <w:pPr>
                          <w:pStyle w:val="TableParagraph"/>
                          <w:tabs>
                            <w:tab w:pos="1481" w:val="left" w:leader="none"/>
                          </w:tabs>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161,328,139.02</w:t>
                          <w:tab/>
                          <w:t>288,013,069.11</w:t>
                        </w:r>
                      </w:p>
                    </w:tc>
                    <w:tc>
                      <w:tcPr>
                        <w:tcW w:w="71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288,013,069.11</w:t>
                        </w:r>
                      </w:p>
                    </w:tc>
                  </w:tr>
                  <w:tr>
                    <w:trPr>
                      <w:trHeight w:val="288" w:hRule="exact"/>
                    </w:trPr>
                    <w:tc>
                      <w:tcPr>
                        <w:tcW w:w="2798" w:type="dxa"/>
                        <w:tcBorders>
                          <w:top w:val="nil" w:sz="6" w:space="0" w:color="auto"/>
                          <w:left w:val="nil" w:sz="6" w:space="0" w:color="auto"/>
                          <w:bottom w:val="single" w:sz="4" w:space="0" w:color="000000"/>
                          <w:right w:val="nil" w:sz="6" w:space="0" w:color="auto"/>
                        </w:tcBorders>
                      </w:tcPr>
                      <w:p>
                        <w:pPr>
                          <w:pStyle w:val="TableParagraph"/>
                          <w:tabs>
                            <w:tab w:pos="1589" w:val="left" w:leader="none"/>
                          </w:tabs>
                          <w:spacing w:line="240" w:lineRule="exact"/>
                          <w:ind w:right="106"/>
                          <w:jc w:val="right"/>
                          <w:rPr>
                            <w:rFonts w:ascii="Times New Roman" w:hAnsi="Times New Roman" w:cs="Times New Roman" w:eastAsia="Times New Roman" w:hint="default"/>
                            <w:sz w:val="18"/>
                            <w:szCs w:val="18"/>
                          </w:rPr>
                        </w:pPr>
                        <w:r>
                          <w:rPr>
                            <w:rFonts w:ascii="楷体" w:hAnsi="楷体" w:cs="楷体" w:eastAsia="楷体" w:hint="default"/>
                            <w:sz w:val="18"/>
                            <w:szCs w:val="18"/>
                          </w:rPr>
                          <w:t>其中：美元</w:t>
                          <w:tab/>
                        </w:r>
                        <w:r>
                          <w:rPr>
                            <w:rFonts w:ascii="Times New Roman" w:hAnsi="Times New Roman" w:cs="Times New Roman" w:eastAsia="Times New Roman" w:hint="default"/>
                            <w:sz w:val="18"/>
                            <w:szCs w:val="18"/>
                          </w:rPr>
                          <w:t>447,386.93</w:t>
                        </w: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07" w:right="0"/>
                          <w:jc w:val="left"/>
                          <w:rPr>
                            <w:rFonts w:ascii="Times New Roman" w:hAnsi="Times New Roman" w:cs="Times New Roman" w:eastAsia="Times New Roman" w:hint="default"/>
                            <w:sz w:val="18"/>
                            <w:szCs w:val="18"/>
                          </w:rPr>
                        </w:pPr>
                        <w:r>
                          <w:rPr>
                            <w:rFonts w:ascii="Times New Roman"/>
                            <w:sz w:val="18"/>
                          </w:rPr>
                          <w:t>6.8346</w:t>
                        </w:r>
                      </w:p>
                    </w:tc>
                    <w:tc>
                      <w:tcPr>
                        <w:tcW w:w="2951" w:type="dxa"/>
                        <w:tcBorders>
                          <w:top w:val="nil" w:sz="6" w:space="0" w:color="auto"/>
                          <w:left w:val="nil" w:sz="6" w:space="0" w:color="auto"/>
                          <w:bottom w:val="single" w:sz="4" w:space="0" w:color="000000"/>
                          <w:right w:val="nil" w:sz="6" w:space="0" w:color="auto"/>
                        </w:tcBorders>
                      </w:tcPr>
                      <w:p>
                        <w:pPr>
                          <w:pStyle w:val="TableParagraph"/>
                          <w:tabs>
                            <w:tab w:pos="1610" w:val="left" w:leader="none"/>
                          </w:tabs>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3,057,710.71</w:t>
                          <w:tab/>
                        </w:r>
                        <w:r>
                          <w:rPr>
                            <w:rFonts w:ascii="Times New Roman"/>
                            <w:sz w:val="18"/>
                          </w:rPr>
                          <w:t>235,985.97</w:t>
                        </w:r>
                      </w:p>
                    </w:tc>
                    <w:tc>
                      <w:tcPr>
                        <w:tcW w:w="71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7.3046</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1,723,783.12</w:t>
                        </w:r>
                      </w:p>
                    </w:tc>
                  </w:tr>
                  <w:tr>
                    <w:trPr>
                      <w:trHeight w:val="304" w:hRule="exact"/>
                    </w:trPr>
                    <w:tc>
                      <w:tcPr>
                        <w:tcW w:w="2798"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710" w:type="dxa"/>
                        <w:tcBorders>
                          <w:top w:val="single" w:sz="4" w:space="0" w:color="000000"/>
                          <w:left w:val="nil" w:sz="6" w:space="0" w:color="auto"/>
                          <w:bottom w:val="single" w:sz="12" w:space="0" w:color="000000"/>
                          <w:right w:val="nil" w:sz="6" w:space="0" w:color="auto"/>
                        </w:tcBorders>
                      </w:tcPr>
                      <w:p>
                        <w:pPr/>
                      </w:p>
                    </w:tc>
                    <w:tc>
                      <w:tcPr>
                        <w:tcW w:w="29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07" w:right="0"/>
                          <w:jc w:val="left"/>
                          <w:rPr>
                            <w:rFonts w:ascii="Times New Roman" w:hAnsi="Times New Roman" w:cs="Times New Roman" w:eastAsia="Times New Roman" w:hint="default"/>
                            <w:sz w:val="18"/>
                            <w:szCs w:val="18"/>
                          </w:rPr>
                        </w:pPr>
                        <w:r>
                          <w:rPr>
                            <w:rFonts w:ascii="Times New Roman"/>
                            <w:b/>
                            <w:sz w:val="18"/>
                          </w:rPr>
                          <w:t>3,241,319,108.47</w:t>
                        </w:r>
                        <w:r>
                          <w:rPr>
                            <w:rFonts w:ascii="Times New Roman"/>
                            <w:sz w:val="18"/>
                          </w:rPr>
                        </w:r>
                      </w:p>
                    </w:tc>
                    <w:tc>
                      <w:tcPr>
                        <w:tcW w:w="712" w:type="dxa"/>
                        <w:tcBorders>
                          <w:top w:val="single" w:sz="4" w:space="0" w:color="000000"/>
                          <w:left w:val="nil" w:sz="6" w:space="0" w:color="auto"/>
                          <w:bottom w:val="single" w:sz="12" w:space="0" w:color="000000"/>
                          <w:right w:val="nil" w:sz="6" w:space="0" w:color="auto"/>
                        </w:tcBorders>
                      </w:tcPr>
                      <w:p>
                        <w:pPr/>
                      </w:p>
                    </w:tc>
                    <w:tc>
                      <w:tcPr>
                        <w:tcW w:w="1469"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b/>
                            <w:spacing w:val="-1"/>
                            <w:sz w:val="18"/>
                          </w:rPr>
                          <w:t>2,906,518,008.44</w:t>
                        </w:r>
                        <w:r>
                          <w:rPr>
                            <w:rFonts w:ascii="Times New Roman"/>
                            <w:spacing w:val="-1"/>
                            <w:sz w:val="18"/>
                          </w:rPr>
                        </w:r>
                      </w:p>
                    </w:tc>
                  </w:tr>
                  <w:tr>
                    <w:trPr>
                      <w:trHeight w:val="576" w:hRule="exact"/>
                    </w:trPr>
                    <w:tc>
                      <w:tcPr>
                        <w:tcW w:w="2798" w:type="dxa"/>
                        <w:tcBorders>
                          <w:top w:val="single" w:sz="12" w:space="0" w:color="000000"/>
                          <w:left w:val="nil" w:sz="6" w:space="0" w:color="auto"/>
                          <w:bottom w:val="single" w:sz="12" w:space="0" w:color="000000"/>
                          <w:right w:val="nil" w:sz="6" w:space="0" w:color="auto"/>
                        </w:tcBorders>
                      </w:tcPr>
                      <w:p>
                        <w:pPr>
                          <w:pStyle w:val="TableParagraph"/>
                          <w:tabs>
                            <w:tab w:pos="629" w:val="left" w:leader="none"/>
                          </w:tabs>
                          <w:spacing w:line="240" w:lineRule="auto" w:before="94"/>
                          <w:ind w:left="163" w:right="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2.</w:t>
                          <w:tab/>
                        </w:r>
                        <w:r>
                          <w:rPr>
                            <w:rFonts w:ascii="楷体" w:hAnsi="楷体" w:cs="楷体" w:eastAsia="楷体" w:hint="default"/>
                            <w:sz w:val="22"/>
                            <w:szCs w:val="22"/>
                          </w:rPr>
                          <w:t>交易性金融资产</w:t>
                        </w:r>
                      </w:p>
                    </w:tc>
                    <w:tc>
                      <w:tcPr>
                        <w:tcW w:w="710" w:type="dxa"/>
                        <w:tcBorders>
                          <w:top w:val="single" w:sz="12" w:space="0" w:color="000000"/>
                          <w:left w:val="nil" w:sz="6" w:space="0" w:color="auto"/>
                          <w:bottom w:val="single" w:sz="12" w:space="0" w:color="000000"/>
                          <w:right w:val="nil" w:sz="6" w:space="0" w:color="auto"/>
                        </w:tcBorders>
                      </w:tcPr>
                      <w:p>
                        <w:pPr/>
                      </w:p>
                    </w:tc>
                    <w:tc>
                      <w:tcPr>
                        <w:tcW w:w="2951" w:type="dxa"/>
                        <w:tcBorders>
                          <w:top w:val="single" w:sz="12" w:space="0" w:color="000000"/>
                          <w:left w:val="nil" w:sz="6" w:space="0" w:color="auto"/>
                          <w:bottom w:val="single" w:sz="12" w:space="0" w:color="000000"/>
                          <w:right w:val="nil" w:sz="6" w:space="0" w:color="auto"/>
                        </w:tcBorders>
                      </w:tcPr>
                      <w:p>
                        <w:pPr/>
                      </w:p>
                    </w:tc>
                    <w:tc>
                      <w:tcPr>
                        <w:tcW w:w="712" w:type="dxa"/>
                        <w:tcBorders>
                          <w:top w:val="single" w:sz="12" w:space="0" w:color="000000"/>
                          <w:left w:val="nil" w:sz="6" w:space="0" w:color="auto"/>
                          <w:bottom w:val="single" w:sz="12" w:space="0" w:color="000000"/>
                          <w:right w:val="nil" w:sz="6" w:space="0" w:color="auto"/>
                        </w:tcBorders>
                      </w:tcPr>
                      <w:p>
                        <w:pPr/>
                      </w:p>
                    </w:tc>
                    <w:tc>
                      <w:tcPr>
                        <w:tcW w:w="1469"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279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710" w:type="dxa"/>
                        <w:tcBorders>
                          <w:top w:val="single" w:sz="12" w:space="0" w:color="000000"/>
                          <w:left w:val="nil" w:sz="6" w:space="0" w:color="auto"/>
                          <w:bottom w:val="single" w:sz="4" w:space="0" w:color="000000"/>
                          <w:right w:val="nil" w:sz="6" w:space="0" w:color="auto"/>
                        </w:tcBorders>
                      </w:tcPr>
                      <w:p>
                        <w:pPr/>
                      </w:p>
                    </w:tc>
                    <w:tc>
                      <w:tcPr>
                        <w:tcW w:w="29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年末公允价值</w:t>
                        </w:r>
                        <w:r>
                          <w:rPr>
                            <w:rFonts w:ascii="Microsoft JhengHei" w:hAnsi="Microsoft JhengHei" w:cs="Microsoft JhengHei" w:eastAsia="Microsoft JhengHei" w:hint="default"/>
                            <w:sz w:val="18"/>
                            <w:szCs w:val="18"/>
                          </w:rPr>
                        </w:r>
                      </w:p>
                    </w:tc>
                    <w:tc>
                      <w:tcPr>
                        <w:tcW w:w="712" w:type="dxa"/>
                        <w:tcBorders>
                          <w:top w:val="single" w:sz="12" w:space="0" w:color="000000"/>
                          <w:left w:val="nil" w:sz="6" w:space="0" w:color="auto"/>
                          <w:bottom w:val="single" w:sz="4" w:space="0" w:color="000000"/>
                          <w:right w:val="nil" w:sz="6" w:space="0" w:color="auto"/>
                        </w:tcBorders>
                      </w:tcPr>
                      <w:p>
                        <w:pPr/>
                      </w:p>
                    </w:tc>
                    <w:tc>
                      <w:tcPr>
                        <w:tcW w:w="1469"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0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年初公允价值</w:t>
                        </w:r>
                        <w:r>
                          <w:rPr>
                            <w:rFonts w:ascii="Microsoft JhengHei" w:hAnsi="Microsoft JhengHei" w:cs="Microsoft JhengHei" w:eastAsia="Microsoft JhengHei" w:hint="default"/>
                            <w:sz w:val="18"/>
                            <w:szCs w:val="18"/>
                          </w:rPr>
                        </w:r>
                      </w:p>
                    </w:tc>
                  </w:tr>
                  <w:tr>
                    <w:trPr>
                      <w:trHeight w:val="262" w:hRule="exact"/>
                    </w:trPr>
                    <w:tc>
                      <w:tcPr>
                        <w:tcW w:w="2798"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color w:val="212121"/>
                            <w:sz w:val="18"/>
                            <w:szCs w:val="18"/>
                          </w:rPr>
                          <w:t>债券投资</w:t>
                        </w:r>
                        <w:r>
                          <w:rPr>
                            <w:rFonts w:ascii="楷体" w:hAnsi="楷体" w:cs="楷体" w:eastAsia="楷体" w:hint="default"/>
                            <w:sz w:val="18"/>
                            <w:szCs w:val="18"/>
                          </w:rPr>
                        </w:r>
                      </w:p>
                    </w:tc>
                    <w:tc>
                      <w:tcPr>
                        <w:tcW w:w="710" w:type="dxa"/>
                        <w:tcBorders>
                          <w:top w:val="single" w:sz="4" w:space="0" w:color="000000"/>
                          <w:left w:val="nil" w:sz="6" w:space="0" w:color="auto"/>
                          <w:bottom w:val="nil" w:sz="6" w:space="0" w:color="auto"/>
                          <w:right w:val="nil" w:sz="6" w:space="0" w:color="auto"/>
                        </w:tcBorders>
                      </w:tcPr>
                      <w:p>
                        <w:pPr/>
                      </w:p>
                    </w:tc>
                    <w:tc>
                      <w:tcPr>
                        <w:tcW w:w="29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97"/>
                          <w:jc w:val="right"/>
                          <w:rPr>
                            <w:rFonts w:ascii="Times New Roman" w:hAnsi="Times New Roman" w:cs="Times New Roman" w:eastAsia="Times New Roman" w:hint="default"/>
                            <w:sz w:val="18"/>
                            <w:szCs w:val="18"/>
                          </w:rPr>
                        </w:pPr>
                        <w:r>
                          <w:rPr>
                            <w:rFonts w:ascii="Times New Roman"/>
                            <w:sz w:val="18"/>
                          </w:rPr>
                          <w:t>0.00</w:t>
                        </w:r>
                      </w:p>
                    </w:tc>
                    <w:tc>
                      <w:tcPr>
                        <w:tcW w:w="712"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0.00</w:t>
                        </w:r>
                      </w:p>
                    </w:tc>
                  </w:tr>
                  <w:tr>
                    <w:trPr>
                      <w:trHeight w:val="314" w:hRule="exact"/>
                    </w:trPr>
                    <w:tc>
                      <w:tcPr>
                        <w:tcW w:w="2798" w:type="dxa"/>
                        <w:tcBorders>
                          <w:top w:val="nil" w:sz="6" w:space="0" w:color="auto"/>
                          <w:left w:val="nil" w:sz="6" w:space="0" w:color="auto"/>
                          <w:bottom w:val="single" w:sz="4" w:space="0" w:color="000000"/>
                          <w:right w:val="nil" w:sz="6" w:space="0" w:color="auto"/>
                        </w:tcBorders>
                      </w:tcPr>
                      <w:p>
                        <w:pPr>
                          <w:pStyle w:val="TableParagraph"/>
                          <w:spacing w:line="261" w:lineRule="exact"/>
                          <w:ind w:left="108" w:right="0"/>
                          <w:jc w:val="left"/>
                          <w:rPr>
                            <w:rFonts w:ascii="楷体" w:hAnsi="楷体" w:cs="楷体" w:eastAsia="楷体" w:hint="default"/>
                            <w:sz w:val="24"/>
                            <w:szCs w:val="24"/>
                          </w:rPr>
                        </w:pPr>
                        <w:r>
                          <w:rPr>
                            <w:rFonts w:ascii="楷体" w:hAnsi="楷体" w:cs="楷体" w:eastAsia="楷体" w:hint="default"/>
                            <w:sz w:val="24"/>
                            <w:szCs w:val="24"/>
                          </w:rPr>
                          <w:t>基金投资</w:t>
                        </w:r>
                      </w:p>
                    </w:tc>
                    <w:tc>
                      <w:tcPr>
                        <w:tcW w:w="710" w:type="dxa"/>
                        <w:tcBorders>
                          <w:top w:val="nil" w:sz="6" w:space="0" w:color="auto"/>
                          <w:left w:val="nil" w:sz="6" w:space="0" w:color="auto"/>
                          <w:bottom w:val="single" w:sz="4" w:space="0" w:color="000000"/>
                          <w:right w:val="nil" w:sz="6" w:space="0" w:color="auto"/>
                        </w:tcBorders>
                      </w:tcPr>
                      <w:p>
                        <w:pPr/>
                      </w:p>
                    </w:tc>
                    <w:tc>
                      <w:tcPr>
                        <w:tcW w:w="295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315" w:right="0"/>
                          <w:jc w:val="left"/>
                          <w:rPr>
                            <w:rFonts w:ascii="Times New Roman" w:hAnsi="Times New Roman" w:cs="Times New Roman" w:eastAsia="Times New Roman" w:hint="default"/>
                            <w:sz w:val="18"/>
                            <w:szCs w:val="18"/>
                          </w:rPr>
                        </w:pPr>
                        <w:r>
                          <w:rPr>
                            <w:rFonts w:ascii="Times New Roman"/>
                            <w:sz w:val="18"/>
                          </w:rPr>
                          <w:t>28,029,337.68</w:t>
                        </w:r>
                      </w:p>
                    </w:tc>
                    <w:tc>
                      <w:tcPr>
                        <w:tcW w:w="712" w:type="dxa"/>
                        <w:tcBorders>
                          <w:top w:val="nil" w:sz="6" w:space="0" w:color="auto"/>
                          <w:left w:val="nil" w:sz="6" w:space="0" w:color="auto"/>
                          <w:bottom w:val="single" w:sz="4" w:space="0" w:color="000000"/>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0"/>
                          <w:jc w:val="right"/>
                          <w:rPr>
                            <w:rFonts w:ascii="Times New Roman" w:hAnsi="Times New Roman" w:cs="Times New Roman" w:eastAsia="Times New Roman" w:hint="default"/>
                            <w:sz w:val="18"/>
                            <w:szCs w:val="18"/>
                          </w:rPr>
                        </w:pPr>
                        <w:r>
                          <w:rPr>
                            <w:rFonts w:ascii="Times New Roman"/>
                            <w:spacing w:val="-1"/>
                            <w:sz w:val="18"/>
                          </w:rPr>
                          <w:t>43,557,514.85</w:t>
                        </w:r>
                      </w:p>
                    </w:tc>
                  </w:tr>
                  <w:tr>
                    <w:trPr>
                      <w:trHeight w:val="304" w:hRule="exact"/>
                    </w:trPr>
                    <w:tc>
                      <w:tcPr>
                        <w:tcW w:w="2798"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710" w:type="dxa"/>
                        <w:tcBorders>
                          <w:top w:val="single" w:sz="4" w:space="0" w:color="000000"/>
                          <w:left w:val="nil" w:sz="6" w:space="0" w:color="auto"/>
                          <w:bottom w:val="single" w:sz="12" w:space="0" w:color="000000"/>
                          <w:right w:val="nil" w:sz="6" w:space="0" w:color="auto"/>
                        </w:tcBorders>
                      </w:tcPr>
                      <w:p>
                        <w:pPr/>
                      </w:p>
                    </w:tc>
                    <w:tc>
                      <w:tcPr>
                        <w:tcW w:w="29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315" w:right="0"/>
                          <w:jc w:val="left"/>
                          <w:rPr>
                            <w:rFonts w:ascii="Times New Roman" w:hAnsi="Times New Roman" w:cs="Times New Roman" w:eastAsia="Times New Roman" w:hint="default"/>
                            <w:sz w:val="18"/>
                            <w:szCs w:val="18"/>
                          </w:rPr>
                        </w:pPr>
                        <w:r>
                          <w:rPr>
                            <w:rFonts w:ascii="Times New Roman"/>
                            <w:b/>
                            <w:sz w:val="18"/>
                          </w:rPr>
                          <w:t>28,029,337.68</w:t>
                        </w:r>
                        <w:r>
                          <w:rPr>
                            <w:rFonts w:ascii="Times New Roman"/>
                            <w:sz w:val="18"/>
                          </w:rPr>
                        </w:r>
                      </w:p>
                    </w:tc>
                    <w:tc>
                      <w:tcPr>
                        <w:tcW w:w="712" w:type="dxa"/>
                        <w:tcBorders>
                          <w:top w:val="single" w:sz="4" w:space="0" w:color="000000"/>
                          <w:left w:val="nil" w:sz="6" w:space="0" w:color="auto"/>
                          <w:bottom w:val="single" w:sz="12" w:space="0" w:color="000000"/>
                          <w:right w:val="nil" w:sz="6" w:space="0" w:color="auto"/>
                        </w:tcBorders>
                      </w:tcPr>
                      <w:p>
                        <w:pPr/>
                      </w:p>
                    </w:tc>
                    <w:tc>
                      <w:tcPr>
                        <w:tcW w:w="146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b/>
                            <w:spacing w:val="-1"/>
                            <w:sz w:val="18"/>
                          </w:rPr>
                          <w:t>43,557,514.85</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position w:val="-9"/>
          <w:sz w:val="18"/>
          <w:szCs w:val="18"/>
        </w:rPr>
        <w:t>原币</w:t>
        <w:tab/>
      </w:r>
      <w:r>
        <w:rPr>
          <w:rFonts w:ascii="Microsoft JhengHei" w:hAnsi="Microsoft JhengHei" w:cs="Microsoft JhengHei" w:eastAsia="Microsoft JhengHei" w:hint="default"/>
          <w:b/>
          <w:bCs/>
          <w:sz w:val="18"/>
          <w:szCs w:val="18"/>
        </w:rPr>
        <w:t>折算</w:t>
      </w:r>
      <w:r>
        <w:rPr>
          <w:rFonts w:ascii="Microsoft JhengHei" w:hAnsi="Microsoft JhengHei" w:cs="Microsoft JhengHei" w:eastAsia="Microsoft JhengHei" w:hint="default"/>
          <w:sz w:val="18"/>
          <w:szCs w:val="18"/>
        </w:rPr>
      </w:r>
    </w:p>
    <w:p>
      <w:pPr>
        <w:tabs>
          <w:tab w:pos="2165" w:val="left" w:leader="none"/>
        </w:tabs>
        <w:spacing w:line="300" w:lineRule="exact" w:before="0"/>
        <w:ind w:left="418" w:right="-17"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折合人民币</w:t>
        <w:tab/>
        <w:t>原币</w:t>
      </w:r>
      <w:r>
        <w:rPr>
          <w:rFonts w:ascii="Microsoft JhengHei" w:hAnsi="Microsoft JhengHei" w:cs="Microsoft JhengHei" w:eastAsia="Microsoft JhengHei" w:hint="default"/>
          <w:sz w:val="18"/>
          <w:szCs w:val="18"/>
        </w:rPr>
      </w:r>
    </w:p>
    <w:p>
      <w:pPr>
        <w:tabs>
          <w:tab w:pos="1513" w:val="left" w:leader="none"/>
        </w:tabs>
        <w:spacing w:line="300" w:lineRule="exact" w:before="0"/>
        <w:ind w:left="691"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position w:val="10"/>
          <w:sz w:val="18"/>
          <w:szCs w:val="18"/>
        </w:rPr>
        <w:t>折算</w:t>
        <w:tab/>
      </w: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p>
      <w:pPr>
        <w:spacing w:after="0" w:line="300" w:lineRule="exact"/>
        <w:jc w:val="left"/>
        <w:rPr>
          <w:rFonts w:ascii="Microsoft JhengHei" w:hAnsi="Microsoft JhengHei" w:cs="Microsoft JhengHei" w:eastAsia="Microsoft JhengHei" w:hint="default"/>
          <w:sz w:val="18"/>
          <w:szCs w:val="18"/>
        </w:rPr>
        <w:sectPr>
          <w:type w:val="continuous"/>
          <w:pgSz w:w="11910" w:h="16840"/>
          <w:pgMar w:top="1600" w:bottom="280" w:left="720" w:right="600"/>
          <w:cols w:num="3" w:equalWidth="0">
            <w:col w:w="4311" w:space="40"/>
            <w:col w:w="2529" w:space="40"/>
            <w:col w:w="3670"/>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4"/>
          <w:szCs w:val="14"/>
        </w:rPr>
      </w:pPr>
    </w:p>
    <w:p>
      <w:pPr>
        <w:spacing w:before="31"/>
        <w:ind w:left="578" w:right="2246" w:firstLine="0"/>
        <w:jc w:val="left"/>
        <w:rPr>
          <w:rFonts w:ascii="楷体" w:hAnsi="楷体" w:cs="楷体" w:eastAsia="楷体" w:hint="default"/>
          <w:sz w:val="22"/>
          <w:szCs w:val="22"/>
        </w:rPr>
      </w:pPr>
      <w:r>
        <w:rPr>
          <w:rFonts w:ascii="楷体" w:hAnsi="楷体" w:cs="楷体" w:eastAsia="楷体" w:hint="default"/>
          <w:sz w:val="22"/>
          <w:szCs w:val="22"/>
        </w:rPr>
        <w:t>年末本公司交易性金融资产为基金投资，投资变现不存在重大限制。</w:t>
      </w:r>
    </w:p>
    <w:p>
      <w:pPr>
        <w:tabs>
          <w:tab w:pos="1045" w:val="left" w:leader="none"/>
        </w:tabs>
        <w:spacing w:before="179"/>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3.</w:t>
        <w:tab/>
      </w:r>
      <w:r>
        <w:rPr>
          <w:rFonts w:ascii="楷体" w:hAnsi="楷体" w:cs="楷体" w:eastAsia="楷体" w:hint="default"/>
          <w:sz w:val="22"/>
          <w:szCs w:val="22"/>
        </w:rPr>
        <w:t>应收票据</w:t>
      </w:r>
    </w:p>
    <w:p>
      <w:pPr>
        <w:spacing w:line="240" w:lineRule="auto" w:before="5"/>
        <w:rPr>
          <w:rFonts w:ascii="楷体" w:hAnsi="楷体" w:cs="楷体" w:eastAsia="楷体" w:hint="default"/>
          <w:sz w:val="12"/>
          <w:szCs w:val="12"/>
        </w:rPr>
      </w:pPr>
    </w:p>
    <w:tbl>
      <w:tblPr>
        <w:tblW w:w="0" w:type="auto"/>
        <w:jc w:val="left"/>
        <w:tblInd w:w="415" w:type="dxa"/>
        <w:tblLayout w:type="fixed"/>
        <w:tblCellMar>
          <w:top w:w="0" w:type="dxa"/>
          <w:left w:w="0" w:type="dxa"/>
          <w:bottom w:w="0" w:type="dxa"/>
          <w:right w:w="0" w:type="dxa"/>
        </w:tblCellMar>
        <w:tblLook w:val="01E0"/>
      </w:tblPr>
      <w:tblGrid>
        <w:gridCol w:w="2950"/>
        <w:gridCol w:w="3676"/>
        <w:gridCol w:w="2014"/>
      </w:tblGrid>
      <w:tr>
        <w:trPr>
          <w:trHeight w:val="303" w:hRule="exact"/>
        </w:trPr>
        <w:tc>
          <w:tcPr>
            <w:tcW w:w="295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票据种类</w:t>
            </w:r>
            <w:r>
              <w:rPr>
                <w:rFonts w:ascii="Microsoft JhengHei" w:hAnsi="Microsoft JhengHei" w:cs="Microsoft JhengHei" w:eastAsia="Microsoft JhengHei" w:hint="default"/>
                <w:sz w:val="18"/>
                <w:szCs w:val="18"/>
              </w:rPr>
            </w:r>
          </w:p>
        </w:tc>
        <w:tc>
          <w:tcPr>
            <w:tcW w:w="367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01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2950"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银行承兑汇票</w:t>
            </w:r>
          </w:p>
        </w:tc>
        <w:tc>
          <w:tcPr>
            <w:tcW w:w="367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786"/>
              <w:jc w:val="right"/>
              <w:rPr>
                <w:rFonts w:ascii="Times New Roman" w:hAnsi="Times New Roman" w:cs="Times New Roman" w:eastAsia="Times New Roman" w:hint="default"/>
                <w:sz w:val="18"/>
                <w:szCs w:val="18"/>
              </w:rPr>
            </w:pPr>
            <w:r>
              <w:rPr>
                <w:rFonts w:ascii="Times New Roman"/>
                <w:spacing w:val="-1"/>
                <w:sz w:val="18"/>
              </w:rPr>
              <w:t>105,844,895.38</w:t>
            </w:r>
          </w:p>
        </w:tc>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100,814,502.88</w:t>
            </w:r>
          </w:p>
        </w:tc>
      </w:tr>
      <w:tr>
        <w:trPr>
          <w:trHeight w:val="289" w:hRule="exact"/>
        </w:trPr>
        <w:tc>
          <w:tcPr>
            <w:tcW w:w="2950"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商业承兑汇票</w:t>
            </w:r>
          </w:p>
        </w:tc>
        <w:tc>
          <w:tcPr>
            <w:tcW w:w="367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789"/>
              <w:jc w:val="right"/>
              <w:rPr>
                <w:rFonts w:ascii="Times New Roman" w:hAnsi="Times New Roman" w:cs="Times New Roman" w:eastAsia="Times New Roman" w:hint="default"/>
                <w:sz w:val="18"/>
                <w:szCs w:val="18"/>
              </w:rPr>
            </w:pPr>
            <w:r>
              <w:rPr>
                <w:rFonts w:ascii="Times New Roman"/>
                <w:spacing w:val="-1"/>
                <w:sz w:val="18"/>
              </w:rPr>
              <w:t>1,739,189.37</w:t>
            </w:r>
          </w:p>
        </w:tc>
        <w:tc>
          <w:tcPr>
            <w:tcW w:w="201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bl>
    <w:p>
      <w:pPr>
        <w:tabs>
          <w:tab w:pos="5126" w:val="left" w:leader="none"/>
          <w:tab w:pos="7830" w:val="left" w:leader="none"/>
        </w:tabs>
        <w:spacing w:line="241" w:lineRule="exact" w:before="0"/>
        <w:ind w:left="523"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pacing w:val="-1"/>
          <w:sz w:val="18"/>
          <w:szCs w:val="18"/>
        </w:rPr>
        <w:t>107,584,084.75</w:t>
        <w:tab/>
        <w:t>100,814,502.88</w:t>
      </w:r>
      <w:r>
        <w:rPr>
          <w:rFonts w:ascii="Times New Roman" w:hAnsi="Times New Roman" w:cs="Times New Roman" w:eastAsia="Times New Roman" w:hint="default"/>
          <w:spacing w:val="-1"/>
          <w:sz w:val="18"/>
          <w:szCs w:val="18"/>
        </w:rPr>
      </w:r>
    </w:p>
    <w:p>
      <w:pPr>
        <w:spacing w:line="240" w:lineRule="auto" w:before="2"/>
        <w:rPr>
          <w:rFonts w:ascii="Times New Roman" w:hAnsi="Times New Roman" w:cs="Times New Roman" w:eastAsia="Times New Roman" w:hint="default"/>
          <w:b/>
          <w:bCs/>
          <w:sz w:val="3"/>
          <w:szCs w:val="3"/>
        </w:rPr>
      </w:pPr>
    </w:p>
    <w:p>
      <w:pPr>
        <w:spacing w:line="30" w:lineRule="exact"/>
        <w:ind w:left="386"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4.6pt;height:1.5pt;mso-position-horizontal-relative:char;mso-position-vertical-relative:line" coordorigin="0,0" coordsize="8692,30">
            <v:group style="position:absolute;left:15;top:15;width:3336;height:2" coordorigin="15,15" coordsize="3336,2">
              <v:shape style="position:absolute;left:15;top:15;width:3336;height:2" coordorigin="15,15" coordsize="3336,0" path="m15,15l3351,15e" filled="false" stroked="true" strokeweight="1.5pt" strokecolor="#000000">
                <v:path arrowok="t"/>
              </v:shape>
            </v:group>
            <v:group style="position:absolute;left:3337;top:15;width:2637;height:2" coordorigin="3337,15" coordsize="2637,2">
              <v:shape style="position:absolute;left:3337;top:15;width:2637;height:2" coordorigin="3337,15" coordsize="2637,0" path="m3337,15l5973,15e" filled="false" stroked="true" strokeweight="1.5pt" strokecolor="#000000">
                <v:path arrowok="t"/>
              </v:shape>
            </v:group>
            <v:group style="position:absolute;left:5959;top:15;width:2718;height:2" coordorigin="5959,15" coordsize="2718,2">
              <v:shape style="position:absolute;left:5959;top:15;width:2718;height:2" coordorigin="5959,15" coordsize="2718,0" path="m5959,15l8677,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line="240" w:lineRule="auto" w:before="5"/>
        <w:rPr>
          <w:rFonts w:ascii="Times New Roman" w:hAnsi="Times New Roman" w:cs="Times New Roman" w:eastAsia="Times New Roman" w:hint="default"/>
          <w:b/>
          <w:bCs/>
          <w:sz w:val="5"/>
          <w:szCs w:val="5"/>
        </w:rPr>
      </w:pPr>
    </w:p>
    <w:p>
      <w:pPr>
        <w:tabs>
          <w:tab w:pos="1045" w:val="left" w:leader="none"/>
        </w:tabs>
        <w:spacing w:before="31"/>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4.</w:t>
        <w:tab/>
      </w:r>
      <w:r>
        <w:rPr>
          <w:rFonts w:ascii="楷体" w:hAnsi="楷体" w:cs="楷体" w:eastAsia="楷体" w:hint="default"/>
          <w:sz w:val="22"/>
          <w:szCs w:val="22"/>
        </w:rPr>
        <w:t>应收账款</w:t>
      </w:r>
    </w:p>
    <w:p>
      <w:pPr>
        <w:spacing w:before="163"/>
        <w:ind w:left="592"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应收账款账龄</w:t>
      </w:r>
    </w:p>
    <w:p>
      <w:pPr>
        <w:spacing w:line="240" w:lineRule="auto" w:before="3"/>
        <w:rPr>
          <w:rFonts w:ascii="楷体" w:hAnsi="楷体" w:cs="楷体" w:eastAsia="楷体" w:hint="default"/>
          <w:sz w:val="11"/>
          <w:szCs w:val="11"/>
        </w:rPr>
      </w:pPr>
    </w:p>
    <w:p>
      <w:pPr>
        <w:spacing w:line="30" w:lineRule="exact"/>
        <w:ind w:left="409"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tabs>
          <w:tab w:pos="6813" w:val="left" w:leader="none"/>
        </w:tabs>
        <w:spacing w:line="157" w:lineRule="exact" w:before="0"/>
        <w:ind w:left="305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147" w:lineRule="exact" w:before="0"/>
        <w:ind w:left="524" w:right="6555" w:firstLine="0"/>
        <w:jc w:val="left"/>
        <w:rPr>
          <w:rFonts w:ascii="Microsoft JhengHei" w:hAnsi="Microsoft JhengHei" w:cs="Microsoft JhengHei" w:eastAsia="Microsoft JhengHei" w:hint="default"/>
          <w:sz w:val="18"/>
          <w:szCs w:val="18"/>
        </w:rPr>
      </w:pPr>
      <w:r>
        <w:rPr/>
        <w:pict>
          <v:group style="position:absolute;margin-left:141.059998pt;margin-top:6.623148pt;width:375.7pt;height:.1pt;mso-position-horizontal-relative:page;mso-position-vertical-relative:paragraph;z-index:2224" coordorigin="2821,132" coordsize="7514,2">
            <v:shape style="position:absolute;left:2821;top:132;width:7514;height:2" coordorigin="2821,132" coordsize="7514,0" path="m2821,132l10334,132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tabs>
          <w:tab w:pos="3306" w:val="left" w:leader="none"/>
          <w:tab w:pos="4253" w:val="left" w:leader="none"/>
          <w:tab w:pos="5852" w:val="left" w:leader="none"/>
          <w:tab w:pos="7063" w:val="left" w:leader="none"/>
          <w:tab w:pos="8024" w:val="left" w:leader="none"/>
        </w:tabs>
        <w:spacing w:line="238" w:lineRule="exact" w:before="0"/>
        <w:ind w:left="2109"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tab/>
        <w:t>比例</w:t>
        <w:tab/>
        <w:t>坏账准备</w:t>
        <w:tab/>
        <w:t>金额</w:t>
        <w:tab/>
        <w:t>比例</w:t>
        <w:tab/>
        <w:t>坏账准备</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2"/>
          <w:szCs w:val="2"/>
        </w:rPr>
      </w:pPr>
    </w:p>
    <w:tbl>
      <w:tblPr>
        <w:tblW w:w="0" w:type="auto"/>
        <w:jc w:val="left"/>
        <w:tblInd w:w="416" w:type="dxa"/>
        <w:tblLayout w:type="fixed"/>
        <w:tblCellMar>
          <w:top w:w="0" w:type="dxa"/>
          <w:left w:w="0" w:type="dxa"/>
          <w:bottom w:w="0" w:type="dxa"/>
          <w:right w:w="0" w:type="dxa"/>
        </w:tblCellMar>
        <w:tblLook w:val="01E0"/>
      </w:tblPr>
      <w:tblGrid>
        <w:gridCol w:w="1016"/>
        <w:gridCol w:w="1610"/>
        <w:gridCol w:w="903"/>
        <w:gridCol w:w="1351"/>
        <w:gridCol w:w="1503"/>
        <w:gridCol w:w="917"/>
        <w:gridCol w:w="1338"/>
      </w:tblGrid>
      <w:tr>
        <w:trPr>
          <w:trHeight w:val="286" w:hRule="exact"/>
        </w:trPr>
        <w:tc>
          <w:tcPr>
            <w:tcW w:w="1016" w:type="dxa"/>
            <w:tcBorders>
              <w:top w:val="single" w:sz="2" w:space="0" w:color="000000"/>
              <w:left w:val="nil" w:sz="6" w:space="0" w:color="auto"/>
              <w:bottom w:val="nil" w:sz="6" w:space="0" w:color="auto"/>
              <w:right w:val="nil" w:sz="6" w:space="0" w:color="auto"/>
            </w:tcBorders>
          </w:tcPr>
          <w:p>
            <w:pPr>
              <w:pStyle w:val="TableParagraph"/>
              <w:spacing w:line="241"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1610"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114"/>
              <w:jc w:val="right"/>
              <w:rPr>
                <w:rFonts w:ascii="Times New Roman" w:hAnsi="Times New Roman" w:cs="Times New Roman" w:eastAsia="Times New Roman" w:hint="default"/>
                <w:sz w:val="18"/>
                <w:szCs w:val="18"/>
              </w:rPr>
            </w:pPr>
            <w:r>
              <w:rPr>
                <w:rFonts w:ascii="Times New Roman"/>
                <w:spacing w:val="-1"/>
                <w:sz w:val="18"/>
              </w:rPr>
              <w:t>2,008,035,154.47</w:t>
            </w:r>
          </w:p>
        </w:tc>
        <w:tc>
          <w:tcPr>
            <w:tcW w:w="903"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z w:val="18"/>
              </w:rPr>
              <w:t>70.18%</w:t>
            </w:r>
          </w:p>
        </w:tc>
        <w:tc>
          <w:tcPr>
            <w:tcW w:w="1351"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pacing w:val="-1"/>
                <w:sz w:val="18"/>
              </w:rPr>
              <w:t>20,080,351.54</w:t>
            </w:r>
          </w:p>
        </w:tc>
        <w:tc>
          <w:tcPr>
            <w:tcW w:w="1503"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128"/>
              <w:jc w:val="right"/>
              <w:rPr>
                <w:rFonts w:ascii="Times New Roman" w:hAnsi="Times New Roman" w:cs="Times New Roman" w:eastAsia="Times New Roman" w:hint="default"/>
                <w:sz w:val="18"/>
                <w:szCs w:val="18"/>
              </w:rPr>
            </w:pPr>
            <w:r>
              <w:rPr>
                <w:rFonts w:ascii="Times New Roman"/>
                <w:spacing w:val="-1"/>
                <w:sz w:val="18"/>
              </w:rPr>
              <w:t>1,933,459,397.32</w:t>
            </w:r>
          </w:p>
        </w:tc>
        <w:tc>
          <w:tcPr>
            <w:tcW w:w="917"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z w:val="18"/>
              </w:rPr>
              <w:t>69.71%</w:t>
            </w:r>
          </w:p>
        </w:tc>
        <w:tc>
          <w:tcPr>
            <w:tcW w:w="1338"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23,036,436.51</w:t>
            </w:r>
          </w:p>
        </w:tc>
      </w:tr>
      <w:tr>
        <w:trPr>
          <w:trHeight w:val="284" w:hRule="exact"/>
        </w:trPr>
        <w:tc>
          <w:tcPr>
            <w:tcW w:w="1016"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2"/>
              <w:jc w:val="right"/>
              <w:rPr>
                <w:rFonts w:ascii="Times New Roman" w:hAnsi="Times New Roman" w:cs="Times New Roman" w:eastAsia="Times New Roman" w:hint="default"/>
                <w:sz w:val="18"/>
                <w:szCs w:val="18"/>
              </w:rPr>
            </w:pPr>
            <w:r>
              <w:rPr>
                <w:rFonts w:ascii="Times New Roman"/>
                <w:spacing w:val="-1"/>
                <w:sz w:val="18"/>
              </w:rPr>
              <w:t>295,277,282.41</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z w:val="18"/>
              </w:rPr>
              <w:t>10.32%</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1"/>
              <w:jc w:val="right"/>
              <w:rPr>
                <w:rFonts w:ascii="Times New Roman" w:hAnsi="Times New Roman" w:cs="Times New Roman" w:eastAsia="Times New Roman" w:hint="default"/>
                <w:sz w:val="18"/>
                <w:szCs w:val="18"/>
              </w:rPr>
            </w:pPr>
            <w:r>
              <w:rPr>
                <w:rFonts w:ascii="Times New Roman"/>
                <w:spacing w:val="-1"/>
                <w:sz w:val="18"/>
              </w:rPr>
              <w:t>14,763,864.12</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6"/>
              <w:jc w:val="right"/>
              <w:rPr>
                <w:rFonts w:ascii="Times New Roman" w:hAnsi="Times New Roman" w:cs="Times New Roman" w:eastAsia="Times New Roman" w:hint="default"/>
                <w:sz w:val="18"/>
                <w:szCs w:val="18"/>
              </w:rPr>
            </w:pPr>
            <w:r>
              <w:rPr>
                <w:rFonts w:ascii="Times New Roman"/>
                <w:spacing w:val="-1"/>
                <w:sz w:val="18"/>
              </w:rPr>
              <w:t>409,528,118.17</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z w:val="18"/>
              </w:rPr>
              <w:t>14.77%</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22,178,040.98</w:t>
            </w:r>
          </w:p>
        </w:tc>
      </w:tr>
      <w:tr>
        <w:trPr>
          <w:trHeight w:val="284" w:hRule="exact"/>
        </w:trPr>
        <w:tc>
          <w:tcPr>
            <w:tcW w:w="1016"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2"/>
              <w:jc w:val="right"/>
              <w:rPr>
                <w:rFonts w:ascii="Times New Roman" w:hAnsi="Times New Roman" w:cs="Times New Roman" w:eastAsia="Times New Roman" w:hint="default"/>
                <w:sz w:val="18"/>
                <w:szCs w:val="18"/>
              </w:rPr>
            </w:pPr>
            <w:r>
              <w:rPr>
                <w:rFonts w:ascii="Times New Roman"/>
                <w:spacing w:val="-1"/>
                <w:sz w:val="18"/>
              </w:rPr>
              <w:t>208,377,016.78</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1"/>
              <w:jc w:val="right"/>
              <w:rPr>
                <w:rFonts w:ascii="Times New Roman" w:hAnsi="Times New Roman" w:cs="Times New Roman" w:eastAsia="Times New Roman" w:hint="default"/>
                <w:sz w:val="18"/>
                <w:szCs w:val="18"/>
              </w:rPr>
            </w:pPr>
            <w:r>
              <w:rPr>
                <w:rFonts w:ascii="Times New Roman"/>
                <w:sz w:val="18"/>
              </w:rPr>
              <w:t>7.28%</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1"/>
              <w:jc w:val="right"/>
              <w:rPr>
                <w:rFonts w:ascii="Times New Roman" w:hAnsi="Times New Roman" w:cs="Times New Roman" w:eastAsia="Times New Roman" w:hint="default"/>
                <w:sz w:val="18"/>
                <w:szCs w:val="18"/>
              </w:rPr>
            </w:pPr>
            <w:r>
              <w:rPr>
                <w:rFonts w:ascii="Times New Roman"/>
                <w:spacing w:val="-1"/>
                <w:sz w:val="18"/>
              </w:rPr>
              <w:t>31,256,552.52</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6"/>
              <w:jc w:val="right"/>
              <w:rPr>
                <w:rFonts w:ascii="Times New Roman" w:hAnsi="Times New Roman" w:cs="Times New Roman" w:eastAsia="Times New Roman" w:hint="default"/>
                <w:sz w:val="18"/>
                <w:szCs w:val="18"/>
              </w:rPr>
            </w:pPr>
            <w:r>
              <w:rPr>
                <w:rFonts w:ascii="Times New Roman"/>
                <w:spacing w:val="-1"/>
                <w:sz w:val="18"/>
              </w:rPr>
              <w:t>143,309,298.77</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1"/>
              <w:jc w:val="right"/>
              <w:rPr>
                <w:rFonts w:ascii="Times New Roman" w:hAnsi="Times New Roman" w:cs="Times New Roman" w:eastAsia="Times New Roman" w:hint="default"/>
                <w:sz w:val="18"/>
                <w:szCs w:val="18"/>
              </w:rPr>
            </w:pPr>
            <w:r>
              <w:rPr>
                <w:rFonts w:ascii="Times New Roman"/>
                <w:spacing w:val="-1"/>
                <w:sz w:val="18"/>
              </w:rPr>
              <w:t>5.17%</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25,489,411.35</w:t>
            </w:r>
          </w:p>
        </w:tc>
      </w:tr>
      <w:tr>
        <w:trPr>
          <w:trHeight w:val="284" w:hRule="exact"/>
        </w:trPr>
        <w:tc>
          <w:tcPr>
            <w:tcW w:w="1016"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4"/>
              <w:jc w:val="right"/>
              <w:rPr>
                <w:rFonts w:ascii="Times New Roman" w:hAnsi="Times New Roman" w:cs="Times New Roman" w:eastAsia="Times New Roman" w:hint="default"/>
                <w:sz w:val="18"/>
                <w:szCs w:val="18"/>
              </w:rPr>
            </w:pPr>
            <w:r>
              <w:rPr>
                <w:rFonts w:ascii="Times New Roman"/>
                <w:spacing w:val="-1"/>
                <w:sz w:val="18"/>
              </w:rPr>
              <w:t>97,507,296.78</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z w:val="18"/>
              </w:rPr>
              <w:t>3.41%</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pacing w:val="-1"/>
                <w:sz w:val="18"/>
              </w:rPr>
              <w:t>29,252,189.03</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18"/>
                <w:szCs w:val="18"/>
              </w:rPr>
            </w:pPr>
            <w:r>
              <w:rPr>
                <w:rFonts w:ascii="Times New Roman"/>
                <w:spacing w:val="-1"/>
                <w:sz w:val="18"/>
              </w:rPr>
              <w:t>89,144,064.62</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pacing w:val="-1"/>
                <w:sz w:val="18"/>
              </w:rPr>
              <w:t>3.21%</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27,098,026.22</w:t>
            </w:r>
          </w:p>
        </w:tc>
      </w:tr>
      <w:tr>
        <w:trPr>
          <w:trHeight w:val="284" w:hRule="exact"/>
        </w:trPr>
        <w:tc>
          <w:tcPr>
            <w:tcW w:w="1016"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4"/>
              <w:jc w:val="right"/>
              <w:rPr>
                <w:rFonts w:ascii="Times New Roman" w:hAnsi="Times New Roman" w:cs="Times New Roman" w:eastAsia="Times New Roman" w:hint="default"/>
                <w:sz w:val="18"/>
                <w:szCs w:val="18"/>
              </w:rPr>
            </w:pPr>
            <w:r>
              <w:rPr>
                <w:rFonts w:ascii="Times New Roman"/>
                <w:spacing w:val="-1"/>
                <w:sz w:val="18"/>
              </w:rPr>
              <w:t>73,465,020.80</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1"/>
              <w:jc w:val="right"/>
              <w:rPr>
                <w:rFonts w:ascii="Times New Roman" w:hAnsi="Times New Roman" w:cs="Times New Roman" w:eastAsia="Times New Roman" w:hint="default"/>
                <w:sz w:val="18"/>
                <w:szCs w:val="18"/>
              </w:rPr>
            </w:pPr>
            <w:r>
              <w:rPr>
                <w:rFonts w:ascii="Times New Roman"/>
                <w:sz w:val="18"/>
              </w:rPr>
              <w:t>2.57%</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2"/>
              <w:jc w:val="right"/>
              <w:rPr>
                <w:rFonts w:ascii="Times New Roman" w:hAnsi="Times New Roman" w:cs="Times New Roman" w:eastAsia="Times New Roman" w:hint="default"/>
                <w:sz w:val="18"/>
                <w:szCs w:val="18"/>
              </w:rPr>
            </w:pPr>
            <w:r>
              <w:rPr>
                <w:rFonts w:ascii="Times New Roman"/>
                <w:spacing w:val="-1"/>
                <w:sz w:val="18"/>
              </w:rPr>
              <w:t>36,732,510.40</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7"/>
              <w:jc w:val="right"/>
              <w:rPr>
                <w:rFonts w:ascii="Times New Roman" w:hAnsi="Times New Roman" w:cs="Times New Roman" w:eastAsia="Times New Roman" w:hint="default"/>
                <w:sz w:val="18"/>
                <w:szCs w:val="18"/>
              </w:rPr>
            </w:pPr>
            <w:r>
              <w:rPr>
                <w:rFonts w:ascii="Times New Roman"/>
                <w:spacing w:val="-1"/>
                <w:sz w:val="18"/>
              </w:rPr>
              <w:t>90,253,884.93</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1"/>
              <w:jc w:val="right"/>
              <w:rPr>
                <w:rFonts w:ascii="Times New Roman" w:hAnsi="Times New Roman" w:cs="Times New Roman" w:eastAsia="Times New Roman" w:hint="default"/>
                <w:sz w:val="18"/>
                <w:szCs w:val="18"/>
              </w:rPr>
            </w:pPr>
            <w:r>
              <w:rPr>
                <w:rFonts w:ascii="Times New Roman"/>
                <w:spacing w:val="-1"/>
                <w:sz w:val="18"/>
              </w:rPr>
              <w:t>3.25%</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47,540,687.79</w:t>
            </w:r>
          </w:p>
        </w:tc>
      </w:tr>
      <w:tr>
        <w:trPr>
          <w:trHeight w:val="288" w:hRule="exact"/>
        </w:trPr>
        <w:tc>
          <w:tcPr>
            <w:tcW w:w="1016" w:type="dxa"/>
            <w:tcBorders>
              <w:top w:val="nil" w:sz="6" w:space="0" w:color="auto"/>
              <w:left w:val="nil" w:sz="6" w:space="0" w:color="auto"/>
              <w:bottom w:val="single" w:sz="4" w:space="0" w:color="000000"/>
              <w:right w:val="nil" w:sz="6" w:space="0" w:color="auto"/>
            </w:tcBorders>
          </w:tcPr>
          <w:p>
            <w:pPr>
              <w:pStyle w:val="TableParagraph"/>
              <w:spacing w:line="241"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年以上</w:t>
            </w: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12"/>
              <w:jc w:val="right"/>
              <w:rPr>
                <w:rFonts w:ascii="Times New Roman" w:hAnsi="Times New Roman" w:cs="Times New Roman" w:eastAsia="Times New Roman" w:hint="default"/>
                <w:sz w:val="18"/>
                <w:szCs w:val="18"/>
              </w:rPr>
            </w:pPr>
            <w:r>
              <w:rPr>
                <w:rFonts w:ascii="Times New Roman"/>
                <w:spacing w:val="-1"/>
                <w:sz w:val="18"/>
              </w:rPr>
              <w:t>178,526,573.06</w:t>
            </w:r>
          </w:p>
        </w:tc>
        <w:tc>
          <w:tcPr>
            <w:tcW w:w="90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11"/>
              <w:jc w:val="right"/>
              <w:rPr>
                <w:rFonts w:ascii="Times New Roman" w:hAnsi="Times New Roman" w:cs="Times New Roman" w:eastAsia="Times New Roman" w:hint="default"/>
                <w:sz w:val="18"/>
                <w:szCs w:val="18"/>
              </w:rPr>
            </w:pPr>
            <w:r>
              <w:rPr>
                <w:rFonts w:ascii="Times New Roman"/>
                <w:sz w:val="18"/>
              </w:rPr>
              <w:t>6.24%</w:t>
            </w: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178,526,573.06</w:t>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26"/>
              <w:jc w:val="right"/>
              <w:rPr>
                <w:rFonts w:ascii="Times New Roman" w:hAnsi="Times New Roman" w:cs="Times New Roman" w:eastAsia="Times New Roman" w:hint="default"/>
                <w:sz w:val="18"/>
                <w:szCs w:val="18"/>
              </w:rPr>
            </w:pPr>
            <w:r>
              <w:rPr>
                <w:rFonts w:ascii="Times New Roman"/>
                <w:spacing w:val="-1"/>
                <w:sz w:val="18"/>
              </w:rPr>
              <w:t>107,891,280.84</w:t>
            </w: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11"/>
              <w:jc w:val="right"/>
              <w:rPr>
                <w:rFonts w:ascii="Times New Roman" w:hAnsi="Times New Roman" w:cs="Times New Roman" w:eastAsia="Times New Roman" w:hint="default"/>
                <w:sz w:val="18"/>
                <w:szCs w:val="18"/>
              </w:rPr>
            </w:pPr>
            <w:r>
              <w:rPr>
                <w:rFonts w:ascii="Times New Roman"/>
                <w:spacing w:val="-1"/>
                <w:sz w:val="18"/>
              </w:rPr>
              <w:t>3.89%</w:t>
            </w:r>
          </w:p>
        </w:tc>
        <w:tc>
          <w:tcPr>
            <w:tcW w:w="133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pacing w:val="-1"/>
                <w:sz w:val="18"/>
              </w:rPr>
              <w:t>107,416,873.12</w:t>
            </w:r>
          </w:p>
        </w:tc>
      </w:tr>
      <w:tr>
        <w:trPr>
          <w:trHeight w:val="304" w:hRule="exact"/>
        </w:trPr>
        <w:tc>
          <w:tcPr>
            <w:tcW w:w="1016" w:type="dxa"/>
            <w:tcBorders>
              <w:top w:val="single" w:sz="4" w:space="0" w:color="000000"/>
              <w:left w:val="nil" w:sz="6" w:space="0" w:color="auto"/>
              <w:bottom w:val="single" w:sz="12" w:space="0" w:color="000000"/>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14"/>
              <w:jc w:val="right"/>
              <w:rPr>
                <w:rFonts w:ascii="Times New Roman" w:hAnsi="Times New Roman" w:cs="Times New Roman" w:eastAsia="Times New Roman" w:hint="default"/>
                <w:sz w:val="18"/>
                <w:szCs w:val="18"/>
              </w:rPr>
            </w:pPr>
            <w:r>
              <w:rPr>
                <w:rFonts w:ascii="Times New Roman"/>
                <w:b/>
                <w:spacing w:val="-1"/>
                <w:sz w:val="18"/>
              </w:rPr>
              <w:t>2,861,188,344.30</w:t>
            </w:r>
            <w:r>
              <w:rPr>
                <w:rFonts w:ascii="Times New Roman"/>
                <w:spacing w:val="-1"/>
                <w:sz w:val="18"/>
              </w:rPr>
            </w:r>
          </w:p>
        </w:tc>
        <w:tc>
          <w:tcPr>
            <w:tcW w:w="903"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b/>
                <w:spacing w:val="-1"/>
                <w:sz w:val="18"/>
              </w:rPr>
              <w:t>310,612,040.67</w:t>
            </w:r>
            <w:r>
              <w:rPr>
                <w:rFonts w:ascii="Times New Roman"/>
                <w:spacing w:val="-1"/>
                <w:sz w:val="18"/>
              </w:rPr>
            </w:r>
          </w:p>
        </w:tc>
        <w:tc>
          <w:tcPr>
            <w:tcW w:w="1503"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28"/>
              <w:jc w:val="right"/>
              <w:rPr>
                <w:rFonts w:ascii="Times New Roman" w:hAnsi="Times New Roman" w:cs="Times New Roman" w:eastAsia="Times New Roman" w:hint="default"/>
                <w:sz w:val="18"/>
                <w:szCs w:val="18"/>
              </w:rPr>
            </w:pPr>
            <w:r>
              <w:rPr>
                <w:rFonts w:ascii="Times New Roman"/>
                <w:b/>
                <w:spacing w:val="-1"/>
                <w:sz w:val="18"/>
              </w:rPr>
              <w:t>2,773,586,044.65</w:t>
            </w:r>
            <w:r>
              <w:rPr>
                <w:rFonts w:ascii="Times New Roman"/>
                <w:spacing w:val="-1"/>
                <w:sz w:val="18"/>
              </w:rPr>
            </w:r>
          </w:p>
        </w:tc>
        <w:tc>
          <w:tcPr>
            <w:tcW w:w="917"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38"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252,759,475.97</w:t>
            </w:r>
            <w:r>
              <w:rPr>
                <w:rFonts w:ascii="Times New Roman"/>
                <w:spacing w:val="-1"/>
                <w:sz w:val="18"/>
              </w:rPr>
            </w:r>
          </w:p>
        </w:tc>
      </w:tr>
    </w:tbl>
    <w:p>
      <w:pPr>
        <w:spacing w:before="79"/>
        <w:ind w:left="591"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应收账款风险分类</w:t>
      </w:r>
    </w:p>
    <w:p>
      <w:pPr>
        <w:spacing w:line="240" w:lineRule="auto" w:before="3"/>
        <w:rPr>
          <w:rFonts w:ascii="楷体" w:hAnsi="楷体" w:cs="楷体" w:eastAsia="楷体" w:hint="default"/>
          <w:sz w:val="11"/>
          <w:szCs w:val="11"/>
        </w:rPr>
      </w:pPr>
    </w:p>
    <w:p>
      <w:pPr>
        <w:spacing w:line="30" w:lineRule="exact"/>
        <w:ind w:left="409"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tabs>
          <w:tab w:pos="7055" w:val="left" w:leader="none"/>
        </w:tabs>
        <w:spacing w:line="168" w:lineRule="exact" w:before="0"/>
        <w:ind w:left="3688"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年末金额</w:t>
        <w:tab/>
        <w:t>年初金额</w:t>
      </w:r>
      <w:r>
        <w:rPr>
          <w:rFonts w:ascii="Microsoft JhengHei" w:hAnsi="Microsoft JhengHei" w:cs="Microsoft JhengHei" w:eastAsia="Microsoft JhengHei" w:hint="default"/>
          <w:sz w:val="16"/>
          <w:szCs w:val="16"/>
        </w:rPr>
      </w:r>
    </w:p>
    <w:p>
      <w:pPr>
        <w:spacing w:line="146" w:lineRule="exact" w:before="0"/>
        <w:ind w:left="524" w:right="6555" w:firstLine="0"/>
        <w:jc w:val="left"/>
        <w:rPr>
          <w:rFonts w:ascii="Microsoft JhengHei" w:hAnsi="Microsoft JhengHei" w:cs="Microsoft JhengHei" w:eastAsia="Microsoft JhengHei" w:hint="default"/>
          <w:sz w:val="16"/>
          <w:szCs w:val="16"/>
        </w:rPr>
      </w:pPr>
      <w:r>
        <w:rPr/>
        <w:pict>
          <v:group style="position:absolute;margin-left:179.940002pt;margin-top:6.007274pt;width:336.8pt;height:.1pt;mso-position-horizontal-relative:page;mso-position-vertical-relative:paragraph;z-index:2248" coordorigin="3599,120" coordsize="6736,2">
            <v:shape style="position:absolute;left:3599;top:120;width:6736;height:2" coordorigin="3599,120" coordsize="6736,0" path="m3599,120l10334,120e" filled="false" stroked="true" strokeweight=".48pt" strokecolor="#000000">
              <v:path arrowok="t"/>
            </v:shape>
            <w10:wrap type="none"/>
          </v:group>
        </w:pict>
      </w: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p>
      <w:pPr>
        <w:tabs>
          <w:tab w:pos="3907" w:val="left" w:leader="none"/>
          <w:tab w:pos="4763" w:val="left" w:leader="none"/>
          <w:tab w:pos="6199" w:val="left" w:leader="none"/>
          <w:tab w:pos="7276" w:val="left" w:leader="none"/>
          <w:tab w:pos="8131" w:val="left" w:leader="none"/>
        </w:tabs>
        <w:spacing w:line="220" w:lineRule="exact" w:before="0"/>
        <w:ind w:left="2832"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比例</w:t>
        <w:tab/>
        <w:t>坏账准备</w:t>
        <w:tab/>
        <w:t>金额</w:t>
        <w:tab/>
        <w:t>比例</w:t>
        <w:tab/>
        <w:t>坏账准备</w:t>
      </w:r>
      <w:r>
        <w:rPr>
          <w:rFonts w:ascii="Microsoft JhengHei" w:hAnsi="Microsoft JhengHei" w:cs="Microsoft JhengHei" w:eastAsia="Microsoft JhengHei" w:hint="default"/>
          <w:sz w:val="16"/>
          <w:szCs w:val="16"/>
        </w:rPr>
      </w:r>
    </w:p>
    <w:p>
      <w:pPr>
        <w:spacing w:line="240" w:lineRule="auto" w:before="12"/>
        <w:rPr>
          <w:rFonts w:ascii="Microsoft JhengHei" w:hAnsi="Microsoft JhengHei" w:cs="Microsoft JhengHei" w:eastAsia="Microsoft JhengHei" w:hint="default"/>
          <w:b/>
          <w:bCs/>
          <w:sz w:val="2"/>
          <w:szCs w:val="2"/>
        </w:rPr>
      </w:pPr>
    </w:p>
    <w:tbl>
      <w:tblPr>
        <w:tblW w:w="0" w:type="auto"/>
        <w:jc w:val="left"/>
        <w:tblInd w:w="416" w:type="dxa"/>
        <w:tblLayout w:type="fixed"/>
        <w:tblCellMar>
          <w:top w:w="0" w:type="dxa"/>
          <w:left w:w="0" w:type="dxa"/>
          <w:bottom w:w="0" w:type="dxa"/>
          <w:right w:w="0" w:type="dxa"/>
        </w:tblCellMar>
        <w:tblLook w:val="01E0"/>
      </w:tblPr>
      <w:tblGrid>
        <w:gridCol w:w="3245"/>
        <w:gridCol w:w="816"/>
        <w:gridCol w:w="1215"/>
        <w:gridCol w:w="1336"/>
        <w:gridCol w:w="817"/>
        <w:gridCol w:w="1208"/>
      </w:tblGrid>
      <w:tr>
        <w:trPr>
          <w:trHeight w:val="377" w:hRule="exact"/>
        </w:trPr>
        <w:tc>
          <w:tcPr>
            <w:tcW w:w="3245" w:type="dxa"/>
            <w:tcBorders>
              <w:top w:val="single" w:sz="4" w:space="0" w:color="000000"/>
              <w:left w:val="nil" w:sz="6" w:space="0" w:color="auto"/>
              <w:bottom w:val="nil" w:sz="6" w:space="0" w:color="auto"/>
              <w:right w:val="nil" w:sz="6" w:space="0" w:color="auto"/>
            </w:tcBorders>
          </w:tcPr>
          <w:p>
            <w:pPr>
              <w:pStyle w:val="TableParagraph"/>
              <w:tabs>
                <w:tab w:pos="2027" w:val="left" w:leader="none"/>
              </w:tabs>
              <w:spacing w:line="240" w:lineRule="auto" w:before="13"/>
              <w:ind w:right="0"/>
              <w:jc w:val="center"/>
              <w:rPr>
                <w:rFonts w:ascii="Times New Roman" w:hAnsi="Times New Roman" w:cs="Times New Roman" w:eastAsia="Times New Roman" w:hint="default"/>
                <w:sz w:val="16"/>
                <w:szCs w:val="16"/>
              </w:rPr>
            </w:pPr>
            <w:r>
              <w:rPr>
                <w:rFonts w:ascii="楷体" w:hAnsi="楷体" w:cs="楷体" w:eastAsia="楷体" w:hint="default"/>
                <w:w w:val="95"/>
                <w:sz w:val="16"/>
                <w:szCs w:val="16"/>
              </w:rPr>
              <w:t>单项金额重大的应收款</w:t>
              <w:tab/>
            </w:r>
            <w:r>
              <w:rPr>
                <w:rFonts w:ascii="Times New Roman" w:hAnsi="Times New Roman" w:cs="Times New Roman" w:eastAsia="Times New Roman" w:hint="default"/>
                <w:sz w:val="16"/>
                <w:szCs w:val="16"/>
              </w:rPr>
              <w:t>857,310,812.57</w:t>
            </w:r>
          </w:p>
        </w:tc>
        <w:tc>
          <w:tcPr>
            <w:tcW w:w="8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29.96%</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72,983,040.48</w:t>
            </w: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6"/>
                <w:szCs w:val="16"/>
              </w:rPr>
            </w:pPr>
            <w:r>
              <w:rPr>
                <w:rFonts w:ascii="Times New Roman"/>
                <w:spacing w:val="-1"/>
                <w:sz w:val="16"/>
              </w:rPr>
              <w:t>973,141,423.06</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35.09%</w:t>
            </w: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6"/>
                <w:szCs w:val="16"/>
              </w:rPr>
            </w:pPr>
            <w:r>
              <w:rPr>
                <w:rFonts w:ascii="Times New Roman"/>
                <w:spacing w:val="-1"/>
                <w:sz w:val="16"/>
              </w:rPr>
              <w:t>52,613,287.52</w:t>
            </w:r>
          </w:p>
        </w:tc>
      </w:tr>
      <w:tr>
        <w:trPr>
          <w:trHeight w:val="471"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88" w:lineRule="exact"/>
              <w:ind w:left="107" w:right="0"/>
              <w:jc w:val="left"/>
              <w:rPr>
                <w:rFonts w:ascii="楷体" w:hAnsi="楷体" w:cs="楷体" w:eastAsia="楷体" w:hint="default"/>
                <w:sz w:val="16"/>
                <w:szCs w:val="16"/>
              </w:rPr>
            </w:pPr>
            <w:r>
              <w:rPr>
                <w:rFonts w:ascii="楷体" w:hAnsi="楷体" w:cs="楷体" w:eastAsia="楷体" w:hint="default"/>
                <w:spacing w:val="10"/>
                <w:sz w:val="16"/>
                <w:szCs w:val="16"/>
              </w:rPr>
              <w:t>单项金额不重大但按信</w:t>
            </w:r>
            <w:r>
              <w:rPr>
                <w:rFonts w:ascii="楷体" w:hAnsi="楷体" w:cs="楷体" w:eastAsia="楷体" w:hint="default"/>
                <w:sz w:val="16"/>
                <w:szCs w:val="16"/>
              </w:rPr>
            </w:r>
          </w:p>
          <w:p>
            <w:pPr>
              <w:pStyle w:val="TableParagraph"/>
              <w:tabs>
                <w:tab w:pos="2855" w:val="left" w:leader="none"/>
              </w:tabs>
              <w:spacing w:line="207" w:lineRule="exact"/>
              <w:ind w:left="107" w:right="0"/>
              <w:jc w:val="left"/>
              <w:rPr>
                <w:rFonts w:ascii="Times New Roman" w:hAnsi="Times New Roman" w:cs="Times New Roman" w:eastAsia="Times New Roman" w:hint="default"/>
                <w:sz w:val="16"/>
                <w:szCs w:val="16"/>
              </w:rPr>
            </w:pPr>
            <w:r>
              <w:rPr>
                <w:rFonts w:ascii="楷体" w:hAnsi="楷体" w:cs="楷体" w:eastAsia="楷体" w:hint="default"/>
                <w:spacing w:val="10"/>
                <w:w w:val="95"/>
                <w:sz w:val="16"/>
                <w:szCs w:val="16"/>
              </w:rPr>
              <w:t>用风险特征组合后该组</w:t>
            </w:r>
            <w:r>
              <w:rPr>
                <w:rFonts w:ascii="Times New Roman" w:hAnsi="Times New Roman" w:cs="Times New Roman" w:eastAsia="Times New Roman" w:hint="default"/>
                <w:spacing w:val="10"/>
                <w:w w:val="95"/>
                <w:sz w:val="16"/>
                <w:szCs w:val="16"/>
              </w:rPr>
              <w:tab/>
            </w:r>
            <w:r>
              <w:rPr>
                <w:rFonts w:ascii="Times New Roman" w:hAnsi="Times New Roman" w:cs="Times New Roman" w:eastAsia="Times New Roman" w:hint="default"/>
                <w:sz w:val="16"/>
                <w:szCs w:val="16"/>
              </w:rPr>
              <w:t>0.00</w:t>
            </w:r>
          </w:p>
          <w:p>
            <w:pPr>
              <w:pStyle w:val="TableParagraph"/>
              <w:spacing w:line="199" w:lineRule="exact"/>
              <w:ind w:left="107" w:right="0"/>
              <w:jc w:val="left"/>
              <w:rPr>
                <w:rFonts w:ascii="楷体" w:hAnsi="楷体" w:cs="楷体" w:eastAsia="楷体" w:hint="default"/>
                <w:sz w:val="16"/>
                <w:szCs w:val="16"/>
              </w:rPr>
            </w:pPr>
            <w:r>
              <w:rPr>
                <w:rFonts w:ascii="楷体" w:hAnsi="楷体" w:cs="楷体" w:eastAsia="楷体" w:hint="default"/>
                <w:sz w:val="16"/>
                <w:szCs w:val="16"/>
              </w:rPr>
              <w:t>合风险较大的应收账款</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9"/>
              <w:jc w:val="right"/>
              <w:rPr>
                <w:rFonts w:ascii="Times New Roman" w:hAnsi="Times New Roman" w:cs="Times New Roman" w:eastAsia="Times New Roman" w:hint="default"/>
                <w:sz w:val="16"/>
                <w:szCs w:val="16"/>
              </w:rPr>
            </w:pPr>
            <w:r>
              <w:rPr>
                <w:rFonts w:ascii="Times New Roman"/>
                <w:spacing w:val="-1"/>
                <w:sz w:val="16"/>
              </w:rPr>
              <w:t>0.00</w:t>
            </w:r>
          </w:p>
        </w:tc>
      </w:tr>
      <w:tr>
        <w:trPr>
          <w:trHeight w:val="445" w:hRule="exact"/>
        </w:trPr>
        <w:tc>
          <w:tcPr>
            <w:tcW w:w="3245" w:type="dxa"/>
            <w:tcBorders>
              <w:top w:val="nil" w:sz="6" w:space="0" w:color="auto"/>
              <w:left w:val="nil" w:sz="6" w:space="0" w:color="auto"/>
              <w:bottom w:val="single" w:sz="4" w:space="0" w:color="000000"/>
              <w:right w:val="nil" w:sz="6" w:space="0" w:color="auto"/>
            </w:tcBorders>
          </w:tcPr>
          <w:p>
            <w:pPr>
              <w:pStyle w:val="TableParagraph"/>
              <w:spacing w:line="173" w:lineRule="exact" w:before="12"/>
              <w:ind w:left="108" w:right="0"/>
              <w:jc w:val="left"/>
              <w:rPr>
                <w:rFonts w:ascii="楷体" w:hAnsi="楷体" w:cs="楷体" w:eastAsia="楷体" w:hint="default"/>
                <w:sz w:val="16"/>
                <w:szCs w:val="16"/>
              </w:rPr>
            </w:pPr>
            <w:r>
              <w:rPr>
                <w:rFonts w:ascii="楷体" w:hAnsi="楷体" w:cs="楷体" w:eastAsia="楷体" w:hint="default"/>
                <w:spacing w:val="10"/>
                <w:sz w:val="16"/>
                <w:szCs w:val="16"/>
              </w:rPr>
              <w:t>其他单项金额不重大的</w:t>
            </w:r>
            <w:r>
              <w:rPr>
                <w:rFonts w:ascii="楷体" w:hAnsi="楷体" w:cs="楷体" w:eastAsia="楷体" w:hint="default"/>
                <w:sz w:val="16"/>
                <w:szCs w:val="16"/>
              </w:rPr>
            </w:r>
          </w:p>
          <w:p>
            <w:pPr>
              <w:pStyle w:val="TableParagraph"/>
              <w:tabs>
                <w:tab w:pos="2017" w:val="left" w:leader="none"/>
              </w:tabs>
              <w:spacing w:line="236" w:lineRule="exact"/>
              <w:ind w:left="108" w:right="0"/>
              <w:jc w:val="left"/>
              <w:rPr>
                <w:rFonts w:ascii="Times New Roman" w:hAnsi="Times New Roman" w:cs="Times New Roman" w:eastAsia="Times New Roman" w:hint="default"/>
                <w:sz w:val="16"/>
                <w:szCs w:val="16"/>
              </w:rPr>
            </w:pPr>
            <w:r>
              <w:rPr>
                <w:rFonts w:ascii="楷体" w:hAnsi="楷体" w:cs="楷体" w:eastAsia="楷体" w:hint="default"/>
                <w:w w:val="95"/>
                <w:position w:val="-9"/>
                <w:sz w:val="16"/>
                <w:szCs w:val="16"/>
              </w:rPr>
              <w:t>应收账款</w:t>
              <w:tab/>
            </w:r>
            <w:r>
              <w:rPr>
                <w:rFonts w:ascii="Times New Roman" w:hAnsi="Times New Roman" w:cs="Times New Roman" w:eastAsia="Times New Roman" w:hint="default"/>
                <w:sz w:val="16"/>
                <w:szCs w:val="16"/>
              </w:rPr>
              <w:t>2,003,877,531.73</w:t>
            </w:r>
          </w:p>
        </w:tc>
        <w:tc>
          <w:tcPr>
            <w:tcW w:w="81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70.04%</w:t>
            </w: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237,629,000.19</w:t>
            </w: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1,800,444,621.59</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64.91%</w:t>
            </w: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200,146,188.45</w:t>
            </w:r>
          </w:p>
        </w:tc>
      </w:tr>
      <w:tr>
        <w:trPr>
          <w:trHeight w:val="303" w:hRule="exact"/>
        </w:trPr>
        <w:tc>
          <w:tcPr>
            <w:tcW w:w="3245" w:type="dxa"/>
            <w:tcBorders>
              <w:top w:val="single" w:sz="4" w:space="0" w:color="000000"/>
              <w:left w:val="nil" w:sz="6" w:space="0" w:color="auto"/>
              <w:bottom w:val="single" w:sz="12" w:space="0" w:color="000000"/>
              <w:right w:val="nil" w:sz="6" w:space="0" w:color="auto"/>
            </w:tcBorders>
          </w:tcPr>
          <w:p>
            <w:pPr>
              <w:pStyle w:val="TableParagraph"/>
              <w:tabs>
                <w:tab w:pos="1909" w:val="left" w:leader="none"/>
              </w:tabs>
              <w:spacing w:line="241" w:lineRule="exact"/>
              <w:ind w:right="0"/>
              <w:jc w:val="center"/>
              <w:rPr>
                <w:rFonts w:ascii="Times New Roman" w:hAnsi="Times New Roman" w:cs="Times New Roman" w:eastAsia="Times New Roman" w:hint="default"/>
                <w:sz w:val="16"/>
                <w:szCs w:val="16"/>
              </w:rPr>
            </w:pPr>
            <w:r>
              <w:rPr>
                <w:rFonts w:ascii="Microsoft JhengHei" w:hAnsi="Microsoft JhengHei" w:cs="Microsoft JhengHei" w:eastAsia="Microsoft JhengHei" w:hint="default"/>
                <w:b/>
                <w:bCs/>
                <w:sz w:val="16"/>
                <w:szCs w:val="16"/>
              </w:rPr>
              <w:t>合计</w:t>
              <w:tab/>
            </w:r>
            <w:r>
              <w:rPr>
                <w:rFonts w:ascii="Times New Roman" w:hAnsi="Times New Roman" w:cs="Times New Roman" w:eastAsia="Times New Roman" w:hint="default"/>
                <w:b/>
                <w:bCs/>
                <w:sz w:val="16"/>
                <w:szCs w:val="16"/>
              </w:rPr>
              <w:t>2,861,188,344.30</w:t>
            </w:r>
            <w:r>
              <w:rPr>
                <w:rFonts w:ascii="Times New Roman" w:hAnsi="Times New Roman" w:cs="Times New Roman" w:eastAsia="Times New Roman" w:hint="default"/>
                <w:sz w:val="16"/>
                <w:szCs w:val="16"/>
              </w:rPr>
            </w:r>
          </w:p>
        </w:tc>
        <w:tc>
          <w:tcPr>
            <w:tcW w:w="8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1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310,612,040.67</w:t>
            </w:r>
            <w:r>
              <w:rPr>
                <w:rFonts w:ascii="Times New Roman"/>
                <w:spacing w:val="-1"/>
                <w:sz w:val="16"/>
              </w:rPr>
            </w:r>
          </w:p>
        </w:tc>
        <w:tc>
          <w:tcPr>
            <w:tcW w:w="13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b/>
                <w:spacing w:val="-1"/>
                <w:sz w:val="16"/>
              </w:rPr>
              <w:t>2,773,586,044.65</w:t>
            </w:r>
            <w:r>
              <w:rPr>
                <w:rFonts w:ascii="Times New Roman"/>
                <w:spacing w:val="-1"/>
                <w:sz w:val="16"/>
              </w:rPr>
            </w:r>
          </w:p>
        </w:tc>
        <w:tc>
          <w:tcPr>
            <w:tcW w:w="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6"/>
                <w:szCs w:val="16"/>
              </w:rPr>
            </w:pPr>
            <w:r>
              <w:rPr>
                <w:rFonts w:ascii="Times New Roman"/>
                <w:b/>
                <w:spacing w:val="-1"/>
                <w:sz w:val="16"/>
              </w:rPr>
              <w:t>252,759,475.97</w:t>
            </w:r>
            <w:r>
              <w:rPr>
                <w:rFonts w:ascii="Times New Roman"/>
                <w:spacing w:val="-1"/>
                <w:sz w:val="16"/>
              </w:rPr>
            </w:r>
          </w:p>
        </w:tc>
      </w:tr>
    </w:tbl>
    <w:p>
      <w:pPr>
        <w:spacing w:before="79"/>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楷体" w:hAnsi="楷体" w:cs="楷体" w:eastAsia="楷体" w:hint="default"/>
          <w:sz w:val="22"/>
          <w:szCs w:val="22"/>
        </w:rPr>
        <w:t>年末应收账款中不含持本公司 </w:t>
      </w:r>
      <w:r>
        <w:rPr>
          <w:rFonts w:ascii="Times New Roman" w:hAnsi="Times New Roman" w:cs="Times New Roman" w:eastAsia="Times New Roman" w:hint="default"/>
          <w:sz w:val="22"/>
          <w:szCs w:val="22"/>
        </w:rPr>
        <w:t>5%</w:t>
      </w:r>
      <w:r>
        <w:rPr>
          <w:rFonts w:ascii="楷体" w:hAnsi="楷体" w:cs="楷体" w:eastAsia="楷体" w:hint="default"/>
          <w:sz w:val="22"/>
          <w:szCs w:val="22"/>
        </w:rPr>
        <w:t>（含</w:t>
      </w:r>
      <w:r>
        <w:rPr>
          <w:rFonts w:ascii="楷体" w:hAnsi="楷体" w:cs="楷体" w:eastAsia="楷体" w:hint="default"/>
          <w:spacing w:val="-83"/>
          <w:sz w:val="22"/>
          <w:szCs w:val="22"/>
        </w:rPr>
        <w:t> </w:t>
      </w:r>
      <w:r>
        <w:rPr>
          <w:rFonts w:ascii="Times New Roman" w:hAnsi="Times New Roman" w:cs="Times New Roman" w:eastAsia="Times New Roman" w:hint="default"/>
          <w:sz w:val="22"/>
          <w:szCs w:val="22"/>
        </w:rPr>
        <w:t>5%</w:t>
      </w:r>
      <w:r>
        <w:rPr>
          <w:rFonts w:ascii="楷体" w:hAnsi="楷体" w:cs="楷体" w:eastAsia="楷体" w:hint="default"/>
          <w:sz w:val="22"/>
          <w:szCs w:val="22"/>
        </w:rPr>
        <w:t>）以上表决权股份的股东单位欠款。</w:t>
      </w:r>
    </w:p>
    <w:p>
      <w:pPr>
        <w:spacing w:before="163"/>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2"/>
          <w:sz w:val="22"/>
          <w:szCs w:val="22"/>
        </w:rPr>
        <w:t> </w:t>
      </w:r>
      <w:r>
        <w:rPr>
          <w:rFonts w:ascii="楷体" w:hAnsi="楷体" w:cs="楷体" w:eastAsia="楷体" w:hint="default"/>
          <w:sz w:val="22"/>
          <w:szCs w:val="22"/>
        </w:rPr>
        <w:t>期末余额中前五名欠款单位欠款</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422,046,806.56</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元，占应收账款总额的</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14.75%</w:t>
      </w:r>
      <w:r>
        <w:rPr>
          <w:rFonts w:ascii="楷体" w:hAnsi="楷体" w:cs="楷体" w:eastAsia="楷体" w:hint="default"/>
          <w:sz w:val="22"/>
          <w:szCs w:val="22"/>
        </w:rPr>
        <w:t>。</w:t>
      </w:r>
    </w:p>
    <w:p>
      <w:pPr>
        <w:spacing w:line="307" w:lineRule="auto" w:before="163"/>
        <w:ind w:left="137" w:right="0" w:firstLine="45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 </w:t>
      </w:r>
      <w:r>
        <w:rPr>
          <w:rFonts w:ascii="楷体" w:hAnsi="楷体" w:cs="楷体" w:eastAsia="楷体" w:hint="default"/>
          <w:sz w:val="22"/>
          <w:szCs w:val="22"/>
        </w:rPr>
        <w:t>期末余额中应收关联方款项合计 </w:t>
      </w:r>
      <w:r>
        <w:rPr>
          <w:rFonts w:ascii="Times New Roman" w:hAnsi="Times New Roman" w:cs="Times New Roman" w:eastAsia="Times New Roman" w:hint="default"/>
          <w:sz w:val="22"/>
          <w:szCs w:val="22"/>
        </w:rPr>
        <w:t>29,341,621.78 </w:t>
      </w:r>
      <w:r>
        <w:rPr>
          <w:rFonts w:ascii="楷体" w:hAnsi="楷体" w:cs="楷体" w:eastAsia="楷体" w:hint="default"/>
          <w:spacing w:val="-4"/>
          <w:sz w:val="22"/>
          <w:szCs w:val="22"/>
        </w:rPr>
        <w:t>元，占应收账款总额的</w:t>
      </w:r>
      <w:r>
        <w:rPr>
          <w:rFonts w:ascii="楷体" w:hAnsi="楷体" w:cs="楷体" w:eastAsia="楷体" w:hint="default"/>
          <w:spacing w:val="-85"/>
          <w:sz w:val="22"/>
          <w:szCs w:val="22"/>
        </w:rPr>
        <w:t> </w:t>
      </w:r>
      <w:r>
        <w:rPr>
          <w:rFonts w:ascii="Times New Roman" w:hAnsi="Times New Roman" w:cs="Times New Roman" w:eastAsia="Times New Roman" w:hint="default"/>
          <w:spacing w:val="-5"/>
          <w:sz w:val="22"/>
          <w:szCs w:val="22"/>
        </w:rPr>
        <w:t>1.03%</w:t>
      </w:r>
      <w:r>
        <w:rPr>
          <w:rFonts w:ascii="楷体" w:hAnsi="楷体" w:cs="楷体" w:eastAsia="楷体" w:hint="default"/>
          <w:spacing w:val="-5"/>
          <w:sz w:val="22"/>
          <w:szCs w:val="22"/>
        </w:rPr>
        <w:t>，详见附注</w:t>
      </w:r>
      <w:r>
        <w:rPr>
          <w:rFonts w:ascii="楷体" w:hAnsi="楷体" w:cs="楷体" w:eastAsia="楷体" w:hint="default"/>
          <w:w w:val="99"/>
          <w:sz w:val="22"/>
          <w:szCs w:val="22"/>
        </w:rPr>
        <w:t> </w:t>
      </w:r>
      <w:r>
        <w:rPr>
          <w:rFonts w:ascii="楷体" w:hAnsi="楷体" w:cs="楷体" w:eastAsia="楷体" w:hint="default"/>
          <w:spacing w:val="-32"/>
          <w:w w:val="99"/>
          <w:sz w:val="22"/>
          <w:szCs w:val="22"/>
        </w:rPr>
        <w:t>十一、（三）。</w:t>
      </w:r>
      <w:r>
        <w:rPr>
          <w:rFonts w:ascii="楷体" w:hAnsi="楷体" w:cs="楷体" w:eastAsia="楷体" w:hint="default"/>
          <w:spacing w:val="-32"/>
          <w:sz w:val="22"/>
          <w:szCs w:val="22"/>
        </w:rPr>
      </w:r>
    </w:p>
    <w:p>
      <w:pPr>
        <w:spacing w:before="118"/>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应收账款中外币余额</w:t>
      </w:r>
    </w:p>
    <w:p>
      <w:pPr>
        <w:tabs>
          <w:tab w:pos="6873" w:val="left" w:leader="none"/>
        </w:tabs>
        <w:spacing w:before="109"/>
        <w:ind w:left="3245" w:right="0" w:firstLine="0"/>
        <w:jc w:val="left"/>
        <w:rPr>
          <w:rFonts w:ascii="Microsoft JhengHei" w:hAnsi="Microsoft JhengHei" w:cs="Microsoft JhengHei" w:eastAsia="Microsoft JhengHei" w:hint="default"/>
          <w:sz w:val="18"/>
          <w:szCs w:val="18"/>
        </w:rPr>
      </w:pPr>
      <w:r>
        <w:rPr/>
        <w:pict>
          <v:group style="position:absolute;margin-left:85.199997pt;margin-top:8.055532pt;width:431.55pt;height:.1pt;mso-position-horizontal-relative:page;mso-position-vertical-relative:paragraph;z-index:-899176" coordorigin="1704,161" coordsize="8631,2">
            <v:shape style="position:absolute;left:1704;top:161;width:8631;height:2" coordorigin="1704,161" coordsize="8631,0" path="m1704,161l10334,161e" filled="false" stroked="true" strokeweight="1.5pt" strokecolor="#000000">
              <v:path arrowok="t"/>
            </v:shape>
            <w10:wrap type="none"/>
          </v:group>
        </w:pict>
      </w:r>
      <w:r>
        <w:rPr/>
        <w:pict>
          <v:shape style="position:absolute;margin-left:84.839996pt;margin-top:17.690857pt;width:431.9pt;height:120.2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8"/>
                    <w:gridCol w:w="1495"/>
                    <w:gridCol w:w="985"/>
                    <w:gridCol w:w="1350"/>
                    <w:gridCol w:w="1282"/>
                    <w:gridCol w:w="1022"/>
                    <w:gridCol w:w="1336"/>
                  </w:tblGrid>
                  <w:tr>
                    <w:trPr>
                      <w:trHeight w:val="403" w:hRule="exact"/>
                    </w:trPr>
                    <w:tc>
                      <w:tcPr>
                        <w:tcW w:w="1168"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6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98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3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02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7" w:hRule="exact"/>
                    </w:trPr>
                    <w:tc>
                      <w:tcPr>
                        <w:tcW w:w="1168"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美元</w:t>
                        </w: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9"/>
                          <w:jc w:val="right"/>
                          <w:rPr>
                            <w:rFonts w:ascii="Times New Roman" w:hAnsi="Times New Roman" w:cs="Times New Roman" w:eastAsia="Times New Roman" w:hint="default"/>
                            <w:sz w:val="18"/>
                            <w:szCs w:val="18"/>
                          </w:rPr>
                        </w:pPr>
                        <w:r>
                          <w:rPr>
                            <w:rFonts w:ascii="Times New Roman"/>
                            <w:spacing w:val="-1"/>
                            <w:sz w:val="18"/>
                          </w:rPr>
                          <w:t>74,462,870.32</w:t>
                        </w:r>
                      </w:p>
                    </w:tc>
                    <w:tc>
                      <w:tcPr>
                        <w:tcW w:w="98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z w:val="18"/>
                          </w:rPr>
                          <w:t>6.8346</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9"/>
                          <w:jc w:val="right"/>
                          <w:rPr>
                            <w:rFonts w:ascii="Times New Roman" w:hAnsi="Times New Roman" w:cs="Times New Roman" w:eastAsia="Times New Roman" w:hint="default"/>
                            <w:sz w:val="18"/>
                            <w:szCs w:val="18"/>
                          </w:rPr>
                        </w:pPr>
                        <w:r>
                          <w:rPr>
                            <w:rFonts w:ascii="Times New Roman"/>
                            <w:spacing w:val="-1"/>
                            <w:sz w:val="18"/>
                          </w:rPr>
                          <w:t>508,923,933.49</w:t>
                        </w:r>
                      </w:p>
                    </w:tc>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32"/>
                          <w:jc w:val="right"/>
                          <w:rPr>
                            <w:rFonts w:ascii="Times New Roman" w:hAnsi="Times New Roman" w:cs="Times New Roman" w:eastAsia="Times New Roman" w:hint="default"/>
                            <w:sz w:val="18"/>
                            <w:szCs w:val="18"/>
                          </w:rPr>
                        </w:pPr>
                        <w:r>
                          <w:rPr>
                            <w:rFonts w:ascii="Times New Roman"/>
                            <w:spacing w:val="-1"/>
                            <w:sz w:val="18"/>
                          </w:rPr>
                          <w:t>57,141,361.23</w:t>
                        </w:r>
                      </w:p>
                    </w:tc>
                    <w:tc>
                      <w:tcPr>
                        <w:tcW w:w="102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7.3046</w:t>
                        </w: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417,394,787.24</w:t>
                        </w:r>
                      </w:p>
                    </w:tc>
                  </w:tr>
                  <w:tr>
                    <w:trPr>
                      <w:trHeight w:val="283"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欧元</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9"/>
                          <w:jc w:val="right"/>
                          <w:rPr>
                            <w:rFonts w:ascii="Times New Roman" w:hAnsi="Times New Roman" w:cs="Times New Roman" w:eastAsia="Times New Roman" w:hint="default"/>
                            <w:sz w:val="18"/>
                            <w:szCs w:val="18"/>
                          </w:rPr>
                        </w:pPr>
                        <w:r>
                          <w:rPr>
                            <w:rFonts w:ascii="Times New Roman"/>
                            <w:spacing w:val="-1"/>
                            <w:sz w:val="18"/>
                          </w:rPr>
                          <w:t>12,243,036.82</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z w:val="18"/>
                          </w:rPr>
                          <w:t>9.6590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pacing w:val="-1"/>
                            <w:sz w:val="18"/>
                          </w:rPr>
                          <w:t>118,255,492.64</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2"/>
                          <w:jc w:val="right"/>
                          <w:rPr>
                            <w:rFonts w:ascii="Times New Roman" w:hAnsi="Times New Roman" w:cs="Times New Roman" w:eastAsia="Times New Roman" w:hint="default"/>
                            <w:sz w:val="18"/>
                            <w:szCs w:val="18"/>
                          </w:rPr>
                        </w:pPr>
                        <w:r>
                          <w:rPr>
                            <w:rFonts w:ascii="Times New Roman"/>
                            <w:spacing w:val="-1"/>
                            <w:sz w:val="18"/>
                          </w:rPr>
                          <w:t>19,692,550.60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10.6669</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210,058,468.00</w:t>
                        </w:r>
                      </w:p>
                    </w:tc>
                  </w:tr>
                  <w:tr>
                    <w:trPr>
                      <w:trHeight w:val="283"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日元</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9"/>
                          <w:jc w:val="right"/>
                          <w:rPr>
                            <w:rFonts w:ascii="Times New Roman" w:hAnsi="Times New Roman" w:cs="Times New Roman" w:eastAsia="Times New Roman" w:hint="default"/>
                            <w:sz w:val="18"/>
                            <w:szCs w:val="18"/>
                          </w:rPr>
                        </w:pPr>
                        <w:r>
                          <w:rPr>
                            <w:rFonts w:ascii="Times New Roman"/>
                            <w:sz w:val="18"/>
                          </w:rPr>
                          <w:t>0.00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z w:val="18"/>
                          </w:rPr>
                          <w:t>0.0757</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z w:val="18"/>
                          </w:rPr>
                          <w:t>0.00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2"/>
                          <w:jc w:val="right"/>
                          <w:rPr>
                            <w:rFonts w:ascii="Times New Roman" w:hAnsi="Times New Roman" w:cs="Times New Roman" w:eastAsia="Times New Roman" w:hint="default"/>
                            <w:sz w:val="18"/>
                            <w:szCs w:val="18"/>
                          </w:rPr>
                        </w:pPr>
                        <w:r>
                          <w:rPr>
                            <w:rFonts w:ascii="Times New Roman"/>
                            <w:spacing w:val="-1"/>
                            <w:sz w:val="18"/>
                          </w:rPr>
                          <w:t>17,905,324.00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0.0641</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1,147,731.27</w:t>
                        </w:r>
                      </w:p>
                    </w:tc>
                  </w:tr>
                  <w:tr>
                    <w:trPr>
                      <w:trHeight w:val="283"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港元</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9"/>
                          <w:jc w:val="right"/>
                          <w:rPr>
                            <w:rFonts w:ascii="Times New Roman" w:hAnsi="Times New Roman" w:cs="Times New Roman" w:eastAsia="Times New Roman" w:hint="default"/>
                            <w:sz w:val="18"/>
                            <w:szCs w:val="18"/>
                          </w:rPr>
                        </w:pPr>
                        <w:r>
                          <w:rPr>
                            <w:rFonts w:ascii="Times New Roman"/>
                            <w:spacing w:val="-1"/>
                            <w:sz w:val="18"/>
                          </w:rPr>
                          <w:t>30,032,432.00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z w:val="18"/>
                          </w:rPr>
                          <w:t>0.8819</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pacing w:val="-1"/>
                            <w:sz w:val="18"/>
                          </w:rPr>
                          <w:t>26,485,601.78</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2"/>
                          <w:jc w:val="right"/>
                          <w:rPr>
                            <w:rFonts w:ascii="Times New Roman" w:hAnsi="Times New Roman" w:cs="Times New Roman" w:eastAsia="Times New Roman" w:hint="default"/>
                            <w:sz w:val="18"/>
                            <w:szCs w:val="18"/>
                          </w:rPr>
                        </w:pPr>
                        <w:r>
                          <w:rPr>
                            <w:rFonts w:ascii="Times New Roman"/>
                            <w:spacing w:val="-1"/>
                            <w:sz w:val="18"/>
                          </w:rPr>
                          <w:t>2,214,775.00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0.9364</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2,073,915.31</w:t>
                        </w:r>
                      </w:p>
                    </w:tc>
                  </w:tr>
                  <w:tr>
                    <w:trPr>
                      <w:trHeight w:val="283"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挪威克朗</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9"/>
                          <w:jc w:val="right"/>
                          <w:rPr>
                            <w:rFonts w:ascii="Times New Roman" w:hAnsi="Times New Roman" w:cs="Times New Roman" w:eastAsia="Times New Roman" w:hint="default"/>
                            <w:sz w:val="18"/>
                            <w:szCs w:val="18"/>
                          </w:rPr>
                        </w:pPr>
                        <w:r>
                          <w:rPr>
                            <w:rFonts w:ascii="Times New Roman"/>
                            <w:spacing w:val="-1"/>
                            <w:sz w:val="18"/>
                          </w:rPr>
                          <w:t>10,456,950.00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z w:val="18"/>
                          </w:rPr>
                          <w:t>0.9763</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10,209,120.29</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2"/>
                          <w:jc w:val="right"/>
                          <w:rPr>
                            <w:rFonts w:ascii="Times New Roman" w:hAnsi="Times New Roman" w:cs="Times New Roman" w:eastAsia="Times New Roman" w:hint="default"/>
                            <w:sz w:val="18"/>
                            <w:szCs w:val="18"/>
                          </w:rPr>
                        </w:pPr>
                        <w:r>
                          <w:rPr>
                            <w:rFonts w:ascii="Times New Roman"/>
                            <w:spacing w:val="-1"/>
                            <w:sz w:val="18"/>
                          </w:rPr>
                          <w:t>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1.3518</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168"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英镑</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9"/>
                          <w:jc w:val="right"/>
                          <w:rPr>
                            <w:rFonts w:ascii="Times New Roman" w:hAnsi="Times New Roman" w:cs="Times New Roman" w:eastAsia="Times New Roman" w:hint="default"/>
                            <w:sz w:val="18"/>
                            <w:szCs w:val="18"/>
                          </w:rPr>
                        </w:pPr>
                        <w:r>
                          <w:rPr>
                            <w:rFonts w:ascii="Times New Roman"/>
                            <w:sz w:val="18"/>
                          </w:rPr>
                          <w:t>889,700.00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z w:val="18"/>
                          </w:rPr>
                          <w:t>9.8798</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1"/>
                          <w:jc w:val="right"/>
                          <w:rPr>
                            <w:rFonts w:ascii="Times New Roman" w:hAnsi="Times New Roman" w:cs="Times New Roman" w:eastAsia="Times New Roman" w:hint="default"/>
                            <w:sz w:val="18"/>
                            <w:szCs w:val="18"/>
                          </w:rPr>
                        </w:pPr>
                        <w:r>
                          <w:rPr>
                            <w:rFonts w:ascii="Times New Roman"/>
                            <w:spacing w:val="-1"/>
                            <w:sz w:val="18"/>
                          </w:rPr>
                          <w:t>8,790,058.06</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3"/>
                          <w:jc w:val="right"/>
                          <w:rPr>
                            <w:rFonts w:ascii="Times New Roman" w:hAnsi="Times New Roman" w:cs="Times New Roman" w:eastAsia="Times New Roman" w:hint="default"/>
                            <w:sz w:val="18"/>
                            <w:szCs w:val="18"/>
                          </w:rPr>
                        </w:pPr>
                        <w:r>
                          <w:rPr>
                            <w:rFonts w:ascii="Times New Roman"/>
                            <w:spacing w:val="-1"/>
                            <w:sz w:val="18"/>
                          </w:rPr>
                          <w:t>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z w:val="18"/>
                          </w:rPr>
                          <w:t>14.5807</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1168"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新加坡元</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9"/>
                          <w:jc w:val="right"/>
                          <w:rPr>
                            <w:rFonts w:ascii="Times New Roman" w:hAnsi="Times New Roman" w:cs="Times New Roman" w:eastAsia="Times New Roman" w:hint="default"/>
                            <w:sz w:val="18"/>
                            <w:szCs w:val="18"/>
                          </w:rPr>
                        </w:pPr>
                        <w:r>
                          <w:rPr>
                            <w:rFonts w:ascii="Times New Roman"/>
                            <w:spacing w:val="-1"/>
                            <w:sz w:val="18"/>
                          </w:rPr>
                          <w:t>2,904,678.60</w:t>
                        </w:r>
                      </w:p>
                    </w:tc>
                    <w:tc>
                      <w:tcPr>
                        <w:tcW w:w="98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z w:val="18"/>
                          </w:rPr>
                          <w:t>4.7571</w:t>
                        </w: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pacing w:val="-1"/>
                            <w:sz w:val="18"/>
                          </w:rPr>
                          <w:t>13,817,846.57</w:t>
                        </w: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32"/>
                          <w:jc w:val="right"/>
                          <w:rPr>
                            <w:rFonts w:ascii="Times New Roman" w:hAnsi="Times New Roman" w:cs="Times New Roman" w:eastAsia="Times New Roman" w:hint="default"/>
                            <w:sz w:val="18"/>
                            <w:szCs w:val="18"/>
                          </w:rPr>
                        </w:pPr>
                        <w:r>
                          <w:rPr>
                            <w:rFonts w:ascii="Times New Roman"/>
                            <w:spacing w:val="-1"/>
                            <w:sz w:val="18"/>
                          </w:rPr>
                          <w:t>5,554,822.75</w:t>
                        </w:r>
                      </w:p>
                    </w:tc>
                    <w:tc>
                      <w:tcPr>
                        <w:tcW w:w="102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5.0518</w:t>
                        </w: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28,061,853.57</w:t>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79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63.3pt;height:.5pt;mso-position-horizontal-relative:char;mso-position-vertical-relative:line" coordorigin="0,0" coordsize="7266,10">
            <v:group style="position:absolute;left:5;top:5;width:7257;height:2" coordorigin="5,5" coordsize="7257,2">
              <v:shape style="position:absolute;left:5;top:5;width:7257;height:2" coordorigin="5,5" coordsize="7257,0" path="m5,5l7261,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headerReference w:type="default" r:id="rId38"/>
          <w:pgSz w:w="11910" w:h="16840"/>
          <w:pgMar w:header="610" w:footer="784" w:top="1080" w:bottom="9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4"/>
          <w:szCs w:val="14"/>
        </w:rPr>
      </w:pPr>
    </w:p>
    <w:p>
      <w:pPr>
        <w:spacing w:line="20" w:lineRule="exact"/>
        <w:ind w:left="4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4177" w:val="left" w:leader="none"/>
          <w:tab w:pos="7829" w:val="left" w:leader="none"/>
        </w:tabs>
        <w:spacing w:line="236" w:lineRule="exact" w:before="0"/>
        <w:ind w:left="524"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pacing w:val="-1"/>
          <w:sz w:val="18"/>
          <w:szCs w:val="18"/>
        </w:rPr>
        <w:t>686,482,052.83</w:t>
        <w:tab/>
        <w:t>658,736,755.39</w:t>
      </w:r>
      <w:r>
        <w:rPr>
          <w:rFonts w:ascii="Times New Roman" w:hAnsi="Times New Roman" w:cs="Times New Roman" w:eastAsia="Times New Roman" w:hint="default"/>
          <w:spacing w:val="-1"/>
          <w:sz w:val="18"/>
          <w:szCs w:val="18"/>
        </w:rPr>
      </w:r>
    </w:p>
    <w:p>
      <w:pPr>
        <w:spacing w:line="240" w:lineRule="auto" w:before="3"/>
        <w:rPr>
          <w:rFonts w:ascii="Times New Roman" w:hAnsi="Times New Roman" w:cs="Times New Roman" w:eastAsia="Times New Roman" w:hint="default"/>
          <w:b/>
          <w:bCs/>
          <w:sz w:val="3"/>
          <w:szCs w:val="3"/>
        </w:rPr>
      </w:pPr>
    </w:p>
    <w:p>
      <w:pPr>
        <w:spacing w:line="30" w:lineRule="exact"/>
        <w:ind w:left="387"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4.5pt;height:1.5pt;mso-position-horizontal-relative:char;mso-position-vertical-relative:line" coordorigin="0,0" coordsize="8690,30">
            <v:group style="position:absolute;left:15;top:15;width:1403;height:2" coordorigin="15,15" coordsize="1403,2">
              <v:shape style="position:absolute;left:15;top:15;width:1403;height:2" coordorigin="15,15" coordsize="1403,0" path="m15,15l1418,15e" filled="false" stroked="true" strokeweight="1.5pt" strokecolor="#000000">
                <v:path arrowok="t"/>
              </v:shape>
            </v:group>
            <v:group style="position:absolute;left:1403;top:15;width:1276;height:2" coordorigin="1403,15" coordsize="1276,2">
              <v:shape style="position:absolute;left:1403;top:15;width:1276;height:2" coordorigin="1403,15" coordsize="1276,0" path="m1403,15l2679,15e" filled="false" stroked="true" strokeweight="1.5pt" strokecolor="#000000">
                <v:path arrowok="t"/>
              </v:shape>
            </v:group>
            <v:group style="position:absolute;left:2665;top:15;width:1008;height:2" coordorigin="2665,15" coordsize="1008,2">
              <v:shape style="position:absolute;left:2665;top:15;width:1008;height:2" coordorigin="2665,15" coordsize="1008,0" path="m2665,15l3673,15e" filled="false" stroked="true" strokeweight="1.5pt" strokecolor="#000000">
                <v:path arrowok="t"/>
              </v:shape>
            </v:group>
            <v:group style="position:absolute;left:3658;top:15;width:1365;height:2" coordorigin="3658,15" coordsize="1365,2">
              <v:shape style="position:absolute;left:3658;top:15;width:1365;height:2" coordorigin="3658,15" coordsize="1365,0" path="m3658,15l5023,15e" filled="false" stroked="true" strokeweight="1.5pt" strokecolor="#000000">
                <v:path arrowok="t"/>
              </v:shape>
            </v:group>
            <v:group style="position:absolute;left:5008;top:15;width:1275;height:2" coordorigin="5008,15" coordsize="1275,2">
              <v:shape style="position:absolute;left:5008;top:15;width:1275;height:2" coordorigin="5008,15" coordsize="1275,0" path="m5008,15l6283,15e" filled="false" stroked="true" strokeweight="1.5pt" strokecolor="#000000">
                <v:path arrowok="t"/>
              </v:shape>
            </v:group>
            <v:group style="position:absolute;left:6268;top:15;width:1061;height:2" coordorigin="6268,15" coordsize="1061,2">
              <v:shape style="position:absolute;left:6268;top:15;width:1061;height:2" coordorigin="6268,15" coordsize="1061,0" path="m6268,15l7329,15e" filled="false" stroked="true" strokeweight="1.5pt" strokecolor="#000000">
                <v:path arrowok="t"/>
              </v:shape>
            </v:group>
            <v:group style="position:absolute;left:7315;top:15;width:1360;height:2" coordorigin="7315,15" coordsize="1360,2">
              <v:shape style="position:absolute;left:7315;top:15;width:1360;height:2" coordorigin="7315,15" coordsize="1360,0" path="m7315,15l8674,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line="240" w:lineRule="auto" w:before="5"/>
        <w:rPr>
          <w:rFonts w:ascii="Times New Roman" w:hAnsi="Times New Roman" w:cs="Times New Roman" w:eastAsia="Times New Roman" w:hint="default"/>
          <w:b/>
          <w:bCs/>
          <w:sz w:val="5"/>
          <w:szCs w:val="5"/>
        </w:rPr>
      </w:pPr>
    </w:p>
    <w:p>
      <w:pPr>
        <w:tabs>
          <w:tab w:pos="1045" w:val="left" w:leader="none"/>
        </w:tabs>
        <w:spacing w:before="31"/>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5.</w:t>
        <w:tab/>
      </w:r>
      <w:r>
        <w:rPr>
          <w:rFonts w:ascii="楷体" w:hAnsi="楷体" w:cs="楷体" w:eastAsia="楷体" w:hint="default"/>
          <w:sz w:val="22"/>
          <w:szCs w:val="22"/>
        </w:rPr>
        <w:t>预付款项</w:t>
      </w:r>
    </w:p>
    <w:p>
      <w:pPr>
        <w:spacing w:line="240" w:lineRule="auto" w:before="3"/>
        <w:rPr>
          <w:rFonts w:ascii="楷体" w:hAnsi="楷体" w:cs="楷体" w:eastAsia="楷体" w:hint="default"/>
          <w:sz w:val="11"/>
          <w:szCs w:val="11"/>
        </w:rPr>
      </w:pPr>
    </w:p>
    <w:p>
      <w:pPr>
        <w:spacing w:line="30" w:lineRule="exact"/>
        <w:ind w:left="409"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tabs>
          <w:tab w:pos="7065" w:val="left" w:leader="none"/>
        </w:tabs>
        <w:spacing w:line="156" w:lineRule="exact" w:before="0"/>
        <w:ind w:left="374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23" w:lineRule="exact" w:before="0"/>
        <w:ind w:left="524" w:right="6555" w:firstLine="0"/>
        <w:jc w:val="left"/>
        <w:rPr>
          <w:rFonts w:ascii="Microsoft JhengHei" w:hAnsi="Microsoft JhengHei" w:cs="Microsoft JhengHei" w:eastAsia="Microsoft JhengHei" w:hint="default"/>
          <w:sz w:val="18"/>
          <w:szCs w:val="18"/>
        </w:rPr>
      </w:pPr>
      <w:r>
        <w:rPr/>
        <w:pict>
          <v:shape style="position:absolute;margin-left:84.839996pt;margin-top:6.563152pt;width:431.9pt;height:88.4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6"/>
                    <w:gridCol w:w="2090"/>
                    <w:gridCol w:w="1444"/>
                    <w:gridCol w:w="1848"/>
                    <w:gridCol w:w="1269"/>
                  </w:tblGrid>
                  <w:tr>
                    <w:trPr>
                      <w:trHeight w:val="294" w:hRule="exact"/>
                    </w:trPr>
                    <w:tc>
                      <w:tcPr>
                        <w:tcW w:w="1986" w:type="dxa"/>
                        <w:tcBorders>
                          <w:top w:val="nil" w:sz="6" w:space="0" w:color="auto"/>
                          <w:left w:val="nil" w:sz="6" w:space="0" w:color="auto"/>
                          <w:bottom w:val="single" w:sz="4" w:space="0" w:color="000000"/>
                          <w:right w:val="nil" w:sz="6" w:space="0" w:color="auto"/>
                        </w:tcBorders>
                      </w:tcPr>
                      <w:p>
                        <w:pPr/>
                      </w:p>
                    </w:tc>
                    <w:tc>
                      <w:tcPr>
                        <w:tcW w:w="2090" w:type="dxa"/>
                        <w:tcBorders>
                          <w:top w:val="single" w:sz="4" w:space="0" w:color="000000"/>
                          <w:left w:val="nil" w:sz="6" w:space="0" w:color="auto"/>
                          <w:bottom w:val="single" w:sz="4" w:space="0" w:color="000000"/>
                          <w:right w:val="nil" w:sz="6" w:space="0" w:color="auto"/>
                        </w:tcBorders>
                      </w:tcPr>
                      <w:p>
                        <w:pPr>
                          <w:pStyle w:val="TableParagraph"/>
                          <w:spacing w:line="246" w:lineRule="exact"/>
                          <w:ind w:right="23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3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848"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5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269"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3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r>
                  <w:tr>
                    <w:trPr>
                      <w:trHeight w:val="287" w:hRule="exact"/>
                    </w:trPr>
                    <w:tc>
                      <w:tcPr>
                        <w:tcW w:w="1986" w:type="dxa"/>
                        <w:tcBorders>
                          <w:top w:val="single" w:sz="4" w:space="0" w:color="000000"/>
                          <w:left w:val="nil" w:sz="6" w:space="0" w:color="auto"/>
                          <w:bottom w:val="nil" w:sz="6" w:space="0" w:color="auto"/>
                          <w:right w:val="nil" w:sz="6" w:space="0" w:color="auto"/>
                        </w:tcBorders>
                      </w:tcPr>
                      <w:p>
                        <w:pPr>
                          <w:pStyle w:val="TableParagraph"/>
                          <w:spacing w:line="239"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209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47"/>
                          <w:jc w:val="right"/>
                          <w:rPr>
                            <w:rFonts w:ascii="Times New Roman" w:hAnsi="Times New Roman" w:cs="Times New Roman" w:eastAsia="Times New Roman" w:hint="default"/>
                            <w:sz w:val="18"/>
                            <w:szCs w:val="18"/>
                          </w:rPr>
                        </w:pPr>
                        <w:r>
                          <w:rPr>
                            <w:rFonts w:ascii="Times New Roman"/>
                            <w:spacing w:val="-1"/>
                            <w:sz w:val="18"/>
                          </w:rPr>
                          <w:t>807,586,574.22</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6"/>
                          <w:jc w:val="right"/>
                          <w:rPr>
                            <w:rFonts w:ascii="Times New Roman" w:hAnsi="Times New Roman" w:cs="Times New Roman" w:eastAsia="Times New Roman" w:hint="default"/>
                            <w:sz w:val="18"/>
                            <w:szCs w:val="18"/>
                          </w:rPr>
                        </w:pPr>
                        <w:r>
                          <w:rPr>
                            <w:rFonts w:ascii="Times New Roman"/>
                            <w:sz w:val="18"/>
                          </w:rPr>
                          <w:t>67.85%</w:t>
                        </w:r>
                      </w:p>
                    </w:tc>
                    <w:tc>
                      <w:tcPr>
                        <w:tcW w:w="184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39"/>
                          <w:jc w:val="right"/>
                          <w:rPr>
                            <w:rFonts w:ascii="Times New Roman" w:hAnsi="Times New Roman" w:cs="Times New Roman" w:eastAsia="Times New Roman" w:hint="default"/>
                            <w:sz w:val="18"/>
                            <w:szCs w:val="18"/>
                          </w:rPr>
                        </w:pPr>
                        <w:r>
                          <w:rPr>
                            <w:rFonts w:ascii="Times New Roman"/>
                            <w:spacing w:val="-1"/>
                            <w:sz w:val="18"/>
                          </w:rPr>
                          <w:t>1,322,637,852.31</w:t>
                        </w:r>
                      </w:p>
                    </w:tc>
                    <w:tc>
                      <w:tcPr>
                        <w:tcW w:w="126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74.94%</w:t>
                        </w:r>
                      </w:p>
                    </w:tc>
                  </w:tr>
                  <w:tr>
                    <w:trPr>
                      <w:trHeight w:val="283"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楷体" w:hAnsi="楷体" w:cs="楷体" w:eastAsia="楷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7"/>
                          <w:jc w:val="right"/>
                          <w:rPr>
                            <w:rFonts w:ascii="Times New Roman" w:hAnsi="Times New Roman" w:cs="Times New Roman" w:eastAsia="Times New Roman" w:hint="default"/>
                            <w:sz w:val="18"/>
                            <w:szCs w:val="18"/>
                          </w:rPr>
                        </w:pPr>
                        <w:r>
                          <w:rPr>
                            <w:rFonts w:ascii="Times New Roman"/>
                            <w:spacing w:val="-1"/>
                            <w:sz w:val="18"/>
                          </w:rPr>
                          <w:t>199,834,563.29</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6"/>
                          <w:jc w:val="right"/>
                          <w:rPr>
                            <w:rFonts w:ascii="Times New Roman" w:hAnsi="Times New Roman" w:cs="Times New Roman" w:eastAsia="Times New Roman" w:hint="default"/>
                            <w:sz w:val="18"/>
                            <w:szCs w:val="18"/>
                          </w:rPr>
                        </w:pPr>
                        <w:r>
                          <w:rPr>
                            <w:rFonts w:ascii="Times New Roman"/>
                            <w:sz w:val="18"/>
                          </w:rPr>
                          <w:t>16.79%</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7"/>
                          <w:jc w:val="right"/>
                          <w:rPr>
                            <w:rFonts w:ascii="Times New Roman" w:hAnsi="Times New Roman" w:cs="Times New Roman" w:eastAsia="Times New Roman" w:hint="default"/>
                            <w:sz w:val="18"/>
                            <w:szCs w:val="18"/>
                          </w:rPr>
                        </w:pPr>
                        <w:r>
                          <w:rPr>
                            <w:rFonts w:ascii="Times New Roman"/>
                            <w:spacing w:val="-1"/>
                            <w:sz w:val="18"/>
                          </w:rPr>
                          <w:t>193,266,574.89</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10.95%</w:t>
                        </w:r>
                      </w:p>
                    </w:tc>
                  </w:tr>
                  <w:tr>
                    <w:trPr>
                      <w:trHeight w:val="283"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2</w:t>
                        </w:r>
                        <w:r>
                          <w:rPr>
                            <w:rFonts w:ascii="楷体" w:hAnsi="楷体" w:cs="楷体" w:eastAsia="楷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8"/>
                          <w:jc w:val="right"/>
                          <w:rPr>
                            <w:rFonts w:ascii="Times New Roman" w:hAnsi="Times New Roman" w:cs="Times New Roman" w:eastAsia="Times New Roman" w:hint="default"/>
                            <w:sz w:val="18"/>
                            <w:szCs w:val="18"/>
                          </w:rPr>
                        </w:pPr>
                        <w:r>
                          <w:rPr>
                            <w:rFonts w:ascii="Times New Roman"/>
                            <w:spacing w:val="-1"/>
                            <w:sz w:val="18"/>
                          </w:rPr>
                          <w:t>50,551,101.40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7"/>
                          <w:jc w:val="right"/>
                          <w:rPr>
                            <w:rFonts w:ascii="Times New Roman" w:hAnsi="Times New Roman" w:cs="Times New Roman" w:eastAsia="Times New Roman" w:hint="default"/>
                            <w:sz w:val="18"/>
                            <w:szCs w:val="18"/>
                          </w:rPr>
                        </w:pPr>
                        <w:r>
                          <w:rPr>
                            <w:rFonts w:ascii="Times New Roman"/>
                            <w:spacing w:val="-1"/>
                            <w:sz w:val="18"/>
                          </w:rPr>
                          <w:t>4.25%</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7"/>
                          <w:jc w:val="right"/>
                          <w:rPr>
                            <w:rFonts w:ascii="Times New Roman" w:hAnsi="Times New Roman" w:cs="Times New Roman" w:eastAsia="Times New Roman" w:hint="default"/>
                            <w:sz w:val="18"/>
                            <w:szCs w:val="18"/>
                          </w:rPr>
                        </w:pPr>
                        <w:r>
                          <w:rPr>
                            <w:rFonts w:ascii="Times New Roman"/>
                            <w:spacing w:val="-1"/>
                            <w:sz w:val="18"/>
                          </w:rPr>
                          <w:t>158,275,490.78</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8.97%</w:t>
                        </w:r>
                      </w:p>
                    </w:tc>
                  </w:tr>
                  <w:tr>
                    <w:trPr>
                      <w:trHeight w:val="288" w:hRule="exact"/>
                    </w:trPr>
                    <w:tc>
                      <w:tcPr>
                        <w:tcW w:w="1986" w:type="dxa"/>
                        <w:tcBorders>
                          <w:top w:val="nil" w:sz="6" w:space="0" w:color="auto"/>
                          <w:left w:val="nil" w:sz="6" w:space="0" w:color="auto"/>
                          <w:bottom w:val="single" w:sz="4" w:space="0" w:color="000000"/>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年以上</w:t>
                        </w: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347"/>
                          <w:jc w:val="right"/>
                          <w:rPr>
                            <w:rFonts w:ascii="Times New Roman" w:hAnsi="Times New Roman" w:cs="Times New Roman" w:eastAsia="Times New Roman" w:hint="default"/>
                            <w:sz w:val="18"/>
                            <w:szCs w:val="18"/>
                          </w:rPr>
                        </w:pPr>
                        <w:r>
                          <w:rPr>
                            <w:rFonts w:ascii="Times New Roman"/>
                            <w:spacing w:val="-1"/>
                            <w:sz w:val="18"/>
                          </w:rPr>
                          <w:t>132,276,426.82</w:t>
                        </w: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47"/>
                          <w:jc w:val="right"/>
                          <w:rPr>
                            <w:rFonts w:ascii="Times New Roman" w:hAnsi="Times New Roman" w:cs="Times New Roman" w:eastAsia="Times New Roman" w:hint="default"/>
                            <w:sz w:val="18"/>
                            <w:szCs w:val="18"/>
                          </w:rPr>
                        </w:pPr>
                        <w:r>
                          <w:rPr>
                            <w:rFonts w:ascii="Times New Roman"/>
                            <w:spacing w:val="-3"/>
                            <w:sz w:val="18"/>
                          </w:rPr>
                          <w:t>11.11%</w:t>
                        </w:r>
                      </w:p>
                    </w:tc>
                    <w:tc>
                      <w:tcPr>
                        <w:tcW w:w="184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339"/>
                          <w:jc w:val="right"/>
                          <w:rPr>
                            <w:rFonts w:ascii="Times New Roman" w:hAnsi="Times New Roman" w:cs="Times New Roman" w:eastAsia="Times New Roman" w:hint="default"/>
                            <w:sz w:val="18"/>
                            <w:szCs w:val="18"/>
                          </w:rPr>
                        </w:pPr>
                        <w:r>
                          <w:rPr>
                            <w:rFonts w:ascii="Times New Roman"/>
                            <w:spacing w:val="-1"/>
                            <w:sz w:val="18"/>
                          </w:rPr>
                          <w:t>90,721,646.96</w:t>
                        </w:r>
                      </w:p>
                    </w:tc>
                    <w:tc>
                      <w:tcPr>
                        <w:tcW w:w="126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5.14%</w:t>
                        </w:r>
                      </w:p>
                    </w:tc>
                  </w:tr>
                  <w:tr>
                    <w:trPr>
                      <w:trHeight w:val="303" w:hRule="exact"/>
                    </w:trPr>
                    <w:tc>
                      <w:tcPr>
                        <w:tcW w:w="198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09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48"/>
                          <w:jc w:val="right"/>
                          <w:rPr>
                            <w:rFonts w:ascii="Times New Roman" w:hAnsi="Times New Roman" w:cs="Times New Roman" w:eastAsia="Times New Roman" w:hint="default"/>
                            <w:sz w:val="18"/>
                            <w:szCs w:val="18"/>
                          </w:rPr>
                        </w:pPr>
                        <w:r>
                          <w:rPr>
                            <w:rFonts w:ascii="Times New Roman"/>
                            <w:b/>
                            <w:spacing w:val="-1"/>
                            <w:sz w:val="18"/>
                          </w:rPr>
                          <w:t>1,190,248,665.73</w:t>
                        </w:r>
                        <w:r>
                          <w:rPr>
                            <w:rFonts w:ascii="Times New Roman"/>
                            <w:spacing w:val="-1"/>
                            <w:sz w:val="18"/>
                          </w:rPr>
                        </w:r>
                      </w:p>
                    </w:tc>
                    <w:tc>
                      <w:tcPr>
                        <w:tcW w:w="14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4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8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38"/>
                          <w:jc w:val="right"/>
                          <w:rPr>
                            <w:rFonts w:ascii="Times New Roman" w:hAnsi="Times New Roman" w:cs="Times New Roman" w:eastAsia="Times New Roman" w:hint="default"/>
                            <w:sz w:val="18"/>
                            <w:szCs w:val="18"/>
                          </w:rPr>
                        </w:pPr>
                        <w:r>
                          <w:rPr>
                            <w:rFonts w:ascii="Times New Roman"/>
                            <w:b/>
                            <w:spacing w:val="-1"/>
                            <w:sz w:val="18"/>
                          </w:rPr>
                          <w:t>1,764,901,564.94</w:t>
                        </w:r>
                        <w:r>
                          <w:rPr>
                            <w:rFonts w:ascii="Times New Roman"/>
                            <w:spacing w:val="-1"/>
                            <w:sz w:val="18"/>
                          </w:rPr>
                        </w:r>
                      </w:p>
                    </w:tc>
                    <w:tc>
                      <w:tcPr>
                        <w:tcW w:w="126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p>
              </w:txbxContent>
            </v:textbox>
            <w10:wrap type="none"/>
          </v:shape>
        </w:pict>
      </w: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9"/>
          <w:szCs w:val="19"/>
        </w:rPr>
      </w:pPr>
    </w:p>
    <w:p>
      <w:pPr>
        <w:spacing w:before="31"/>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楷体" w:hAnsi="楷体" w:cs="楷体" w:eastAsia="楷体" w:hint="default"/>
          <w:sz w:val="22"/>
          <w:szCs w:val="22"/>
        </w:rPr>
        <w:t>账龄超过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9"/>
          <w:sz w:val="22"/>
          <w:szCs w:val="22"/>
        </w:rPr>
        <w:t> </w:t>
      </w:r>
      <w:r>
        <w:rPr>
          <w:rFonts w:ascii="楷体" w:hAnsi="楷体" w:cs="楷体" w:eastAsia="楷体" w:hint="default"/>
          <w:sz w:val="22"/>
          <w:szCs w:val="22"/>
        </w:rPr>
        <w:t>年的预付款项中，含本公司之子公司北京同方房地产开发有限公司向江西昌</w:t>
      </w:r>
    </w:p>
    <w:p>
      <w:pPr>
        <w:spacing w:line="316" w:lineRule="auto" w:before="85"/>
        <w:ind w:left="138" w:right="140" w:firstLine="0"/>
        <w:jc w:val="both"/>
        <w:rPr>
          <w:rFonts w:ascii="楷体" w:hAnsi="楷体" w:cs="楷体" w:eastAsia="楷体" w:hint="default"/>
          <w:sz w:val="22"/>
          <w:szCs w:val="22"/>
        </w:rPr>
      </w:pPr>
      <w:r>
        <w:rPr>
          <w:rFonts w:ascii="楷体" w:hAnsi="楷体" w:cs="楷体" w:eastAsia="楷体" w:hint="default"/>
          <w:sz w:val="22"/>
          <w:szCs w:val="22"/>
        </w:rPr>
        <w:t>九置业有限公司及北京信远房地产开发有限公司提供的房地产项目合作开发资金</w:t>
      </w:r>
      <w:r>
        <w:rPr>
          <w:rFonts w:ascii="楷体" w:hAnsi="楷体" w:cs="楷体" w:eastAsia="楷体" w:hint="default"/>
          <w:spacing w:val="-1"/>
          <w:sz w:val="22"/>
          <w:szCs w:val="22"/>
        </w:rPr>
        <w:t> </w:t>
      </w:r>
      <w:r>
        <w:rPr>
          <w:rFonts w:ascii="Times New Roman" w:hAnsi="Times New Roman" w:cs="Times New Roman" w:eastAsia="Times New Roman" w:hint="default"/>
          <w:sz w:val="22"/>
          <w:szCs w:val="22"/>
        </w:rPr>
        <w:t>108,000,000.00</w:t>
      </w:r>
      <w:r>
        <w:rPr>
          <w:rFonts w:ascii="Times New Roman" w:hAnsi="Times New Roman" w:cs="Times New Roman" w:eastAsia="Times New Roman" w:hint="default"/>
          <w:w w:val="99"/>
          <w:sz w:val="22"/>
          <w:szCs w:val="22"/>
        </w:rPr>
        <w:t> </w:t>
      </w:r>
      <w:r>
        <w:rPr>
          <w:rFonts w:ascii="楷体" w:hAnsi="楷体" w:cs="楷体" w:eastAsia="楷体" w:hint="default"/>
          <w:spacing w:val="-1"/>
          <w:sz w:val="22"/>
          <w:szCs w:val="22"/>
        </w:rPr>
        <w:t>元；本公司之二级子公司同方江新造船有限公司预付生产周期较长的大型进口船舶设备的采购款</w:t>
      </w:r>
      <w:r>
        <w:rPr>
          <w:rFonts w:ascii="楷体" w:hAnsi="楷体" w:cs="楷体" w:eastAsia="楷体" w:hint="default"/>
          <w:w w:val="99"/>
          <w:sz w:val="22"/>
          <w:szCs w:val="22"/>
        </w:rPr>
        <w:t> </w:t>
      </w:r>
      <w:r>
        <w:rPr>
          <w:rFonts w:ascii="Times New Roman" w:hAnsi="Times New Roman" w:cs="Times New Roman" w:eastAsia="Times New Roman" w:hint="default"/>
          <w:sz w:val="22"/>
          <w:szCs w:val="22"/>
        </w:rPr>
        <w:t>86,479,527.58</w:t>
      </w:r>
      <w:r>
        <w:rPr>
          <w:rFonts w:ascii="Times New Roman" w:hAnsi="Times New Roman" w:cs="Times New Roman" w:eastAsia="Times New Roman" w:hint="default"/>
          <w:spacing w:val="-8"/>
          <w:sz w:val="22"/>
          <w:szCs w:val="22"/>
        </w:rPr>
        <w:t> </w:t>
      </w:r>
      <w:r>
        <w:rPr>
          <w:rFonts w:ascii="楷体" w:hAnsi="楷体" w:cs="楷体" w:eastAsia="楷体" w:hint="default"/>
          <w:sz w:val="22"/>
          <w:szCs w:val="22"/>
        </w:rPr>
        <w:t>元。</w:t>
      </w:r>
    </w:p>
    <w:p>
      <w:pPr>
        <w:spacing w:line="307" w:lineRule="auto" w:before="85"/>
        <w:ind w:left="138" w:right="0" w:firstLine="45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楷体" w:hAnsi="楷体" w:cs="楷体" w:eastAsia="楷体" w:hint="default"/>
          <w:sz w:val="22"/>
          <w:szCs w:val="22"/>
        </w:rPr>
        <w:t>本年末的预付款项较上年末减少 </w:t>
      </w:r>
      <w:r>
        <w:rPr>
          <w:rFonts w:ascii="Times New Roman" w:hAnsi="Times New Roman" w:cs="Times New Roman" w:eastAsia="Times New Roman" w:hint="default"/>
          <w:sz w:val="22"/>
          <w:szCs w:val="22"/>
        </w:rPr>
        <w:t>574,652,899.21 </w:t>
      </w:r>
      <w:r>
        <w:rPr>
          <w:rFonts w:ascii="楷体" w:hAnsi="楷体" w:cs="楷体" w:eastAsia="楷体" w:hint="default"/>
          <w:sz w:val="22"/>
          <w:szCs w:val="22"/>
        </w:rPr>
        <w:t>元，减幅</w:t>
      </w:r>
      <w:r>
        <w:rPr>
          <w:rFonts w:ascii="楷体" w:hAnsi="楷体" w:cs="楷体" w:eastAsia="楷体" w:hint="default"/>
          <w:spacing w:val="-10"/>
          <w:sz w:val="22"/>
          <w:szCs w:val="22"/>
        </w:rPr>
        <w:t> </w:t>
      </w:r>
      <w:r>
        <w:rPr>
          <w:rFonts w:ascii="Times New Roman" w:hAnsi="Times New Roman" w:cs="Times New Roman" w:eastAsia="Times New Roman" w:hint="default"/>
          <w:sz w:val="22"/>
          <w:szCs w:val="22"/>
        </w:rPr>
        <w:t>32.56%</w:t>
      </w:r>
      <w:r>
        <w:rPr>
          <w:rFonts w:ascii="楷体" w:hAnsi="楷体" w:cs="楷体" w:eastAsia="楷体" w:hint="default"/>
          <w:sz w:val="22"/>
          <w:szCs w:val="22"/>
        </w:rPr>
        <w:t>，主要系本年度本公</w:t>
      </w:r>
      <w:r>
        <w:rPr>
          <w:rFonts w:ascii="楷体" w:hAnsi="楷体" w:cs="楷体" w:eastAsia="楷体" w:hint="default"/>
          <w:w w:val="99"/>
          <w:sz w:val="22"/>
          <w:szCs w:val="22"/>
        </w:rPr>
        <w:t> </w:t>
      </w:r>
      <w:r>
        <w:rPr>
          <w:rFonts w:ascii="楷体" w:hAnsi="楷体" w:cs="楷体" w:eastAsia="楷体" w:hint="default"/>
          <w:sz w:val="22"/>
          <w:szCs w:val="22"/>
        </w:rPr>
        <w:t>司加大了预付采购款的结算力度所致。</w:t>
      </w:r>
    </w:p>
    <w:p>
      <w:pPr>
        <w:spacing w:before="118"/>
        <w:ind w:left="592"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楷体" w:hAnsi="楷体" w:cs="楷体" w:eastAsia="楷体" w:hint="default"/>
          <w:sz w:val="22"/>
          <w:szCs w:val="22"/>
        </w:rPr>
        <w:t>年末预付款项中不含持本公司 </w:t>
      </w:r>
      <w:r>
        <w:rPr>
          <w:rFonts w:ascii="Times New Roman" w:hAnsi="Times New Roman" w:cs="Times New Roman" w:eastAsia="Times New Roman" w:hint="default"/>
          <w:sz w:val="22"/>
          <w:szCs w:val="22"/>
        </w:rPr>
        <w:t>5%</w:t>
      </w:r>
      <w:r>
        <w:rPr>
          <w:rFonts w:ascii="楷体" w:hAnsi="楷体" w:cs="楷体" w:eastAsia="楷体" w:hint="default"/>
          <w:sz w:val="22"/>
          <w:szCs w:val="22"/>
        </w:rPr>
        <w:t>（含</w:t>
      </w:r>
      <w:r>
        <w:rPr>
          <w:rFonts w:ascii="楷体" w:hAnsi="楷体" w:cs="楷体" w:eastAsia="楷体" w:hint="default"/>
          <w:spacing w:val="-83"/>
          <w:sz w:val="22"/>
          <w:szCs w:val="22"/>
        </w:rPr>
        <w:t> </w:t>
      </w:r>
      <w:r>
        <w:rPr>
          <w:rFonts w:ascii="Times New Roman" w:hAnsi="Times New Roman" w:cs="Times New Roman" w:eastAsia="Times New Roman" w:hint="default"/>
          <w:sz w:val="22"/>
          <w:szCs w:val="22"/>
        </w:rPr>
        <w:t>5%</w:t>
      </w:r>
      <w:r>
        <w:rPr>
          <w:rFonts w:ascii="楷体" w:hAnsi="楷体" w:cs="楷体" w:eastAsia="楷体" w:hint="default"/>
          <w:sz w:val="22"/>
          <w:szCs w:val="22"/>
        </w:rPr>
        <w:t>）以上表决权股份的股东单位欠款。</w:t>
      </w:r>
    </w:p>
    <w:p>
      <w:pPr>
        <w:spacing w:before="163"/>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2"/>
          <w:sz w:val="22"/>
          <w:szCs w:val="22"/>
        </w:rPr>
        <w:t> </w:t>
      </w:r>
      <w:r>
        <w:rPr>
          <w:rFonts w:ascii="楷体" w:hAnsi="楷体" w:cs="楷体" w:eastAsia="楷体" w:hint="default"/>
          <w:sz w:val="22"/>
          <w:szCs w:val="22"/>
        </w:rPr>
        <w:t>期末余额中前五名欠款单位欠款</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264,962,913.73</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元，占预付款项总额的</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22.26%</w:t>
      </w:r>
      <w:r>
        <w:rPr>
          <w:rFonts w:ascii="楷体" w:hAnsi="楷体" w:cs="楷体" w:eastAsia="楷体" w:hint="default"/>
          <w:sz w:val="22"/>
          <w:szCs w:val="22"/>
        </w:rPr>
        <w:t>。</w:t>
      </w:r>
    </w:p>
    <w:p>
      <w:pPr>
        <w:spacing w:line="307" w:lineRule="auto" w:before="163"/>
        <w:ind w:left="137" w:right="0" w:firstLine="45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 </w:t>
      </w:r>
      <w:r>
        <w:rPr>
          <w:rFonts w:ascii="楷体" w:hAnsi="楷体" w:cs="楷体" w:eastAsia="楷体" w:hint="default"/>
          <w:sz w:val="22"/>
          <w:szCs w:val="22"/>
        </w:rPr>
        <w:t>期末余额中预付关联方款项合计 </w:t>
      </w:r>
      <w:r>
        <w:rPr>
          <w:rFonts w:ascii="Times New Roman" w:hAnsi="Times New Roman" w:cs="Times New Roman" w:eastAsia="Times New Roman" w:hint="default"/>
          <w:sz w:val="22"/>
          <w:szCs w:val="22"/>
        </w:rPr>
        <w:t>22,382,720.96 </w:t>
      </w:r>
      <w:r>
        <w:rPr>
          <w:rFonts w:ascii="楷体" w:hAnsi="楷体" w:cs="楷体" w:eastAsia="楷体" w:hint="default"/>
          <w:spacing w:val="-4"/>
          <w:sz w:val="22"/>
          <w:szCs w:val="22"/>
        </w:rPr>
        <w:t>元，占预付款项总额的</w:t>
      </w:r>
      <w:r>
        <w:rPr>
          <w:rFonts w:ascii="楷体" w:hAnsi="楷体" w:cs="楷体" w:eastAsia="楷体" w:hint="default"/>
          <w:spacing w:val="-85"/>
          <w:sz w:val="22"/>
          <w:szCs w:val="22"/>
        </w:rPr>
        <w:t> </w:t>
      </w:r>
      <w:r>
        <w:rPr>
          <w:rFonts w:ascii="Times New Roman" w:hAnsi="Times New Roman" w:cs="Times New Roman" w:eastAsia="Times New Roman" w:hint="default"/>
          <w:spacing w:val="-5"/>
          <w:sz w:val="22"/>
          <w:szCs w:val="22"/>
        </w:rPr>
        <w:t>1.88%</w:t>
      </w:r>
      <w:r>
        <w:rPr>
          <w:rFonts w:ascii="楷体" w:hAnsi="楷体" w:cs="楷体" w:eastAsia="楷体" w:hint="default"/>
          <w:spacing w:val="-5"/>
          <w:sz w:val="22"/>
          <w:szCs w:val="22"/>
        </w:rPr>
        <w:t>，详见附注</w:t>
      </w:r>
      <w:r>
        <w:rPr>
          <w:rFonts w:ascii="楷体" w:hAnsi="楷体" w:cs="楷体" w:eastAsia="楷体" w:hint="default"/>
          <w:w w:val="99"/>
          <w:sz w:val="22"/>
          <w:szCs w:val="22"/>
        </w:rPr>
        <w:t> </w:t>
      </w:r>
      <w:r>
        <w:rPr>
          <w:rFonts w:ascii="楷体" w:hAnsi="楷体" w:cs="楷体" w:eastAsia="楷体" w:hint="default"/>
          <w:spacing w:val="-32"/>
          <w:w w:val="99"/>
          <w:sz w:val="22"/>
          <w:szCs w:val="22"/>
        </w:rPr>
        <w:t>十一、（三）。</w:t>
      </w:r>
      <w:r>
        <w:rPr>
          <w:rFonts w:ascii="楷体" w:hAnsi="楷体" w:cs="楷体" w:eastAsia="楷体" w:hint="default"/>
          <w:spacing w:val="-32"/>
          <w:sz w:val="22"/>
          <w:szCs w:val="22"/>
        </w:rPr>
      </w:r>
    </w:p>
    <w:p>
      <w:pPr>
        <w:spacing w:before="118"/>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预付款项中外币余额</w:t>
      </w:r>
    </w:p>
    <w:p>
      <w:pPr>
        <w:tabs>
          <w:tab w:pos="6894" w:val="left" w:leader="none"/>
        </w:tabs>
        <w:spacing w:before="110"/>
        <w:ind w:left="3275" w:right="0" w:firstLine="0"/>
        <w:jc w:val="left"/>
        <w:rPr>
          <w:rFonts w:ascii="Microsoft JhengHei" w:hAnsi="Microsoft JhengHei" w:cs="Microsoft JhengHei" w:eastAsia="Microsoft JhengHei" w:hint="default"/>
          <w:sz w:val="18"/>
          <w:szCs w:val="18"/>
        </w:rPr>
      </w:pPr>
      <w:r>
        <w:rPr/>
        <w:pict>
          <v:group style="position:absolute;margin-left:85.199997pt;margin-top:8.105545pt;width:431.55pt;height:.1pt;mso-position-horizontal-relative:page;mso-position-vertical-relative:paragraph;z-index:-899008" coordorigin="1704,162" coordsize="8631,2">
            <v:shape style="position:absolute;left:1704;top:162;width:8631;height:2" coordorigin="1704,162" coordsize="8631,0" path="m1704,162l10334,162e" filled="false" stroked="true" strokeweight="1.5pt" strokecolor="#000000">
              <v:path arrowok="t"/>
            </v:shape>
            <w10:wrap type="none"/>
          </v:group>
        </w:pict>
      </w:r>
      <w:r>
        <w:rPr/>
        <w:pict>
          <v:shape style="position:absolute;margin-left:84.839996pt;margin-top:17.740770pt;width:431.9pt;height:181.3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7"/>
                    <w:gridCol w:w="1171"/>
                    <w:gridCol w:w="966"/>
                    <w:gridCol w:w="1389"/>
                    <w:gridCol w:w="1291"/>
                    <w:gridCol w:w="1058"/>
                    <w:gridCol w:w="1247"/>
                  </w:tblGrid>
                  <w:tr>
                    <w:trPr>
                      <w:trHeight w:val="403" w:hRule="exact"/>
                    </w:trPr>
                    <w:tc>
                      <w:tcPr>
                        <w:tcW w:w="1517"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96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1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c>
                      <w:tcPr>
                        <w:tcW w:w="129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4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8" w:hRule="exact"/>
                    </w:trPr>
                    <w:tc>
                      <w:tcPr>
                        <w:tcW w:w="151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美元</w:t>
                        </w:r>
                      </w:p>
                    </w:tc>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24"/>
                          <w:jc w:val="right"/>
                          <w:rPr>
                            <w:rFonts w:ascii="Times New Roman" w:hAnsi="Times New Roman" w:cs="Times New Roman" w:eastAsia="Times New Roman" w:hint="default"/>
                            <w:sz w:val="18"/>
                            <w:szCs w:val="18"/>
                          </w:rPr>
                        </w:pPr>
                        <w:r>
                          <w:rPr>
                            <w:rFonts w:ascii="Times New Roman"/>
                            <w:spacing w:val="-1"/>
                            <w:sz w:val="18"/>
                          </w:rPr>
                          <w:t>18,309,849.50</w:t>
                        </w:r>
                      </w:p>
                    </w:tc>
                    <w:tc>
                      <w:tcPr>
                        <w:tcW w:w="96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75"/>
                          <w:jc w:val="right"/>
                          <w:rPr>
                            <w:rFonts w:ascii="Times New Roman" w:hAnsi="Times New Roman" w:cs="Times New Roman" w:eastAsia="Times New Roman" w:hint="default"/>
                            <w:sz w:val="18"/>
                            <w:szCs w:val="18"/>
                          </w:rPr>
                        </w:pPr>
                        <w:r>
                          <w:rPr>
                            <w:rFonts w:ascii="Times New Roman"/>
                            <w:sz w:val="18"/>
                          </w:rPr>
                          <w:t>6.8346</w:t>
                        </w:r>
                      </w:p>
                    </w:tc>
                    <w:tc>
                      <w:tcPr>
                        <w:tcW w:w="138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2"/>
                          <w:jc w:val="right"/>
                          <w:rPr>
                            <w:rFonts w:ascii="Times New Roman" w:hAnsi="Times New Roman" w:cs="Times New Roman" w:eastAsia="Times New Roman" w:hint="default"/>
                            <w:sz w:val="18"/>
                            <w:szCs w:val="18"/>
                          </w:rPr>
                        </w:pPr>
                        <w:r>
                          <w:rPr>
                            <w:rFonts w:ascii="Times New Roman"/>
                            <w:spacing w:val="-1"/>
                            <w:sz w:val="18"/>
                          </w:rPr>
                          <w:t>125,140,497.39</w:t>
                        </w: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44"/>
                          <w:jc w:val="right"/>
                          <w:rPr>
                            <w:rFonts w:ascii="Times New Roman" w:hAnsi="Times New Roman" w:cs="Times New Roman" w:eastAsia="Times New Roman" w:hint="default"/>
                            <w:sz w:val="18"/>
                            <w:szCs w:val="18"/>
                          </w:rPr>
                        </w:pPr>
                        <w:r>
                          <w:rPr>
                            <w:rFonts w:ascii="Times New Roman"/>
                            <w:spacing w:val="-1"/>
                            <w:sz w:val="18"/>
                          </w:rPr>
                          <w:t>1,378,911.10</w:t>
                        </w: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z w:val="18"/>
                          </w:rPr>
                          <w:t>7.3046</w:t>
                        </w:r>
                      </w:p>
                    </w:tc>
                    <w:tc>
                      <w:tcPr>
                        <w:tcW w:w="124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10,072,394.02</w:t>
                        </w:r>
                      </w:p>
                    </w:tc>
                  </w:tr>
                  <w:tr>
                    <w:trPr>
                      <w:trHeight w:val="283"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日元</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4"/>
                          <w:jc w:val="right"/>
                          <w:rPr>
                            <w:rFonts w:ascii="Times New Roman" w:hAnsi="Times New Roman" w:cs="Times New Roman" w:eastAsia="Times New Roman" w:hint="default"/>
                            <w:sz w:val="18"/>
                            <w:szCs w:val="18"/>
                          </w:rPr>
                        </w:pPr>
                        <w:r>
                          <w:rPr>
                            <w:rFonts w:ascii="Times New Roman"/>
                            <w:spacing w:val="-1"/>
                            <w:sz w:val="18"/>
                          </w:rPr>
                          <w:t>3,345,000.00</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5"/>
                          <w:jc w:val="right"/>
                          <w:rPr>
                            <w:rFonts w:ascii="Times New Roman" w:hAnsi="Times New Roman" w:cs="Times New Roman" w:eastAsia="Times New Roman" w:hint="default"/>
                            <w:sz w:val="18"/>
                            <w:szCs w:val="18"/>
                          </w:rPr>
                        </w:pPr>
                        <w:r>
                          <w:rPr>
                            <w:rFonts w:ascii="Times New Roman"/>
                            <w:sz w:val="18"/>
                          </w:rPr>
                          <w:t>0.0757</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5"/>
                          <w:jc w:val="right"/>
                          <w:rPr>
                            <w:rFonts w:ascii="Times New Roman" w:hAnsi="Times New Roman" w:cs="Times New Roman" w:eastAsia="Times New Roman" w:hint="default"/>
                            <w:sz w:val="18"/>
                            <w:szCs w:val="18"/>
                          </w:rPr>
                        </w:pPr>
                        <w:r>
                          <w:rPr>
                            <w:rFonts w:ascii="Times New Roman"/>
                            <w:sz w:val="18"/>
                          </w:rPr>
                          <w:t>253,216.50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4"/>
                          <w:jc w:val="right"/>
                          <w:rPr>
                            <w:rFonts w:ascii="Times New Roman" w:hAnsi="Times New Roman" w:cs="Times New Roman" w:eastAsia="Times New Roman" w:hint="default"/>
                            <w:sz w:val="18"/>
                            <w:szCs w:val="18"/>
                          </w:rPr>
                        </w:pPr>
                        <w:r>
                          <w:rPr>
                            <w:rFonts w:ascii="Times New Roman"/>
                            <w:spacing w:val="-1"/>
                            <w:sz w:val="18"/>
                          </w:rPr>
                          <w:t>11,002,860.60</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z w:val="18"/>
                          </w:rPr>
                          <w:t>0.0641</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705,283.36</w:t>
                        </w:r>
                      </w:p>
                    </w:tc>
                  </w:tr>
                  <w:tr>
                    <w:trPr>
                      <w:trHeight w:val="283"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港元</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4"/>
                          <w:jc w:val="right"/>
                          <w:rPr>
                            <w:rFonts w:ascii="Times New Roman" w:hAnsi="Times New Roman" w:cs="Times New Roman" w:eastAsia="Times New Roman" w:hint="default"/>
                            <w:sz w:val="18"/>
                            <w:szCs w:val="18"/>
                          </w:rPr>
                        </w:pPr>
                        <w:r>
                          <w:rPr>
                            <w:rFonts w:ascii="Times New Roman"/>
                            <w:spacing w:val="-1"/>
                            <w:sz w:val="18"/>
                          </w:rPr>
                          <w:t>23,626,636.00</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4"/>
                          <w:jc w:val="right"/>
                          <w:rPr>
                            <w:rFonts w:ascii="Times New Roman" w:hAnsi="Times New Roman" w:cs="Times New Roman" w:eastAsia="Times New Roman" w:hint="default"/>
                            <w:sz w:val="18"/>
                            <w:szCs w:val="18"/>
                          </w:rPr>
                        </w:pPr>
                        <w:r>
                          <w:rPr>
                            <w:rFonts w:ascii="Times New Roman"/>
                            <w:sz w:val="18"/>
                          </w:rPr>
                          <w:t>0.8819</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5"/>
                          <w:jc w:val="right"/>
                          <w:rPr>
                            <w:rFonts w:ascii="Times New Roman" w:hAnsi="Times New Roman" w:cs="Times New Roman" w:eastAsia="Times New Roman" w:hint="default"/>
                            <w:sz w:val="18"/>
                            <w:szCs w:val="18"/>
                          </w:rPr>
                        </w:pPr>
                        <w:r>
                          <w:rPr>
                            <w:rFonts w:ascii="Times New Roman"/>
                            <w:spacing w:val="-1"/>
                            <w:sz w:val="18"/>
                          </w:rPr>
                          <w:t>20,836,330.29</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6"/>
                          <w:jc w:val="right"/>
                          <w:rPr>
                            <w:rFonts w:ascii="Times New Roman" w:hAnsi="Times New Roman" w:cs="Times New Roman" w:eastAsia="Times New Roman" w:hint="default"/>
                            <w:sz w:val="18"/>
                            <w:szCs w:val="18"/>
                          </w:rPr>
                        </w:pPr>
                        <w:r>
                          <w:rPr>
                            <w:rFonts w:ascii="Times New Roman"/>
                            <w:spacing w:val="-1"/>
                            <w:sz w:val="18"/>
                          </w:rPr>
                          <w:t>0.00</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9"/>
                          <w:jc w:val="right"/>
                          <w:rPr>
                            <w:rFonts w:ascii="Times New Roman" w:hAnsi="Times New Roman" w:cs="Times New Roman" w:eastAsia="Times New Roman" w:hint="default"/>
                            <w:sz w:val="18"/>
                            <w:szCs w:val="18"/>
                          </w:rPr>
                        </w:pPr>
                        <w:r>
                          <w:rPr>
                            <w:rFonts w:ascii="Times New Roman"/>
                            <w:spacing w:val="-1"/>
                            <w:sz w:val="18"/>
                          </w:rPr>
                          <w:t>0.9364</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欧元</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4"/>
                          <w:jc w:val="right"/>
                          <w:rPr>
                            <w:rFonts w:ascii="Times New Roman" w:hAnsi="Times New Roman" w:cs="Times New Roman" w:eastAsia="Times New Roman" w:hint="default"/>
                            <w:sz w:val="18"/>
                            <w:szCs w:val="18"/>
                          </w:rPr>
                        </w:pPr>
                        <w:r>
                          <w:rPr>
                            <w:rFonts w:ascii="Times New Roman"/>
                            <w:spacing w:val="-1"/>
                            <w:sz w:val="18"/>
                          </w:rPr>
                          <w:t>2,833,200.00</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5"/>
                          <w:jc w:val="right"/>
                          <w:rPr>
                            <w:rFonts w:ascii="Times New Roman" w:hAnsi="Times New Roman" w:cs="Times New Roman" w:eastAsia="Times New Roman" w:hint="default"/>
                            <w:sz w:val="18"/>
                            <w:szCs w:val="18"/>
                          </w:rPr>
                        </w:pPr>
                        <w:r>
                          <w:rPr>
                            <w:rFonts w:ascii="Times New Roman"/>
                            <w:sz w:val="18"/>
                          </w:rPr>
                          <w:t>9.6590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4"/>
                          <w:jc w:val="right"/>
                          <w:rPr>
                            <w:rFonts w:ascii="Times New Roman" w:hAnsi="Times New Roman" w:cs="Times New Roman" w:eastAsia="Times New Roman" w:hint="default"/>
                            <w:sz w:val="18"/>
                            <w:szCs w:val="18"/>
                          </w:rPr>
                        </w:pPr>
                        <w:r>
                          <w:rPr>
                            <w:rFonts w:ascii="Times New Roman"/>
                            <w:spacing w:val="-1"/>
                            <w:sz w:val="18"/>
                          </w:rPr>
                          <w:t>27,365,878.80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4"/>
                          <w:jc w:val="right"/>
                          <w:rPr>
                            <w:rFonts w:ascii="Times New Roman" w:hAnsi="Times New Roman" w:cs="Times New Roman" w:eastAsia="Times New Roman" w:hint="default"/>
                            <w:sz w:val="18"/>
                            <w:szCs w:val="18"/>
                          </w:rPr>
                        </w:pPr>
                        <w:r>
                          <w:rPr>
                            <w:rFonts w:ascii="Times New Roman"/>
                            <w:spacing w:val="-1"/>
                            <w:sz w:val="18"/>
                          </w:rPr>
                          <w:t>1,555,000.00</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10.6669</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16,587,029.50</w:t>
                        </w:r>
                      </w:p>
                    </w:tc>
                  </w:tr>
                  <w:tr>
                    <w:trPr>
                      <w:trHeight w:val="289" w:hRule="exact"/>
                    </w:trPr>
                    <w:tc>
                      <w:tcPr>
                        <w:tcW w:w="1517"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英镑</w:t>
                        </w: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24"/>
                          <w:jc w:val="right"/>
                          <w:rPr>
                            <w:rFonts w:ascii="Times New Roman" w:hAnsi="Times New Roman" w:cs="Times New Roman" w:eastAsia="Times New Roman" w:hint="default"/>
                            <w:sz w:val="18"/>
                            <w:szCs w:val="18"/>
                          </w:rPr>
                        </w:pPr>
                        <w:r>
                          <w:rPr>
                            <w:rFonts w:ascii="Times New Roman"/>
                            <w:sz w:val="18"/>
                          </w:rPr>
                          <w:t>328,533.00</w:t>
                        </w:r>
                      </w:p>
                    </w:tc>
                    <w:tc>
                      <w:tcPr>
                        <w:tcW w:w="96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74"/>
                          <w:jc w:val="right"/>
                          <w:rPr>
                            <w:rFonts w:ascii="Times New Roman" w:hAnsi="Times New Roman" w:cs="Times New Roman" w:eastAsia="Times New Roman" w:hint="default"/>
                            <w:sz w:val="18"/>
                            <w:szCs w:val="18"/>
                          </w:rPr>
                        </w:pPr>
                        <w:r>
                          <w:rPr>
                            <w:rFonts w:ascii="Times New Roman"/>
                            <w:sz w:val="18"/>
                          </w:rPr>
                          <w:t>9.8798</w:t>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3"/>
                          <w:jc w:val="right"/>
                          <w:rPr>
                            <w:rFonts w:ascii="Times New Roman" w:hAnsi="Times New Roman" w:cs="Times New Roman" w:eastAsia="Times New Roman" w:hint="default"/>
                            <w:sz w:val="18"/>
                            <w:szCs w:val="18"/>
                          </w:rPr>
                        </w:pPr>
                        <w:r>
                          <w:rPr>
                            <w:rFonts w:ascii="Times New Roman"/>
                            <w:spacing w:val="-1"/>
                            <w:sz w:val="18"/>
                          </w:rPr>
                          <w:t>3,245,840.33</w:t>
                        </w:r>
                      </w:p>
                    </w:tc>
                    <w:tc>
                      <w:tcPr>
                        <w:tcW w:w="129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44"/>
                          <w:jc w:val="right"/>
                          <w:rPr>
                            <w:rFonts w:ascii="Times New Roman" w:hAnsi="Times New Roman" w:cs="Times New Roman" w:eastAsia="Times New Roman" w:hint="default"/>
                            <w:sz w:val="18"/>
                            <w:szCs w:val="18"/>
                          </w:rPr>
                        </w:pPr>
                        <w:r>
                          <w:rPr>
                            <w:rFonts w:ascii="Times New Roman"/>
                            <w:sz w:val="18"/>
                          </w:rPr>
                          <w:t>997,824.60</w:t>
                        </w: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14.5807</w:t>
                        </w:r>
                      </w:p>
                    </w:tc>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14,548,981.15</w:t>
                        </w:r>
                      </w:p>
                    </w:tc>
                  </w:tr>
                  <w:tr>
                    <w:trPr>
                      <w:trHeight w:val="303" w:hRule="exact"/>
                    </w:trPr>
                    <w:tc>
                      <w:tcPr>
                        <w:tcW w:w="151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71" w:type="dxa"/>
                        <w:tcBorders>
                          <w:top w:val="single" w:sz="4" w:space="0" w:color="000000"/>
                          <w:left w:val="nil" w:sz="6" w:space="0" w:color="auto"/>
                          <w:bottom w:val="single" w:sz="12" w:space="0" w:color="000000"/>
                          <w:right w:val="nil" w:sz="6" w:space="0" w:color="auto"/>
                        </w:tcBorders>
                      </w:tcPr>
                      <w:p>
                        <w:pPr/>
                      </w:p>
                    </w:tc>
                    <w:tc>
                      <w:tcPr>
                        <w:tcW w:w="966" w:type="dxa"/>
                        <w:tcBorders>
                          <w:top w:val="single" w:sz="4" w:space="0" w:color="000000"/>
                          <w:left w:val="nil" w:sz="6" w:space="0" w:color="auto"/>
                          <w:bottom w:val="single" w:sz="12" w:space="0" w:color="000000"/>
                          <w:right w:val="nil" w:sz="6" w:space="0" w:color="auto"/>
                        </w:tcBorders>
                      </w:tcPr>
                      <w:p>
                        <w:pPr/>
                      </w:p>
                    </w:tc>
                    <w:tc>
                      <w:tcPr>
                        <w:tcW w:w="138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2"/>
                          <w:jc w:val="right"/>
                          <w:rPr>
                            <w:rFonts w:ascii="Times New Roman" w:hAnsi="Times New Roman" w:cs="Times New Roman" w:eastAsia="Times New Roman" w:hint="default"/>
                            <w:sz w:val="18"/>
                            <w:szCs w:val="18"/>
                          </w:rPr>
                        </w:pPr>
                        <w:r>
                          <w:rPr>
                            <w:rFonts w:ascii="Times New Roman"/>
                            <w:b/>
                            <w:spacing w:val="-1"/>
                            <w:sz w:val="18"/>
                          </w:rPr>
                          <w:t>176,841,763.31</w:t>
                        </w:r>
                        <w:r>
                          <w:rPr>
                            <w:rFonts w:ascii="Times New Roman"/>
                            <w:spacing w:val="-1"/>
                            <w:sz w:val="18"/>
                          </w:rPr>
                        </w:r>
                      </w:p>
                    </w:tc>
                    <w:tc>
                      <w:tcPr>
                        <w:tcW w:w="1291" w:type="dxa"/>
                        <w:tcBorders>
                          <w:top w:val="single" w:sz="4" w:space="0" w:color="000000"/>
                          <w:left w:val="nil" w:sz="6" w:space="0" w:color="auto"/>
                          <w:bottom w:val="single" w:sz="12" w:space="0" w:color="000000"/>
                          <w:right w:val="nil" w:sz="6" w:space="0" w:color="auto"/>
                        </w:tcBorders>
                      </w:tcPr>
                      <w:p>
                        <w:pPr/>
                      </w:p>
                    </w:tc>
                    <w:tc>
                      <w:tcPr>
                        <w:tcW w:w="1058" w:type="dxa"/>
                        <w:tcBorders>
                          <w:top w:val="single" w:sz="4" w:space="0" w:color="000000"/>
                          <w:left w:val="nil" w:sz="6" w:space="0" w:color="auto"/>
                          <w:bottom w:val="single" w:sz="12" w:space="0" w:color="000000"/>
                          <w:right w:val="nil" w:sz="6" w:space="0" w:color="auto"/>
                        </w:tcBorders>
                      </w:tcPr>
                      <w:p>
                        <w:pPr/>
                      </w:p>
                    </w:tc>
                    <w:tc>
                      <w:tcPr>
                        <w:tcW w:w="124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41,913,688.03</w:t>
                        </w:r>
                        <w:r>
                          <w:rPr>
                            <w:rFonts w:ascii="Times New Roman"/>
                            <w:spacing w:val="-1"/>
                            <w:sz w:val="18"/>
                          </w:rPr>
                        </w:r>
                      </w:p>
                    </w:tc>
                  </w:tr>
                  <w:tr>
                    <w:trPr>
                      <w:trHeight w:val="409" w:hRule="exact"/>
                    </w:trPr>
                    <w:tc>
                      <w:tcPr>
                        <w:tcW w:w="1517" w:type="dxa"/>
                        <w:tcBorders>
                          <w:top w:val="single" w:sz="12" w:space="0" w:color="000000"/>
                          <w:left w:val="nil" w:sz="6" w:space="0" w:color="auto"/>
                          <w:bottom w:val="nil" w:sz="6" w:space="0" w:color="auto"/>
                          <w:right w:val="nil" w:sz="6" w:space="0" w:color="auto"/>
                        </w:tcBorders>
                      </w:tcPr>
                      <w:p>
                        <w:pPr>
                          <w:pStyle w:val="TableParagraph"/>
                          <w:tabs>
                            <w:tab w:pos="628" w:val="left" w:leader="none"/>
                          </w:tabs>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6.</w:t>
                          <w:tab/>
                        </w:r>
                        <w:r>
                          <w:rPr>
                            <w:rFonts w:ascii="楷体" w:hAnsi="楷体" w:cs="楷体" w:eastAsia="楷体" w:hint="default"/>
                            <w:sz w:val="22"/>
                            <w:szCs w:val="22"/>
                          </w:rPr>
                          <w:t>应收股利</w:t>
                        </w:r>
                      </w:p>
                    </w:tc>
                    <w:tc>
                      <w:tcPr>
                        <w:tcW w:w="1171" w:type="dxa"/>
                        <w:tcBorders>
                          <w:top w:val="single" w:sz="12" w:space="0" w:color="000000"/>
                          <w:left w:val="nil" w:sz="6" w:space="0" w:color="auto"/>
                          <w:bottom w:val="nil" w:sz="6" w:space="0" w:color="auto"/>
                          <w:right w:val="nil" w:sz="6" w:space="0" w:color="auto"/>
                        </w:tcBorders>
                      </w:tcPr>
                      <w:p>
                        <w:pPr/>
                      </w:p>
                    </w:tc>
                    <w:tc>
                      <w:tcPr>
                        <w:tcW w:w="966" w:type="dxa"/>
                        <w:tcBorders>
                          <w:top w:val="single" w:sz="12" w:space="0" w:color="000000"/>
                          <w:left w:val="nil" w:sz="6" w:space="0" w:color="auto"/>
                          <w:bottom w:val="nil" w:sz="6" w:space="0" w:color="auto"/>
                          <w:right w:val="nil" w:sz="6" w:space="0" w:color="auto"/>
                        </w:tcBorders>
                      </w:tcPr>
                      <w:p>
                        <w:pPr/>
                      </w:p>
                    </w:tc>
                    <w:tc>
                      <w:tcPr>
                        <w:tcW w:w="1389" w:type="dxa"/>
                        <w:tcBorders>
                          <w:top w:val="single" w:sz="12" w:space="0" w:color="000000"/>
                          <w:left w:val="nil" w:sz="6" w:space="0" w:color="auto"/>
                          <w:bottom w:val="nil" w:sz="6" w:space="0" w:color="auto"/>
                          <w:right w:val="nil" w:sz="6" w:space="0" w:color="auto"/>
                        </w:tcBorders>
                      </w:tcPr>
                      <w:p>
                        <w:pPr/>
                      </w:p>
                    </w:tc>
                    <w:tc>
                      <w:tcPr>
                        <w:tcW w:w="1291" w:type="dxa"/>
                        <w:tcBorders>
                          <w:top w:val="single" w:sz="12" w:space="0" w:color="000000"/>
                          <w:left w:val="nil" w:sz="6" w:space="0" w:color="auto"/>
                          <w:bottom w:val="nil" w:sz="6" w:space="0" w:color="auto"/>
                          <w:right w:val="nil" w:sz="6" w:space="0" w:color="auto"/>
                        </w:tcBorders>
                      </w:tcPr>
                      <w:p>
                        <w:pPr/>
                      </w:p>
                    </w:tc>
                    <w:tc>
                      <w:tcPr>
                        <w:tcW w:w="1058" w:type="dxa"/>
                        <w:tcBorders>
                          <w:top w:val="single" w:sz="12" w:space="0" w:color="000000"/>
                          <w:left w:val="nil" w:sz="6" w:space="0" w:color="auto"/>
                          <w:bottom w:val="nil" w:sz="6" w:space="0" w:color="auto"/>
                          <w:right w:val="nil" w:sz="6" w:space="0" w:color="auto"/>
                        </w:tcBorders>
                      </w:tcPr>
                      <w:p>
                        <w:pPr/>
                      </w:p>
                    </w:tc>
                    <w:tc>
                      <w:tcPr>
                        <w:tcW w:w="1247" w:type="dxa"/>
                        <w:tcBorders>
                          <w:top w:val="single" w:sz="12" w:space="0" w:color="000000"/>
                          <w:left w:val="nil" w:sz="6" w:space="0" w:color="auto"/>
                          <w:bottom w:val="nil" w:sz="6" w:space="0" w:color="auto"/>
                          <w:right w:val="nil" w:sz="6" w:space="0" w:color="auto"/>
                        </w:tcBorders>
                      </w:tcPr>
                      <w:p>
                        <w:pPr/>
                      </w:p>
                    </w:tc>
                  </w:tr>
                  <w:tr>
                    <w:trPr>
                      <w:trHeight w:val="470" w:hRule="exact"/>
                    </w:trPr>
                    <w:tc>
                      <w:tcPr>
                        <w:tcW w:w="8638" w:type="dxa"/>
                        <w:gridSpan w:val="7"/>
                        <w:tcBorders>
                          <w:top w:val="nil" w:sz="6" w:space="0" w:color="auto"/>
                          <w:left w:val="nil" w:sz="6" w:space="0" w:color="auto"/>
                          <w:bottom w:val="nil" w:sz="6" w:space="0" w:color="auto"/>
                          <w:right w:val="nil" w:sz="6" w:space="0" w:color="auto"/>
                        </w:tcBorders>
                      </w:tcPr>
                      <w:p>
                        <w:pPr>
                          <w:pStyle w:val="TableParagraph"/>
                          <w:tabs>
                            <w:tab w:pos="3610" w:val="left" w:leader="none"/>
                            <w:tab w:pos="4984" w:val="left" w:leader="none"/>
                            <w:tab w:pos="6111" w:val="left" w:leader="none"/>
                            <w:tab w:pos="7478" w:val="left" w:leader="none"/>
                          </w:tabs>
                          <w:spacing w:line="240" w:lineRule="auto" w:before="114"/>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tab/>
                          <w:t>本年减少</w:t>
                          <w:tab/>
                          <w:t>年末金额</w:t>
                        </w:r>
                        <w:r>
                          <w:rPr>
                            <w:rFonts w:ascii="Microsoft JhengHei" w:hAnsi="Microsoft JhengHei" w:cs="Microsoft JhengHei" w:eastAsia="Microsoft JhengHei" w:hint="default"/>
                            <w:sz w:val="18"/>
                            <w:szCs w:val="18"/>
                          </w:rPr>
                        </w:r>
                      </w:p>
                    </w:tc>
                  </w:tr>
                  <w:tr>
                    <w:trPr>
                      <w:trHeight w:val="287" w:hRule="exact"/>
                    </w:trPr>
                    <w:tc>
                      <w:tcPr>
                        <w:tcW w:w="2687"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北京同方创信科技有限公司</w:t>
                        </w:r>
                      </w:p>
                    </w:tc>
                    <w:tc>
                      <w:tcPr>
                        <w:tcW w:w="235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1042" w:right="0"/>
                          <w:jc w:val="left"/>
                          <w:rPr>
                            <w:rFonts w:ascii="Times New Roman" w:hAnsi="Times New Roman" w:cs="Times New Roman" w:eastAsia="Times New Roman" w:hint="default"/>
                            <w:sz w:val="18"/>
                            <w:szCs w:val="18"/>
                          </w:rPr>
                        </w:pPr>
                        <w:r>
                          <w:rPr>
                            <w:rFonts w:ascii="Times New Roman"/>
                            <w:sz w:val="18"/>
                          </w:rPr>
                          <w:t>2,056,157.12</w:t>
                        </w: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4"/>
                          <w:jc w:val="center"/>
                          <w:rPr>
                            <w:rFonts w:ascii="Times New Roman" w:hAnsi="Times New Roman" w:cs="Times New Roman" w:eastAsia="Times New Roman" w:hint="default"/>
                            <w:sz w:val="18"/>
                            <w:szCs w:val="18"/>
                          </w:rPr>
                        </w:pPr>
                        <w:r>
                          <w:rPr>
                            <w:rFonts w:ascii="Times New Roman"/>
                            <w:sz w:val="18"/>
                          </w:rPr>
                          <w:t>0.00</w:t>
                        </w: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0" w:right="0"/>
                          <w:jc w:val="lef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2,056,157.12</w:t>
                        </w:r>
                      </w:p>
                    </w:tc>
                  </w:tr>
                  <w:tr>
                    <w:trPr>
                      <w:trHeight w:val="299" w:hRule="exact"/>
                    </w:trPr>
                    <w:tc>
                      <w:tcPr>
                        <w:tcW w:w="2687" w:type="dxa"/>
                        <w:gridSpan w:val="2"/>
                        <w:tcBorders>
                          <w:top w:val="nil" w:sz="6" w:space="0" w:color="auto"/>
                          <w:left w:val="nil" w:sz="6" w:space="0" w:color="auto"/>
                          <w:bottom w:val="single" w:sz="12" w:space="0" w:color="000000"/>
                          <w:right w:val="nil" w:sz="6" w:space="0" w:color="auto"/>
                        </w:tcBorders>
                      </w:tcPr>
                      <w:p>
                        <w:pPr>
                          <w:pStyle w:val="TableParagraph"/>
                          <w:spacing w:line="247"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54"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33"/>
                          <w:ind w:left="1042" w:right="0"/>
                          <w:jc w:val="left"/>
                          <w:rPr>
                            <w:rFonts w:ascii="Times New Roman" w:hAnsi="Times New Roman" w:cs="Times New Roman" w:eastAsia="Times New Roman" w:hint="default"/>
                            <w:sz w:val="18"/>
                            <w:szCs w:val="18"/>
                          </w:rPr>
                        </w:pPr>
                        <w:r>
                          <w:rPr>
                            <w:rFonts w:ascii="Times New Roman"/>
                            <w:b/>
                            <w:sz w:val="18"/>
                          </w:rPr>
                          <w:t>2,056,157.12</w:t>
                        </w:r>
                        <w:r>
                          <w:rPr>
                            <w:rFonts w:ascii="Times New Roman"/>
                            <w:sz w:val="18"/>
                          </w:rPr>
                        </w:r>
                      </w:p>
                    </w:tc>
                    <w:tc>
                      <w:tcPr>
                        <w:tcW w:w="1291"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84"/>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058"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280"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47"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2,056,157.12</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8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62.35pt;height:.5pt;mso-position-horizontal-relative:char;mso-position-vertical-relative:line" coordorigin="0,0" coordsize="7247,10">
            <v:group style="position:absolute;left:5;top:5;width:7238;height:2" coordorigin="5,5" coordsize="7238,2">
              <v:shape style="position:absolute;left:5;top:5;width:7238;height:2" coordorigin="5,5" coordsize="7238,0" path="m5,5l7242,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7"/>
          <w:szCs w:val="27"/>
        </w:rPr>
      </w:pPr>
    </w:p>
    <w:p>
      <w:pPr>
        <w:spacing w:line="30" w:lineRule="exact"/>
        <w:ind w:left="401"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after="0" w:line="30" w:lineRule="exact"/>
        <w:rPr>
          <w:rFonts w:ascii="Microsoft JhengHei" w:hAnsi="Microsoft JhengHei" w:cs="Microsoft JhengHei" w:eastAsia="Microsoft JhengHei" w:hint="default"/>
          <w:sz w:val="3"/>
          <w:szCs w:val="3"/>
        </w:rPr>
        <w:sectPr>
          <w:footerReference w:type="default" r:id="rId39"/>
          <w:pgSz w:w="11910" w:h="16840"/>
          <w:pgMar w:footer="784" w:header="610" w:top="1080" w:bottom="9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4"/>
          <w:szCs w:val="14"/>
        </w:rPr>
      </w:pPr>
    </w:p>
    <w:p>
      <w:pPr>
        <w:tabs>
          <w:tab w:pos="1045" w:val="left" w:leader="none"/>
        </w:tabs>
        <w:spacing w:before="31"/>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7.</w:t>
        <w:tab/>
      </w:r>
      <w:r>
        <w:rPr>
          <w:rFonts w:ascii="楷体" w:hAnsi="楷体" w:cs="楷体" w:eastAsia="楷体" w:hint="default"/>
          <w:sz w:val="22"/>
          <w:szCs w:val="22"/>
        </w:rPr>
        <w:t>其他应收款</w:t>
      </w:r>
    </w:p>
    <w:p>
      <w:pPr>
        <w:spacing w:before="162"/>
        <w:ind w:left="592"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其他应收款账龄</w:t>
      </w:r>
    </w:p>
    <w:p>
      <w:pPr>
        <w:spacing w:line="240" w:lineRule="auto" w:before="3"/>
        <w:rPr>
          <w:rFonts w:ascii="楷体" w:hAnsi="楷体" w:cs="楷体" w:eastAsia="楷体" w:hint="default"/>
          <w:sz w:val="11"/>
          <w:szCs w:val="11"/>
        </w:rPr>
      </w:pPr>
    </w:p>
    <w:p>
      <w:pPr>
        <w:spacing w:line="30" w:lineRule="exact"/>
        <w:ind w:left="409"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tabs>
          <w:tab w:pos="6889" w:val="left" w:leader="none"/>
        </w:tabs>
        <w:spacing w:line="246" w:lineRule="exact" w:before="0"/>
        <w:ind w:left="3170" w:right="0" w:firstLine="0"/>
        <w:jc w:val="left"/>
        <w:rPr>
          <w:rFonts w:ascii="Microsoft JhengHei" w:hAnsi="Microsoft JhengHei" w:cs="Microsoft JhengHei" w:eastAsia="Microsoft JhengHei" w:hint="default"/>
          <w:sz w:val="18"/>
          <w:szCs w:val="18"/>
        </w:rPr>
      </w:pPr>
      <w:r>
        <w:rPr/>
        <w:pict>
          <v:shape style="position:absolute;margin-left:84.839996pt;margin-top:8.885325pt;width:431.9pt;height:122.25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4"/>
                    <w:gridCol w:w="1686"/>
                    <w:gridCol w:w="946"/>
                    <w:gridCol w:w="1345"/>
                    <w:gridCol w:w="1405"/>
                    <w:gridCol w:w="954"/>
                    <w:gridCol w:w="1248"/>
                  </w:tblGrid>
                  <w:tr>
                    <w:trPr>
                      <w:trHeight w:val="403" w:hRule="exact"/>
                    </w:trPr>
                    <w:tc>
                      <w:tcPr>
                        <w:tcW w:w="1054"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68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0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6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5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r>
                  <w:tr>
                    <w:trPr>
                      <w:trHeight w:val="288" w:hRule="exact"/>
                    </w:trPr>
                    <w:tc>
                      <w:tcPr>
                        <w:tcW w:w="1054" w:type="dxa"/>
                        <w:tcBorders>
                          <w:top w:val="single" w:sz="4" w:space="0" w:color="000000"/>
                          <w:left w:val="nil" w:sz="6" w:space="0" w:color="auto"/>
                          <w:bottom w:val="nil" w:sz="6" w:space="0" w:color="auto"/>
                          <w:right w:val="nil" w:sz="6" w:space="0" w:color="auto"/>
                        </w:tcBorders>
                      </w:tcPr>
                      <w:p>
                        <w:pPr>
                          <w:pStyle w:val="TableParagraph"/>
                          <w:spacing w:line="239"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168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50"/>
                          <w:jc w:val="right"/>
                          <w:rPr>
                            <w:rFonts w:ascii="Times New Roman" w:hAnsi="Times New Roman" w:cs="Times New Roman" w:eastAsia="Times New Roman" w:hint="default"/>
                            <w:sz w:val="18"/>
                            <w:szCs w:val="18"/>
                          </w:rPr>
                        </w:pPr>
                        <w:r>
                          <w:rPr>
                            <w:rFonts w:ascii="Times New Roman"/>
                            <w:spacing w:val="-1"/>
                            <w:sz w:val="18"/>
                          </w:rPr>
                          <w:t>659,895,254.69</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6"/>
                          <w:jc w:val="right"/>
                          <w:rPr>
                            <w:rFonts w:ascii="Times New Roman" w:hAnsi="Times New Roman" w:cs="Times New Roman" w:eastAsia="Times New Roman" w:hint="default"/>
                            <w:sz w:val="18"/>
                            <w:szCs w:val="18"/>
                          </w:rPr>
                        </w:pPr>
                        <w:r>
                          <w:rPr>
                            <w:rFonts w:ascii="Times New Roman"/>
                            <w:sz w:val="18"/>
                          </w:rPr>
                          <w:t>61.93%</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1"/>
                          <w:jc w:val="right"/>
                          <w:rPr>
                            <w:rFonts w:ascii="Times New Roman" w:hAnsi="Times New Roman" w:cs="Times New Roman" w:eastAsia="Times New Roman" w:hint="default"/>
                            <w:sz w:val="18"/>
                            <w:szCs w:val="18"/>
                          </w:rPr>
                        </w:pPr>
                        <w:r>
                          <w:rPr>
                            <w:rFonts w:ascii="Times New Roman"/>
                            <w:spacing w:val="-1"/>
                            <w:sz w:val="18"/>
                          </w:rPr>
                          <w:t>6,598,952.55</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65"/>
                          <w:jc w:val="right"/>
                          <w:rPr>
                            <w:rFonts w:ascii="Times New Roman" w:hAnsi="Times New Roman" w:cs="Times New Roman" w:eastAsia="Times New Roman" w:hint="default"/>
                            <w:sz w:val="18"/>
                            <w:szCs w:val="18"/>
                          </w:rPr>
                        </w:pPr>
                        <w:r>
                          <w:rPr>
                            <w:rFonts w:ascii="Times New Roman"/>
                            <w:spacing w:val="-1"/>
                            <w:sz w:val="18"/>
                          </w:rPr>
                          <w:t>408,328,503.29</w:t>
                        </w:r>
                      </w:p>
                    </w:tc>
                    <w:tc>
                      <w:tcPr>
                        <w:tcW w:w="9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9"/>
                          <w:jc w:val="right"/>
                          <w:rPr>
                            <w:rFonts w:ascii="Times New Roman" w:hAnsi="Times New Roman" w:cs="Times New Roman" w:eastAsia="Times New Roman" w:hint="default"/>
                            <w:sz w:val="18"/>
                            <w:szCs w:val="18"/>
                          </w:rPr>
                        </w:pPr>
                        <w:r>
                          <w:rPr>
                            <w:rFonts w:ascii="Times New Roman"/>
                            <w:sz w:val="18"/>
                          </w:rPr>
                          <w:t>48.10%</w:t>
                        </w: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pacing w:val="-1"/>
                            <w:sz w:val="18"/>
                          </w:rPr>
                          <w:t>6,335,215.36</w:t>
                        </w:r>
                      </w:p>
                    </w:tc>
                  </w:tr>
                  <w:tr>
                    <w:trPr>
                      <w:trHeight w:val="283" w:hRule="exact"/>
                    </w:trPr>
                    <w:tc>
                      <w:tcPr>
                        <w:tcW w:w="1054"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2"/>
                          <w:jc w:val="right"/>
                          <w:rPr>
                            <w:rFonts w:ascii="Times New Roman" w:hAnsi="Times New Roman" w:cs="Times New Roman" w:eastAsia="Times New Roman" w:hint="default"/>
                            <w:sz w:val="18"/>
                            <w:szCs w:val="18"/>
                          </w:rPr>
                        </w:pPr>
                        <w:r>
                          <w:rPr>
                            <w:rFonts w:ascii="Times New Roman"/>
                            <w:spacing w:val="-1"/>
                            <w:sz w:val="18"/>
                          </w:rPr>
                          <w:t>163,402,304.11</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right"/>
                          <w:rPr>
                            <w:rFonts w:ascii="Times New Roman" w:hAnsi="Times New Roman" w:cs="Times New Roman" w:eastAsia="Times New Roman" w:hint="default"/>
                            <w:sz w:val="18"/>
                            <w:szCs w:val="18"/>
                          </w:rPr>
                        </w:pPr>
                        <w:r>
                          <w:rPr>
                            <w:rFonts w:ascii="Times New Roman"/>
                            <w:sz w:val="18"/>
                          </w:rPr>
                          <w:t>15.33%</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1"/>
                          <w:jc w:val="right"/>
                          <w:rPr>
                            <w:rFonts w:ascii="Times New Roman" w:hAnsi="Times New Roman" w:cs="Times New Roman" w:eastAsia="Times New Roman" w:hint="default"/>
                            <w:sz w:val="18"/>
                            <w:szCs w:val="18"/>
                          </w:rPr>
                        </w:pPr>
                        <w:r>
                          <w:rPr>
                            <w:rFonts w:ascii="Times New Roman"/>
                            <w:spacing w:val="-1"/>
                            <w:sz w:val="18"/>
                          </w:rPr>
                          <w:t>8,170,115.21</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5"/>
                          <w:jc w:val="right"/>
                          <w:rPr>
                            <w:rFonts w:ascii="Times New Roman" w:hAnsi="Times New Roman" w:cs="Times New Roman" w:eastAsia="Times New Roman" w:hint="default"/>
                            <w:sz w:val="18"/>
                            <w:szCs w:val="18"/>
                          </w:rPr>
                        </w:pPr>
                        <w:r>
                          <w:rPr>
                            <w:rFonts w:ascii="Times New Roman"/>
                            <w:spacing w:val="-1"/>
                            <w:sz w:val="18"/>
                          </w:rPr>
                          <w:t>263,285,400.28</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z w:val="18"/>
                          </w:rPr>
                          <w:t>31.02%</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7,029,857.41</w:t>
                        </w:r>
                      </w:p>
                    </w:tc>
                  </w:tr>
                  <w:tr>
                    <w:trPr>
                      <w:trHeight w:val="283" w:hRule="exact"/>
                    </w:trPr>
                    <w:tc>
                      <w:tcPr>
                        <w:tcW w:w="1054"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2"/>
                          <w:jc w:val="right"/>
                          <w:rPr>
                            <w:rFonts w:ascii="Times New Roman" w:hAnsi="Times New Roman" w:cs="Times New Roman" w:eastAsia="Times New Roman" w:hint="default"/>
                            <w:sz w:val="18"/>
                            <w:szCs w:val="18"/>
                          </w:rPr>
                        </w:pPr>
                        <w:r>
                          <w:rPr>
                            <w:rFonts w:ascii="Times New Roman"/>
                            <w:spacing w:val="-1"/>
                            <w:sz w:val="18"/>
                          </w:rPr>
                          <w:t>95,321,530.28</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6"/>
                          <w:jc w:val="right"/>
                          <w:rPr>
                            <w:rFonts w:ascii="Times New Roman" w:hAnsi="Times New Roman" w:cs="Times New Roman" w:eastAsia="Times New Roman" w:hint="default"/>
                            <w:sz w:val="18"/>
                            <w:szCs w:val="18"/>
                          </w:rPr>
                        </w:pPr>
                        <w:r>
                          <w:rPr>
                            <w:rFonts w:ascii="Times New Roman"/>
                            <w:sz w:val="18"/>
                          </w:rPr>
                          <w:t>8.95%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2"/>
                          <w:jc w:val="right"/>
                          <w:rPr>
                            <w:rFonts w:ascii="Times New Roman" w:hAnsi="Times New Roman" w:cs="Times New Roman" w:eastAsia="Times New Roman" w:hint="default"/>
                            <w:sz w:val="18"/>
                            <w:szCs w:val="18"/>
                          </w:rPr>
                        </w:pPr>
                        <w:r>
                          <w:rPr>
                            <w:rFonts w:ascii="Times New Roman"/>
                            <w:spacing w:val="-1"/>
                            <w:sz w:val="18"/>
                          </w:rPr>
                          <w:t>14,298,229.54</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6"/>
                          <w:jc w:val="right"/>
                          <w:rPr>
                            <w:rFonts w:ascii="Times New Roman" w:hAnsi="Times New Roman" w:cs="Times New Roman" w:eastAsia="Times New Roman" w:hint="default"/>
                            <w:sz w:val="18"/>
                            <w:szCs w:val="18"/>
                          </w:rPr>
                        </w:pPr>
                        <w:r>
                          <w:rPr>
                            <w:rFonts w:ascii="Times New Roman"/>
                            <w:spacing w:val="-1"/>
                            <w:sz w:val="18"/>
                          </w:rPr>
                          <w:t>56,347,627.67</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z w:val="18"/>
                          </w:rPr>
                          <w:t>6.64%</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8,433,152.90</w:t>
                        </w:r>
                      </w:p>
                    </w:tc>
                  </w:tr>
                  <w:tr>
                    <w:trPr>
                      <w:trHeight w:val="283" w:hRule="exact"/>
                    </w:trPr>
                    <w:tc>
                      <w:tcPr>
                        <w:tcW w:w="1054"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2"/>
                          <w:jc w:val="right"/>
                          <w:rPr>
                            <w:rFonts w:ascii="Times New Roman" w:hAnsi="Times New Roman" w:cs="Times New Roman" w:eastAsia="Times New Roman" w:hint="default"/>
                            <w:sz w:val="18"/>
                            <w:szCs w:val="18"/>
                          </w:rPr>
                        </w:pPr>
                        <w:r>
                          <w:rPr>
                            <w:rFonts w:ascii="Times New Roman"/>
                            <w:spacing w:val="-1"/>
                            <w:sz w:val="18"/>
                          </w:rPr>
                          <w:t>55,336,507.00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6"/>
                          <w:jc w:val="right"/>
                          <w:rPr>
                            <w:rFonts w:ascii="Times New Roman" w:hAnsi="Times New Roman" w:cs="Times New Roman" w:eastAsia="Times New Roman" w:hint="default"/>
                            <w:sz w:val="18"/>
                            <w:szCs w:val="18"/>
                          </w:rPr>
                        </w:pPr>
                        <w:r>
                          <w:rPr>
                            <w:rFonts w:ascii="Times New Roman"/>
                            <w:sz w:val="18"/>
                          </w:rPr>
                          <w:t>5.19%</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pacing w:val="-1"/>
                            <w:sz w:val="18"/>
                          </w:rPr>
                          <w:t>16,600,952.10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6"/>
                          <w:jc w:val="right"/>
                          <w:rPr>
                            <w:rFonts w:ascii="Times New Roman" w:hAnsi="Times New Roman" w:cs="Times New Roman" w:eastAsia="Times New Roman" w:hint="default"/>
                            <w:sz w:val="18"/>
                            <w:szCs w:val="18"/>
                          </w:rPr>
                        </w:pPr>
                        <w:r>
                          <w:rPr>
                            <w:rFonts w:ascii="Times New Roman"/>
                            <w:spacing w:val="-1"/>
                            <w:sz w:val="18"/>
                          </w:rPr>
                          <w:t>49,402,037.25</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5.82%</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15,650,130.97</w:t>
                        </w:r>
                      </w:p>
                    </w:tc>
                  </w:tr>
                  <w:tr>
                    <w:trPr>
                      <w:trHeight w:val="283" w:hRule="exact"/>
                    </w:trPr>
                    <w:tc>
                      <w:tcPr>
                        <w:tcW w:w="1054"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2"/>
                          <w:jc w:val="right"/>
                          <w:rPr>
                            <w:rFonts w:ascii="Times New Roman" w:hAnsi="Times New Roman" w:cs="Times New Roman" w:eastAsia="Times New Roman" w:hint="default"/>
                            <w:sz w:val="18"/>
                            <w:szCs w:val="18"/>
                          </w:rPr>
                        </w:pPr>
                        <w:r>
                          <w:rPr>
                            <w:rFonts w:ascii="Times New Roman"/>
                            <w:spacing w:val="-1"/>
                            <w:sz w:val="18"/>
                          </w:rPr>
                          <w:t>45,271,393.87</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6"/>
                          <w:jc w:val="right"/>
                          <w:rPr>
                            <w:rFonts w:ascii="Times New Roman" w:hAnsi="Times New Roman" w:cs="Times New Roman" w:eastAsia="Times New Roman" w:hint="default"/>
                            <w:sz w:val="18"/>
                            <w:szCs w:val="18"/>
                          </w:rPr>
                        </w:pPr>
                        <w:r>
                          <w:rPr>
                            <w:rFonts w:ascii="Times New Roman"/>
                            <w:sz w:val="18"/>
                          </w:rPr>
                          <w:t>4.25%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pacing w:val="-1"/>
                            <w:sz w:val="18"/>
                          </w:rPr>
                          <w:t>22,635,696.94</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6"/>
                          <w:jc w:val="right"/>
                          <w:rPr>
                            <w:rFonts w:ascii="Times New Roman" w:hAnsi="Times New Roman" w:cs="Times New Roman" w:eastAsia="Times New Roman" w:hint="default"/>
                            <w:sz w:val="18"/>
                            <w:szCs w:val="18"/>
                          </w:rPr>
                        </w:pPr>
                        <w:r>
                          <w:rPr>
                            <w:rFonts w:ascii="Times New Roman"/>
                            <w:spacing w:val="-1"/>
                            <w:sz w:val="18"/>
                          </w:rPr>
                          <w:t>19,646,597.12</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z w:val="18"/>
                          </w:rPr>
                          <w:t>2.31%</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7,858,249.84</w:t>
                        </w:r>
                      </w:p>
                    </w:tc>
                  </w:tr>
                  <w:tr>
                    <w:trPr>
                      <w:trHeight w:val="289" w:hRule="exact"/>
                    </w:trPr>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年以上</w:t>
                        </w:r>
                      </w:p>
                    </w:tc>
                    <w:tc>
                      <w:tcPr>
                        <w:tcW w:w="168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52"/>
                          <w:jc w:val="right"/>
                          <w:rPr>
                            <w:rFonts w:ascii="Times New Roman" w:hAnsi="Times New Roman" w:cs="Times New Roman" w:eastAsia="Times New Roman" w:hint="default"/>
                            <w:sz w:val="18"/>
                            <w:szCs w:val="18"/>
                          </w:rPr>
                        </w:pPr>
                        <w:r>
                          <w:rPr>
                            <w:rFonts w:ascii="Times New Roman"/>
                            <w:spacing w:val="-1"/>
                            <w:sz w:val="18"/>
                          </w:rPr>
                          <w:t>46,363,914.41</w:t>
                        </w: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6"/>
                          <w:jc w:val="right"/>
                          <w:rPr>
                            <w:rFonts w:ascii="Times New Roman" w:hAnsi="Times New Roman" w:cs="Times New Roman" w:eastAsia="Times New Roman" w:hint="default"/>
                            <w:sz w:val="18"/>
                            <w:szCs w:val="18"/>
                          </w:rPr>
                        </w:pPr>
                        <w:r>
                          <w:rPr>
                            <w:rFonts w:ascii="Times New Roman"/>
                            <w:sz w:val="18"/>
                          </w:rPr>
                          <w:t>4.35%</w:t>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pacing w:val="-1"/>
                            <w:sz w:val="18"/>
                          </w:rPr>
                          <w:t>46,363,914.41</w:t>
                        </w: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66"/>
                          <w:jc w:val="right"/>
                          <w:rPr>
                            <w:rFonts w:ascii="Times New Roman" w:hAnsi="Times New Roman" w:cs="Times New Roman" w:eastAsia="Times New Roman" w:hint="default"/>
                            <w:sz w:val="18"/>
                            <w:szCs w:val="18"/>
                          </w:rPr>
                        </w:pPr>
                        <w:r>
                          <w:rPr>
                            <w:rFonts w:ascii="Times New Roman"/>
                            <w:spacing w:val="-1"/>
                            <w:sz w:val="18"/>
                          </w:rPr>
                          <w:t>51,882,962.13</w:t>
                        </w:r>
                      </w:p>
                    </w:tc>
                    <w:tc>
                      <w:tcPr>
                        <w:tcW w:w="95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2"/>
                            <w:sz w:val="18"/>
                          </w:rPr>
                          <w:t>6.11%</w:t>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48,604,805.51</w:t>
                        </w:r>
                      </w:p>
                    </w:tc>
                  </w:tr>
                  <w:tr>
                    <w:trPr>
                      <w:trHeight w:val="303" w:hRule="exact"/>
                    </w:trPr>
                    <w:tc>
                      <w:tcPr>
                        <w:tcW w:w="1054"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52"/>
                          <w:jc w:val="right"/>
                          <w:rPr>
                            <w:rFonts w:ascii="Times New Roman" w:hAnsi="Times New Roman" w:cs="Times New Roman" w:eastAsia="Times New Roman" w:hint="default"/>
                            <w:sz w:val="18"/>
                            <w:szCs w:val="18"/>
                          </w:rPr>
                        </w:pPr>
                        <w:r>
                          <w:rPr>
                            <w:rFonts w:ascii="Times New Roman"/>
                            <w:b/>
                            <w:spacing w:val="-1"/>
                            <w:sz w:val="18"/>
                          </w:rPr>
                          <w:t>1,065,590,904.36</w:t>
                        </w:r>
                        <w:r>
                          <w:rPr>
                            <w:rFonts w:ascii="Times New Roman"/>
                            <w:spacing w:val="-1"/>
                            <w:sz w:val="18"/>
                          </w:rPr>
                        </w:r>
                      </w:p>
                    </w:tc>
                    <w:tc>
                      <w:tcPr>
                        <w:tcW w:w="9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4"/>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b/>
                            <w:spacing w:val="-1"/>
                            <w:sz w:val="18"/>
                          </w:rPr>
                          <w:t>114,667,860.75</w:t>
                        </w:r>
                        <w:r>
                          <w:rPr>
                            <w:rFonts w:ascii="Times New Roman"/>
                            <w:spacing w:val="-1"/>
                            <w:sz w:val="18"/>
                          </w:rPr>
                        </w:r>
                      </w:p>
                    </w:tc>
                    <w:tc>
                      <w:tcPr>
                        <w:tcW w:w="140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65"/>
                          <w:jc w:val="right"/>
                          <w:rPr>
                            <w:rFonts w:ascii="Times New Roman" w:hAnsi="Times New Roman" w:cs="Times New Roman" w:eastAsia="Times New Roman" w:hint="default"/>
                            <w:sz w:val="18"/>
                            <w:szCs w:val="18"/>
                          </w:rPr>
                        </w:pPr>
                        <w:r>
                          <w:rPr>
                            <w:rFonts w:ascii="Times New Roman"/>
                            <w:b/>
                            <w:spacing w:val="-1"/>
                            <w:sz w:val="18"/>
                          </w:rPr>
                          <w:t>848,893,127.74</w:t>
                        </w:r>
                        <w:r>
                          <w:rPr>
                            <w:rFonts w:ascii="Times New Roman"/>
                            <w:spacing w:val="-1"/>
                            <w:sz w:val="18"/>
                          </w:rPr>
                        </w:r>
                      </w:p>
                    </w:tc>
                    <w:tc>
                      <w:tcPr>
                        <w:tcW w:w="9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2"/>
                            <w:sz w:val="18"/>
                          </w:rPr>
                          <w:t>93,911,411.99</w:t>
                        </w:r>
                        <w:r>
                          <w:rPr>
                            <w:rFonts w:ascii="Times New Roman"/>
                            <w:spacing w:val="-2"/>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6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72.4pt;height:.5pt;mso-position-horizontal-relative:char;mso-position-vertical-relative:line" coordorigin="0,0" coordsize="7448,10">
            <v:group style="position:absolute;left:5;top:5;width:7438;height:2" coordorigin="5,5" coordsize="7438,2">
              <v:shape style="position:absolute;left:5;top:5;width:7438;height:2" coordorigin="5,5" coordsize="7438,0" path="m5,5l7442,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16"/>
          <w:szCs w:val="16"/>
        </w:rPr>
      </w:pPr>
    </w:p>
    <w:p>
      <w:pPr>
        <w:spacing w:before="31"/>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其他应收款风险分类</w:t>
      </w:r>
    </w:p>
    <w:p>
      <w:pPr>
        <w:spacing w:line="240" w:lineRule="auto" w:before="3"/>
        <w:rPr>
          <w:rFonts w:ascii="楷体" w:hAnsi="楷体" w:cs="楷体" w:eastAsia="楷体" w:hint="default"/>
          <w:sz w:val="11"/>
          <w:szCs w:val="11"/>
        </w:rPr>
      </w:pPr>
    </w:p>
    <w:p>
      <w:pPr>
        <w:spacing w:line="30" w:lineRule="exact"/>
        <w:ind w:left="409"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spacing w:after="0" w:line="30" w:lineRule="exact"/>
        <w:rPr>
          <w:rFonts w:ascii="楷体" w:hAnsi="楷体" w:cs="楷体" w:eastAsia="楷体" w:hint="default"/>
          <w:sz w:val="3"/>
          <w:szCs w:val="3"/>
        </w:rPr>
        <w:sectPr>
          <w:footerReference w:type="default" r:id="rId40"/>
          <w:pgSz w:w="11910" w:h="16840"/>
          <w:pgMar w:footer="784" w:header="610" w:top="1080" w:bottom="980" w:left="1280" w:right="1140"/>
          <w:pgNumType w:start="101"/>
        </w:sectPr>
      </w:pPr>
    </w:p>
    <w:p>
      <w:pPr>
        <w:spacing w:before="94"/>
        <w:ind w:left="524" w:right="-1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p>
      <w:pPr>
        <w:spacing w:line="240" w:lineRule="auto" w:before="11"/>
        <w:rPr>
          <w:rFonts w:ascii="Microsoft JhengHei" w:hAnsi="Microsoft JhengHei" w:cs="Microsoft JhengHei" w:eastAsia="Microsoft JhengHei" w:hint="default"/>
          <w:b/>
          <w:bCs/>
          <w:sz w:val="10"/>
          <w:szCs w:val="10"/>
        </w:rPr>
      </w:pPr>
    </w:p>
    <w:p>
      <w:pPr>
        <w:spacing w:before="0"/>
        <w:ind w:left="524" w:right="-10" w:firstLine="0"/>
        <w:jc w:val="left"/>
        <w:rPr>
          <w:rFonts w:ascii="楷体" w:hAnsi="楷体" w:cs="楷体" w:eastAsia="楷体" w:hint="default"/>
          <w:sz w:val="16"/>
          <w:szCs w:val="16"/>
        </w:rPr>
      </w:pPr>
      <w:r>
        <w:rPr/>
        <w:pict>
          <v:group style="position:absolute;margin-left:84.839996pt;margin-top:1.124167pt;width:431.9pt;height:.1pt;mso-position-horizontal-relative:page;mso-position-vertical-relative:paragraph;z-index:-898816" coordorigin="1697,22" coordsize="8638,2">
            <v:shape style="position:absolute;left:1697;top:22;width:8638;height:2" coordorigin="1697,22" coordsize="8638,0" path="m1697,22l10334,22e" filled="false" stroked="true" strokeweight=".48pt" strokecolor="#000000">
              <v:path arrowok="t"/>
            </v:shape>
            <w10:wrap type="none"/>
          </v:group>
        </w:pict>
      </w:r>
      <w:r>
        <w:rPr/>
        <w:pict>
          <v:shape style="position:absolute;margin-left:84.839996pt;margin-top:7.901991pt;width:431.9pt;height:80.4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2"/>
                    <w:gridCol w:w="817"/>
                    <w:gridCol w:w="1207"/>
                    <w:gridCol w:w="1216"/>
                    <w:gridCol w:w="817"/>
                    <w:gridCol w:w="1129"/>
                  </w:tblGrid>
                  <w:tr>
                    <w:trPr>
                      <w:trHeight w:val="330" w:hRule="exact"/>
                    </w:trPr>
                    <w:tc>
                      <w:tcPr>
                        <w:tcW w:w="3452" w:type="dxa"/>
                        <w:tcBorders>
                          <w:top w:val="nil" w:sz="6" w:space="0" w:color="auto"/>
                          <w:left w:val="nil" w:sz="6" w:space="0" w:color="auto"/>
                          <w:bottom w:val="nil" w:sz="6" w:space="0" w:color="auto"/>
                          <w:right w:val="nil" w:sz="6" w:space="0" w:color="auto"/>
                        </w:tcBorders>
                      </w:tcPr>
                      <w:p>
                        <w:pPr>
                          <w:pStyle w:val="TableParagraph"/>
                          <w:tabs>
                            <w:tab w:pos="2235" w:val="left" w:leader="none"/>
                          </w:tabs>
                          <w:spacing w:line="251" w:lineRule="exact"/>
                          <w:ind w:right="107"/>
                          <w:jc w:val="right"/>
                          <w:rPr>
                            <w:rFonts w:ascii="Times New Roman" w:hAnsi="Times New Roman" w:cs="Times New Roman" w:eastAsia="Times New Roman" w:hint="default"/>
                            <w:sz w:val="16"/>
                            <w:szCs w:val="16"/>
                          </w:rPr>
                        </w:pPr>
                        <w:r>
                          <w:rPr>
                            <w:rFonts w:ascii="楷体" w:hAnsi="楷体" w:cs="楷体" w:eastAsia="楷体" w:hint="default"/>
                            <w:w w:val="95"/>
                            <w:position w:val="-9"/>
                            <w:sz w:val="16"/>
                            <w:szCs w:val="16"/>
                          </w:rPr>
                          <w:t>款</w:t>
                          <w:tab/>
                        </w:r>
                        <w:r>
                          <w:rPr>
                            <w:rFonts w:ascii="Times New Roman" w:hAnsi="Times New Roman" w:cs="Times New Roman" w:eastAsia="Times New Roman" w:hint="default"/>
                            <w:spacing w:val="-1"/>
                            <w:sz w:val="16"/>
                            <w:szCs w:val="16"/>
                          </w:rPr>
                          <w:t>495,855,018.00</w:t>
                        </w:r>
                      </w:p>
                    </w:tc>
                    <w:tc>
                      <w:tcPr>
                        <w:tcW w:w="817"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Times New Roman" w:hAnsi="Times New Roman" w:cs="Times New Roman" w:eastAsia="Times New Roman" w:hint="default"/>
                            <w:sz w:val="16"/>
                            <w:szCs w:val="16"/>
                          </w:rPr>
                        </w:pPr>
                        <w:r>
                          <w:rPr>
                            <w:rFonts w:ascii="Times New Roman"/>
                            <w:spacing w:val="-1"/>
                            <w:sz w:val="16"/>
                          </w:rPr>
                          <w:t>46.53%</w:t>
                        </w:r>
                      </w:p>
                    </w:tc>
                    <w:tc>
                      <w:tcPr>
                        <w:tcW w:w="1207"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Times New Roman" w:hAnsi="Times New Roman" w:cs="Times New Roman" w:eastAsia="Times New Roman" w:hint="default"/>
                            <w:sz w:val="16"/>
                            <w:szCs w:val="16"/>
                          </w:rPr>
                        </w:pPr>
                        <w:r>
                          <w:rPr>
                            <w:rFonts w:ascii="Times New Roman"/>
                            <w:spacing w:val="-1"/>
                            <w:sz w:val="16"/>
                          </w:rPr>
                          <w:t>31,548,155.79</w:t>
                        </w:r>
                      </w:p>
                    </w:tc>
                    <w:tc>
                      <w:tcPr>
                        <w:tcW w:w="1216" w:type="dxa"/>
                        <w:tcBorders>
                          <w:top w:val="nil" w:sz="6" w:space="0" w:color="auto"/>
                          <w:left w:val="nil" w:sz="6" w:space="0" w:color="auto"/>
                          <w:bottom w:val="nil" w:sz="6" w:space="0" w:color="auto"/>
                          <w:right w:val="nil" w:sz="6" w:space="0" w:color="auto"/>
                        </w:tcBorders>
                      </w:tcPr>
                      <w:p>
                        <w:pPr>
                          <w:pStyle w:val="TableParagraph"/>
                          <w:spacing w:line="163" w:lineRule="exact"/>
                          <w:ind w:right="105"/>
                          <w:jc w:val="right"/>
                          <w:rPr>
                            <w:rFonts w:ascii="Times New Roman" w:hAnsi="Times New Roman" w:cs="Times New Roman" w:eastAsia="Times New Roman" w:hint="default"/>
                            <w:sz w:val="16"/>
                            <w:szCs w:val="16"/>
                          </w:rPr>
                        </w:pPr>
                        <w:r>
                          <w:rPr>
                            <w:rFonts w:ascii="Times New Roman"/>
                            <w:spacing w:val="-1"/>
                            <w:sz w:val="16"/>
                          </w:rPr>
                          <w:t>307,932,796.09</w:t>
                        </w:r>
                      </w:p>
                    </w:tc>
                    <w:tc>
                      <w:tcPr>
                        <w:tcW w:w="817"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Times New Roman" w:hAnsi="Times New Roman" w:cs="Times New Roman" w:eastAsia="Times New Roman" w:hint="default"/>
                            <w:sz w:val="16"/>
                            <w:szCs w:val="16"/>
                          </w:rPr>
                        </w:pPr>
                        <w:r>
                          <w:rPr>
                            <w:rFonts w:ascii="Times New Roman"/>
                            <w:spacing w:val="-1"/>
                            <w:sz w:val="16"/>
                          </w:rPr>
                          <w:t>36.27%</w:t>
                        </w:r>
                      </w:p>
                    </w:tc>
                    <w:tc>
                      <w:tcPr>
                        <w:tcW w:w="1129" w:type="dxa"/>
                        <w:tcBorders>
                          <w:top w:val="nil" w:sz="6" w:space="0" w:color="auto"/>
                          <w:left w:val="nil" w:sz="6" w:space="0" w:color="auto"/>
                          <w:bottom w:val="nil" w:sz="6" w:space="0" w:color="auto"/>
                          <w:right w:val="nil" w:sz="6" w:space="0" w:color="auto"/>
                        </w:tcBorders>
                      </w:tcPr>
                      <w:p>
                        <w:pPr>
                          <w:pStyle w:val="TableParagraph"/>
                          <w:spacing w:line="163" w:lineRule="exact"/>
                          <w:ind w:right="98"/>
                          <w:jc w:val="right"/>
                          <w:rPr>
                            <w:rFonts w:ascii="Times New Roman" w:hAnsi="Times New Roman" w:cs="Times New Roman" w:eastAsia="Times New Roman" w:hint="default"/>
                            <w:sz w:val="16"/>
                            <w:szCs w:val="16"/>
                          </w:rPr>
                        </w:pPr>
                        <w:r>
                          <w:rPr>
                            <w:rFonts w:ascii="Times New Roman"/>
                            <w:spacing w:val="-1"/>
                            <w:sz w:val="16"/>
                          </w:rPr>
                          <w:t>16,275,637.93</w:t>
                        </w:r>
                      </w:p>
                    </w:tc>
                  </w:tr>
                  <w:tr>
                    <w:trPr>
                      <w:trHeight w:val="500"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117" w:lineRule="exact"/>
                          <w:ind w:left="107" w:right="0"/>
                          <w:jc w:val="left"/>
                          <w:rPr>
                            <w:rFonts w:ascii="楷体" w:hAnsi="楷体" w:cs="楷体" w:eastAsia="楷体" w:hint="default"/>
                            <w:sz w:val="16"/>
                            <w:szCs w:val="16"/>
                          </w:rPr>
                        </w:pPr>
                        <w:r>
                          <w:rPr>
                            <w:rFonts w:ascii="楷体" w:hAnsi="楷体" w:cs="楷体" w:eastAsia="楷体" w:hint="default"/>
                            <w:spacing w:val="12"/>
                            <w:sz w:val="16"/>
                            <w:szCs w:val="16"/>
                          </w:rPr>
                          <w:t>单项金额不重大但按信用</w:t>
                        </w:r>
                      </w:p>
                      <w:p>
                        <w:pPr>
                          <w:pStyle w:val="TableParagraph"/>
                          <w:tabs>
                            <w:tab w:pos="3063" w:val="left" w:leader="none"/>
                          </w:tabs>
                          <w:spacing w:line="206" w:lineRule="exact"/>
                          <w:ind w:left="107" w:right="0"/>
                          <w:jc w:val="left"/>
                          <w:rPr>
                            <w:rFonts w:ascii="Times New Roman" w:hAnsi="Times New Roman" w:cs="Times New Roman" w:eastAsia="Times New Roman" w:hint="default"/>
                            <w:sz w:val="16"/>
                            <w:szCs w:val="16"/>
                          </w:rPr>
                        </w:pPr>
                        <w:r>
                          <w:rPr>
                            <w:rFonts w:ascii="楷体" w:hAnsi="楷体" w:cs="楷体" w:eastAsia="楷体" w:hint="default"/>
                            <w:spacing w:val="12"/>
                            <w:sz w:val="16"/>
                            <w:szCs w:val="16"/>
                          </w:rPr>
                          <w:t>风险特征组合后该组合的</w:t>
                        </w:r>
                        <w:r>
                          <w:rPr>
                            <w:rFonts w:ascii="Times New Roman" w:hAnsi="Times New Roman" w:cs="Times New Roman" w:eastAsia="Times New Roman" w:hint="default"/>
                            <w:spacing w:val="12"/>
                            <w:sz w:val="16"/>
                            <w:szCs w:val="16"/>
                          </w:rPr>
                          <w:tab/>
                        </w:r>
                        <w:r>
                          <w:rPr>
                            <w:rFonts w:ascii="Times New Roman" w:hAnsi="Times New Roman" w:cs="Times New Roman" w:eastAsia="Times New Roman" w:hint="default"/>
                            <w:sz w:val="16"/>
                            <w:szCs w:val="16"/>
                          </w:rPr>
                          <w:t>0.00</w:t>
                        </w:r>
                      </w:p>
                      <w:p>
                        <w:pPr>
                          <w:pStyle w:val="TableParagraph"/>
                          <w:spacing w:line="199" w:lineRule="exact"/>
                          <w:ind w:left="107" w:right="0"/>
                          <w:jc w:val="left"/>
                          <w:rPr>
                            <w:rFonts w:ascii="楷体" w:hAnsi="楷体" w:cs="楷体" w:eastAsia="楷体" w:hint="default"/>
                            <w:sz w:val="16"/>
                            <w:szCs w:val="16"/>
                          </w:rPr>
                        </w:pPr>
                        <w:r>
                          <w:rPr>
                            <w:rFonts w:ascii="楷体" w:hAnsi="楷体" w:cs="楷体" w:eastAsia="楷体" w:hint="default"/>
                            <w:sz w:val="16"/>
                            <w:szCs w:val="16"/>
                          </w:rPr>
                          <w:t>风险较大的其他应收款</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0.00</w:t>
                        </w:r>
                      </w:p>
                    </w:tc>
                  </w:tr>
                  <w:tr>
                    <w:trPr>
                      <w:trHeight w:val="444" w:hRule="exact"/>
                    </w:trPr>
                    <w:tc>
                      <w:tcPr>
                        <w:tcW w:w="3452" w:type="dxa"/>
                        <w:tcBorders>
                          <w:top w:val="nil" w:sz="6" w:space="0" w:color="auto"/>
                          <w:left w:val="nil" w:sz="6" w:space="0" w:color="auto"/>
                          <w:bottom w:val="single" w:sz="4" w:space="0" w:color="000000"/>
                          <w:right w:val="nil" w:sz="6" w:space="0" w:color="auto"/>
                        </w:tcBorders>
                      </w:tcPr>
                      <w:p>
                        <w:pPr>
                          <w:pStyle w:val="TableParagraph"/>
                          <w:spacing w:line="173" w:lineRule="exact" w:before="12"/>
                          <w:ind w:left="108" w:right="0"/>
                          <w:jc w:val="left"/>
                          <w:rPr>
                            <w:rFonts w:ascii="楷体" w:hAnsi="楷体" w:cs="楷体" w:eastAsia="楷体" w:hint="default"/>
                            <w:sz w:val="16"/>
                            <w:szCs w:val="16"/>
                          </w:rPr>
                        </w:pPr>
                        <w:r>
                          <w:rPr>
                            <w:rFonts w:ascii="楷体" w:hAnsi="楷体" w:cs="楷体" w:eastAsia="楷体" w:hint="default"/>
                            <w:spacing w:val="12"/>
                            <w:sz w:val="16"/>
                            <w:szCs w:val="16"/>
                          </w:rPr>
                          <w:t>其他单项金额不重大的其</w:t>
                        </w:r>
                      </w:p>
                      <w:p>
                        <w:pPr>
                          <w:pStyle w:val="TableParagraph"/>
                          <w:tabs>
                            <w:tab w:pos="2343" w:val="left" w:leader="none"/>
                          </w:tabs>
                          <w:spacing w:line="236" w:lineRule="exact"/>
                          <w:ind w:left="108" w:right="0"/>
                          <w:jc w:val="left"/>
                          <w:rPr>
                            <w:rFonts w:ascii="Times New Roman" w:hAnsi="Times New Roman" w:cs="Times New Roman" w:eastAsia="Times New Roman" w:hint="default"/>
                            <w:sz w:val="16"/>
                            <w:szCs w:val="16"/>
                          </w:rPr>
                        </w:pPr>
                        <w:r>
                          <w:rPr>
                            <w:rFonts w:ascii="楷体" w:hAnsi="楷体" w:cs="楷体" w:eastAsia="楷体" w:hint="default"/>
                            <w:w w:val="95"/>
                            <w:position w:val="-9"/>
                            <w:sz w:val="16"/>
                            <w:szCs w:val="16"/>
                          </w:rPr>
                          <w:t>他应收款</w:t>
                          <w:tab/>
                        </w:r>
                        <w:r>
                          <w:rPr>
                            <w:rFonts w:ascii="Times New Roman" w:hAnsi="Times New Roman" w:cs="Times New Roman" w:eastAsia="Times New Roman" w:hint="default"/>
                            <w:sz w:val="16"/>
                            <w:szCs w:val="16"/>
                          </w:rPr>
                          <w:t>569,735,886.36</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53.47%</w:t>
                        </w: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83,119,704.96</w:t>
                        </w:r>
                      </w:p>
                    </w:tc>
                    <w:tc>
                      <w:tcPr>
                        <w:tcW w:w="121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540,960,331.65</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63.73%</w:t>
                        </w: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77,635,774.06</w:t>
                        </w:r>
                      </w:p>
                    </w:tc>
                  </w:tr>
                  <w:tr>
                    <w:trPr>
                      <w:trHeight w:val="303" w:hRule="exact"/>
                    </w:trPr>
                    <w:tc>
                      <w:tcPr>
                        <w:tcW w:w="3452" w:type="dxa"/>
                        <w:tcBorders>
                          <w:top w:val="single" w:sz="4" w:space="0" w:color="000000"/>
                          <w:left w:val="nil" w:sz="6" w:space="0" w:color="auto"/>
                          <w:bottom w:val="single" w:sz="12" w:space="0" w:color="000000"/>
                          <w:right w:val="nil" w:sz="6" w:space="0" w:color="auto"/>
                        </w:tcBorders>
                      </w:tcPr>
                      <w:p>
                        <w:pPr>
                          <w:pStyle w:val="TableParagraph"/>
                          <w:tabs>
                            <w:tab w:pos="2116" w:val="left" w:leader="none"/>
                          </w:tabs>
                          <w:spacing w:line="241" w:lineRule="exact"/>
                          <w:ind w:right="105"/>
                          <w:jc w:val="right"/>
                          <w:rPr>
                            <w:rFonts w:ascii="Times New Roman" w:hAnsi="Times New Roman" w:cs="Times New Roman" w:eastAsia="Times New Roman" w:hint="default"/>
                            <w:sz w:val="16"/>
                            <w:szCs w:val="16"/>
                          </w:rPr>
                        </w:pPr>
                        <w:r>
                          <w:rPr>
                            <w:rFonts w:ascii="Microsoft JhengHei" w:hAnsi="Microsoft JhengHei" w:cs="Microsoft JhengHei" w:eastAsia="Microsoft JhengHei" w:hint="default"/>
                            <w:b/>
                            <w:bCs/>
                            <w:sz w:val="16"/>
                            <w:szCs w:val="16"/>
                          </w:rPr>
                          <w:t>合计</w:t>
                          <w:tab/>
                        </w:r>
                        <w:r>
                          <w:rPr>
                            <w:rFonts w:ascii="Times New Roman" w:hAnsi="Times New Roman" w:cs="Times New Roman" w:eastAsia="Times New Roman" w:hint="default"/>
                            <w:b/>
                            <w:bCs/>
                            <w:spacing w:val="-1"/>
                            <w:sz w:val="16"/>
                            <w:szCs w:val="16"/>
                          </w:rPr>
                          <w:t>1,065,590,904.36</w:t>
                        </w:r>
                        <w:r>
                          <w:rPr>
                            <w:rFonts w:ascii="Times New Roman" w:hAnsi="Times New Roman" w:cs="Times New Roman" w:eastAsia="Times New Roman" w:hint="default"/>
                            <w:spacing w:val="-1"/>
                            <w:sz w:val="16"/>
                            <w:szCs w:val="16"/>
                          </w:rPr>
                        </w:r>
                      </w:p>
                    </w:tc>
                    <w:tc>
                      <w:tcPr>
                        <w:tcW w:w="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0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b/>
                            <w:spacing w:val="-1"/>
                            <w:w w:val="95"/>
                            <w:sz w:val="16"/>
                          </w:rPr>
                          <w:t>114,667,860.75</w:t>
                        </w:r>
                        <w:r>
                          <w:rPr>
                            <w:rFonts w:ascii="Times New Roman"/>
                            <w:spacing w:val="-1"/>
                            <w:sz w:val="16"/>
                          </w:rPr>
                        </w:r>
                      </w:p>
                    </w:tc>
                    <w:tc>
                      <w:tcPr>
                        <w:tcW w:w="12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848,893,127.74</w:t>
                        </w:r>
                        <w:r>
                          <w:rPr>
                            <w:rFonts w:ascii="Times New Roman"/>
                            <w:spacing w:val="-1"/>
                            <w:sz w:val="16"/>
                          </w:rPr>
                        </w:r>
                      </w:p>
                    </w:tc>
                    <w:tc>
                      <w:tcPr>
                        <w:tcW w:w="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12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6"/>
                            <w:szCs w:val="16"/>
                          </w:rPr>
                        </w:pPr>
                        <w:r>
                          <w:rPr>
                            <w:rFonts w:ascii="Times New Roman"/>
                            <w:b/>
                            <w:spacing w:val="-2"/>
                            <w:sz w:val="16"/>
                          </w:rPr>
                          <w:t>93,911,411.99</w:t>
                        </w:r>
                        <w:r>
                          <w:rPr>
                            <w:rFonts w:ascii="Times New Roman"/>
                            <w:spacing w:val="-2"/>
                            <w:sz w:val="16"/>
                          </w:rPr>
                        </w:r>
                      </w:p>
                    </w:tc>
                  </w:tr>
                </w:tbl>
                <w:p>
                  <w:pPr/>
                </w:p>
              </w:txbxContent>
            </v:textbox>
            <w10:wrap type="none"/>
          </v:shape>
        </w:pict>
      </w:r>
      <w:r>
        <w:rPr>
          <w:rFonts w:ascii="楷体" w:hAnsi="楷体" w:cs="楷体" w:eastAsia="楷体" w:hint="default"/>
          <w:spacing w:val="12"/>
          <w:sz w:val="16"/>
          <w:szCs w:val="16"/>
        </w:rPr>
        <w:t>单项金额重大的其他应收</w:t>
      </w:r>
    </w:p>
    <w:p>
      <w:pPr>
        <w:tabs>
          <w:tab w:pos="3263" w:val="left" w:leader="none"/>
        </w:tabs>
        <w:spacing w:line="241" w:lineRule="exact" w:before="0"/>
        <w:ind w:left="0" w:right="306" w:firstLine="0"/>
        <w:jc w:val="center"/>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年末金额</w:t>
        <w:tab/>
        <w:t>年初金额</w:t>
      </w:r>
      <w:r>
        <w:rPr>
          <w:rFonts w:ascii="Microsoft JhengHei" w:hAnsi="Microsoft JhengHei" w:cs="Microsoft JhengHei" w:eastAsia="Microsoft JhengHei" w:hint="default"/>
          <w:sz w:val="16"/>
          <w:szCs w:val="16"/>
        </w:rPr>
      </w:r>
    </w:p>
    <w:p>
      <w:pPr>
        <w:tabs>
          <w:tab w:pos="1075" w:val="left" w:leader="none"/>
          <w:tab w:pos="1927" w:val="left" w:leader="none"/>
          <w:tab w:pos="3299" w:val="left" w:leader="none"/>
          <w:tab w:pos="4315" w:val="left" w:leader="none"/>
          <w:tab w:pos="5131" w:val="left" w:leader="none"/>
        </w:tabs>
        <w:spacing w:before="14"/>
        <w:ind w:left="0" w:right="143" w:firstLine="0"/>
        <w:jc w:val="center"/>
        <w:rPr>
          <w:rFonts w:ascii="Microsoft JhengHei" w:hAnsi="Microsoft JhengHei" w:cs="Microsoft JhengHei" w:eastAsia="Microsoft JhengHei" w:hint="default"/>
          <w:sz w:val="16"/>
          <w:szCs w:val="16"/>
        </w:rPr>
      </w:pPr>
      <w:r>
        <w:rPr/>
        <w:pict>
          <v:group style="position:absolute;margin-left:190.320007pt;margin-top:2.33352pt;width:326.4pt;height:.1pt;mso-position-horizontal-relative:page;mso-position-vertical-relative:paragraph;z-index:-898840" coordorigin="3806,47" coordsize="6528,2">
            <v:shape style="position:absolute;left:3806;top:47;width:6528;height:2" coordorigin="3806,47" coordsize="6528,0" path="m3806,47l10334,47e" filled="false" stroked="true" strokeweight=".48pt" strokecolor="#000000">
              <v:path arrowok="t"/>
            </v:shape>
            <w10:wrap type="none"/>
          </v:group>
        </w:pict>
      </w:r>
      <w:r>
        <w:rPr>
          <w:rFonts w:ascii="Microsoft JhengHei" w:hAnsi="Microsoft JhengHei" w:cs="Microsoft JhengHei" w:eastAsia="Microsoft JhengHei" w:hint="default"/>
          <w:b/>
          <w:bCs/>
          <w:sz w:val="16"/>
          <w:szCs w:val="16"/>
        </w:rPr>
        <w:t>金额</w:t>
        <w:tab/>
        <w:t>比例</w:t>
        <w:tab/>
        <w:t>坏账准备</w:t>
        <w:tab/>
        <w:t>金额</w:t>
        <w:tab/>
        <w:t>比例</w:t>
        <w:tab/>
        <w:t>坏账准备</w:t>
      </w:r>
      <w:r>
        <w:rPr>
          <w:rFonts w:ascii="Microsoft JhengHei" w:hAnsi="Microsoft JhengHei" w:cs="Microsoft JhengHei" w:eastAsia="Microsoft JhengHei" w:hint="default"/>
          <w:sz w:val="16"/>
          <w:szCs w:val="16"/>
        </w:rPr>
      </w:r>
    </w:p>
    <w:p>
      <w:pPr>
        <w:spacing w:after="0"/>
        <w:jc w:val="center"/>
        <w:rPr>
          <w:rFonts w:ascii="Microsoft JhengHei" w:hAnsi="Microsoft JhengHei" w:cs="Microsoft JhengHei" w:eastAsia="Microsoft JhengHei" w:hint="default"/>
          <w:sz w:val="16"/>
          <w:szCs w:val="16"/>
        </w:rPr>
        <w:sectPr>
          <w:type w:val="continuous"/>
          <w:pgSz w:w="11910" w:h="16840"/>
          <w:pgMar w:top="1600" w:bottom="280" w:left="1280" w:right="1140"/>
          <w:cols w:num="2" w:equalWidth="0">
            <w:col w:w="2427" w:space="88"/>
            <w:col w:w="6975"/>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2"/>
          <w:szCs w:val="12"/>
        </w:rPr>
      </w:pPr>
    </w:p>
    <w:p>
      <w:pPr>
        <w:spacing w:before="31"/>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楷体" w:hAnsi="楷体" w:cs="楷体" w:eastAsia="楷体" w:hint="default"/>
          <w:sz w:val="22"/>
          <w:szCs w:val="22"/>
        </w:rPr>
        <w:t>年末其他应收款中不含持本公司 </w:t>
      </w:r>
      <w:r>
        <w:rPr>
          <w:rFonts w:ascii="Times New Roman" w:hAnsi="Times New Roman" w:cs="Times New Roman" w:eastAsia="Times New Roman" w:hint="default"/>
          <w:sz w:val="22"/>
          <w:szCs w:val="22"/>
        </w:rPr>
        <w:t>5%</w:t>
      </w:r>
      <w:r>
        <w:rPr>
          <w:rFonts w:ascii="楷体" w:hAnsi="楷体" w:cs="楷体" w:eastAsia="楷体" w:hint="default"/>
          <w:sz w:val="22"/>
          <w:szCs w:val="22"/>
        </w:rPr>
        <w:t>（含</w:t>
      </w:r>
      <w:r>
        <w:rPr>
          <w:rFonts w:ascii="楷体" w:hAnsi="楷体" w:cs="楷体" w:eastAsia="楷体" w:hint="default"/>
          <w:spacing w:val="-83"/>
          <w:sz w:val="22"/>
          <w:szCs w:val="22"/>
        </w:rPr>
        <w:t> </w:t>
      </w:r>
      <w:r>
        <w:rPr>
          <w:rFonts w:ascii="Times New Roman" w:hAnsi="Times New Roman" w:cs="Times New Roman" w:eastAsia="Times New Roman" w:hint="default"/>
          <w:sz w:val="22"/>
          <w:szCs w:val="22"/>
        </w:rPr>
        <w:t>5%</w:t>
      </w:r>
      <w:r>
        <w:rPr>
          <w:rFonts w:ascii="楷体" w:hAnsi="楷体" w:cs="楷体" w:eastAsia="楷体" w:hint="default"/>
          <w:sz w:val="22"/>
          <w:szCs w:val="22"/>
        </w:rPr>
        <w:t>）以上表决权股份的股东单位欠款。</w:t>
      </w:r>
    </w:p>
    <w:p>
      <w:pPr>
        <w:spacing w:before="163"/>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期末余额中前五名欠款情况</w:t>
      </w:r>
    </w:p>
    <w:p>
      <w:pPr>
        <w:tabs>
          <w:tab w:pos="3564" w:val="left" w:leader="none"/>
          <w:tab w:pos="5309" w:val="left" w:leader="none"/>
          <w:tab w:pos="6626" w:val="left" w:leader="none"/>
          <w:tab w:pos="7736" w:val="left" w:leader="none"/>
        </w:tabs>
        <w:spacing w:before="68"/>
        <w:ind w:left="524" w:right="0" w:firstLine="0"/>
        <w:jc w:val="left"/>
        <w:rPr>
          <w:rFonts w:ascii="Microsoft JhengHei" w:hAnsi="Microsoft JhengHei" w:cs="Microsoft JhengHei" w:eastAsia="Microsoft JhengHei" w:hint="default"/>
          <w:sz w:val="18"/>
          <w:szCs w:val="18"/>
        </w:rPr>
      </w:pPr>
      <w:r>
        <w:rPr/>
        <w:pict>
          <v:group style="position:absolute;margin-left:84.839996pt;margin-top:8.065536pt;width:431.9pt;height:.1pt;mso-position-horizontal-relative:page;mso-position-vertical-relative:paragraph;z-index:-898792" coordorigin="1697,161" coordsize="8638,2">
            <v:shape style="position:absolute;left:1697;top:161;width:8638;height:2" coordorigin="1697,161" coordsize="8638,0" path="m1697,161l10334,161e" filled="false" stroked="true" strokeweight="1.5pt" strokecolor="#000000">
              <v:path arrowok="t"/>
            </v:shape>
            <w10:wrap type="none"/>
          </v:group>
        </w:pict>
      </w:r>
      <w:r>
        <w:rPr/>
        <w:pict>
          <v:shape style="position:absolute;margin-left:84.839996pt;margin-top:19.080860pt;width:431.9pt;height:97.9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8"/>
                    <w:gridCol w:w="1732"/>
                    <w:gridCol w:w="1597"/>
                    <w:gridCol w:w="1063"/>
                    <w:gridCol w:w="1447"/>
                  </w:tblGrid>
                  <w:tr>
                    <w:trPr>
                      <w:trHeight w:val="199" w:hRule="exact"/>
                    </w:trPr>
                    <w:tc>
                      <w:tcPr>
                        <w:tcW w:w="7191" w:type="dxa"/>
                        <w:gridSpan w:val="4"/>
                        <w:tcBorders>
                          <w:top w:val="nil" w:sz="6" w:space="0" w:color="auto"/>
                          <w:left w:val="nil" w:sz="6" w:space="0" w:color="auto"/>
                          <w:bottom w:val="single" w:sz="4" w:space="0" w:color="000000"/>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00" w:lineRule="exact"/>
                          <w:ind w:right="10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总额的比例</w:t>
                        </w:r>
                        <w:r>
                          <w:rPr>
                            <w:rFonts w:ascii="Microsoft JhengHei" w:hAnsi="Microsoft JhengHei" w:cs="Microsoft JhengHei" w:eastAsia="Microsoft JhengHei" w:hint="default"/>
                            <w:sz w:val="18"/>
                            <w:szCs w:val="18"/>
                          </w:rPr>
                        </w:r>
                      </w:p>
                    </w:tc>
                  </w:tr>
                  <w:tr>
                    <w:trPr>
                      <w:trHeight w:val="288" w:hRule="exact"/>
                    </w:trPr>
                    <w:tc>
                      <w:tcPr>
                        <w:tcW w:w="2798"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同方（哈尔滨）水务有限公司</w:t>
                        </w:r>
                      </w:p>
                    </w:tc>
                    <w:tc>
                      <w:tcPr>
                        <w:tcW w:w="1732" w:type="dxa"/>
                        <w:tcBorders>
                          <w:top w:val="single" w:sz="4" w:space="0" w:color="000000"/>
                          <w:left w:val="nil" w:sz="6" w:space="0" w:color="auto"/>
                          <w:bottom w:val="nil" w:sz="6" w:space="0" w:color="auto"/>
                          <w:right w:val="nil" w:sz="6" w:space="0" w:color="auto"/>
                        </w:tcBorders>
                      </w:tcPr>
                      <w:p>
                        <w:pPr>
                          <w:pStyle w:val="TableParagraph"/>
                          <w:spacing w:line="226" w:lineRule="exact"/>
                          <w:ind w:left="48" w:right="0"/>
                          <w:jc w:val="center"/>
                          <w:rPr>
                            <w:rFonts w:ascii="楷体" w:hAnsi="楷体" w:cs="楷体" w:eastAsia="楷体" w:hint="default"/>
                            <w:sz w:val="18"/>
                            <w:szCs w:val="18"/>
                          </w:rPr>
                        </w:pPr>
                        <w:r>
                          <w:rPr>
                            <w:rFonts w:ascii="楷体" w:hAnsi="楷体" w:cs="楷体" w:eastAsia="楷体" w:hint="default"/>
                            <w:sz w:val="18"/>
                            <w:szCs w:val="18"/>
                          </w:rPr>
                          <w:t>非合并关联方</w:t>
                        </w: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67"/>
                          <w:jc w:val="right"/>
                          <w:rPr>
                            <w:rFonts w:ascii="Times New Roman" w:hAnsi="Times New Roman" w:cs="Times New Roman" w:eastAsia="Times New Roman" w:hint="default"/>
                            <w:sz w:val="18"/>
                            <w:szCs w:val="18"/>
                          </w:rPr>
                        </w:pPr>
                        <w:r>
                          <w:rPr>
                            <w:rFonts w:ascii="Times New Roman"/>
                            <w:spacing w:val="-1"/>
                            <w:sz w:val="18"/>
                          </w:rPr>
                          <w:t>102,445,308.50</w:t>
                        </w:r>
                      </w:p>
                    </w:tc>
                    <w:tc>
                      <w:tcPr>
                        <w:tcW w:w="1063" w:type="dxa"/>
                        <w:tcBorders>
                          <w:top w:val="single" w:sz="4" w:space="0" w:color="000000"/>
                          <w:left w:val="nil" w:sz="6" w:space="0" w:color="auto"/>
                          <w:bottom w:val="nil" w:sz="6" w:space="0" w:color="auto"/>
                          <w:right w:val="nil" w:sz="6" w:space="0" w:color="auto"/>
                        </w:tcBorders>
                      </w:tcPr>
                      <w:p>
                        <w:pPr>
                          <w:pStyle w:val="TableParagraph"/>
                          <w:spacing w:line="239" w:lineRule="exact"/>
                          <w:ind w:right="217"/>
                          <w:jc w:val="righ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1"/>
                          <w:jc w:val="center"/>
                          <w:rPr>
                            <w:rFonts w:ascii="Times New Roman" w:hAnsi="Times New Roman" w:cs="Times New Roman" w:eastAsia="Times New Roman" w:hint="default"/>
                            <w:sz w:val="18"/>
                            <w:szCs w:val="18"/>
                          </w:rPr>
                        </w:pPr>
                        <w:r>
                          <w:rPr>
                            <w:rFonts w:ascii="Times New Roman"/>
                            <w:sz w:val="18"/>
                          </w:rPr>
                          <w:t>9.61%</w:t>
                        </w:r>
                      </w:p>
                    </w:tc>
                  </w:tr>
                  <w:tr>
                    <w:trPr>
                      <w:trHeight w:val="283"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佳木斯同方水务有限责任公司</w:t>
                        </w:r>
                      </w:p>
                    </w:tc>
                    <w:tc>
                      <w:tcPr>
                        <w:tcW w:w="1732" w:type="dxa"/>
                        <w:tcBorders>
                          <w:top w:val="nil" w:sz="6" w:space="0" w:color="auto"/>
                          <w:left w:val="nil" w:sz="6" w:space="0" w:color="auto"/>
                          <w:bottom w:val="nil" w:sz="6" w:space="0" w:color="auto"/>
                          <w:right w:val="nil" w:sz="6" w:space="0" w:color="auto"/>
                        </w:tcBorders>
                      </w:tcPr>
                      <w:p>
                        <w:pPr>
                          <w:pStyle w:val="TableParagraph"/>
                          <w:spacing w:line="227" w:lineRule="exact"/>
                          <w:ind w:left="48" w:right="0"/>
                          <w:jc w:val="center"/>
                          <w:rPr>
                            <w:rFonts w:ascii="楷体" w:hAnsi="楷体" w:cs="楷体" w:eastAsia="楷体" w:hint="default"/>
                            <w:sz w:val="18"/>
                            <w:szCs w:val="18"/>
                          </w:rPr>
                        </w:pPr>
                        <w:r>
                          <w:rPr>
                            <w:rFonts w:ascii="楷体" w:hAnsi="楷体" w:cs="楷体" w:eastAsia="楷体" w:hint="default"/>
                            <w:sz w:val="18"/>
                            <w:szCs w:val="18"/>
                          </w:rPr>
                          <w:t>非合并关联方</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7"/>
                          <w:jc w:val="right"/>
                          <w:rPr>
                            <w:rFonts w:ascii="Times New Roman" w:hAnsi="Times New Roman" w:cs="Times New Roman" w:eastAsia="Times New Roman" w:hint="default"/>
                            <w:sz w:val="18"/>
                            <w:szCs w:val="18"/>
                          </w:rPr>
                        </w:pPr>
                        <w:r>
                          <w:rPr>
                            <w:rFonts w:ascii="Times New Roman"/>
                            <w:spacing w:val="-1"/>
                            <w:sz w:val="18"/>
                          </w:rPr>
                          <w:t>100,000,000.00</w:t>
                        </w:r>
                      </w:p>
                    </w:tc>
                    <w:tc>
                      <w:tcPr>
                        <w:tcW w:w="1063" w:type="dxa"/>
                        <w:tcBorders>
                          <w:top w:val="nil" w:sz="6" w:space="0" w:color="auto"/>
                          <w:left w:val="nil" w:sz="6" w:space="0" w:color="auto"/>
                          <w:bottom w:val="nil" w:sz="6" w:space="0" w:color="auto"/>
                          <w:right w:val="nil" w:sz="6" w:space="0" w:color="auto"/>
                        </w:tcBorders>
                      </w:tcPr>
                      <w:p>
                        <w:pPr>
                          <w:pStyle w:val="TableParagraph"/>
                          <w:spacing w:line="241" w:lineRule="exact"/>
                          <w:ind w:right="217"/>
                          <w:jc w:val="righ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1"/>
                          <w:jc w:val="center"/>
                          <w:rPr>
                            <w:rFonts w:ascii="Times New Roman" w:hAnsi="Times New Roman" w:cs="Times New Roman" w:eastAsia="Times New Roman" w:hint="default"/>
                            <w:sz w:val="18"/>
                            <w:szCs w:val="18"/>
                          </w:rPr>
                        </w:pPr>
                        <w:r>
                          <w:rPr>
                            <w:rFonts w:ascii="Times New Roman"/>
                            <w:sz w:val="18"/>
                          </w:rPr>
                          <w:t>9.38%</w:t>
                        </w:r>
                      </w:p>
                    </w:tc>
                  </w:tr>
                  <w:tr>
                    <w:trPr>
                      <w:trHeight w:val="283"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深圳同方股份有限公司</w:t>
                        </w:r>
                      </w:p>
                    </w:tc>
                    <w:tc>
                      <w:tcPr>
                        <w:tcW w:w="1732" w:type="dxa"/>
                        <w:tcBorders>
                          <w:top w:val="nil" w:sz="6" w:space="0" w:color="auto"/>
                          <w:left w:val="nil" w:sz="6" w:space="0" w:color="auto"/>
                          <w:bottom w:val="nil" w:sz="6" w:space="0" w:color="auto"/>
                          <w:right w:val="nil" w:sz="6" w:space="0" w:color="auto"/>
                        </w:tcBorders>
                      </w:tcPr>
                      <w:p>
                        <w:pPr>
                          <w:pStyle w:val="TableParagraph"/>
                          <w:spacing w:line="226" w:lineRule="exact"/>
                          <w:ind w:left="48" w:right="0"/>
                          <w:jc w:val="center"/>
                          <w:rPr>
                            <w:rFonts w:ascii="楷体" w:hAnsi="楷体" w:cs="楷体" w:eastAsia="楷体" w:hint="default"/>
                            <w:sz w:val="18"/>
                            <w:szCs w:val="18"/>
                          </w:rPr>
                        </w:pPr>
                        <w:r>
                          <w:rPr>
                            <w:rFonts w:ascii="楷体" w:hAnsi="楷体" w:cs="楷体" w:eastAsia="楷体" w:hint="default"/>
                            <w:sz w:val="18"/>
                            <w:szCs w:val="18"/>
                          </w:rPr>
                          <w:t>业务关系</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8"/>
                          <w:jc w:val="right"/>
                          <w:rPr>
                            <w:rFonts w:ascii="Times New Roman" w:hAnsi="Times New Roman" w:cs="Times New Roman" w:eastAsia="Times New Roman" w:hint="default"/>
                            <w:sz w:val="18"/>
                            <w:szCs w:val="18"/>
                          </w:rPr>
                        </w:pPr>
                        <w:r>
                          <w:rPr>
                            <w:rFonts w:ascii="Times New Roman"/>
                            <w:spacing w:val="-1"/>
                            <w:sz w:val="18"/>
                          </w:rPr>
                          <w:t>75,847,612.10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exact"/>
                          <w:ind w:right="217"/>
                          <w:jc w:val="right"/>
                          <w:rPr>
                            <w:rFonts w:ascii="楷体" w:hAnsi="楷体" w:cs="楷体" w:eastAsia="楷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年</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1"/>
                          <w:jc w:val="center"/>
                          <w:rPr>
                            <w:rFonts w:ascii="Times New Roman" w:hAnsi="Times New Roman" w:cs="Times New Roman" w:eastAsia="Times New Roman" w:hint="default"/>
                            <w:sz w:val="18"/>
                            <w:szCs w:val="18"/>
                          </w:rPr>
                        </w:pPr>
                        <w:r>
                          <w:rPr>
                            <w:rFonts w:ascii="Times New Roman"/>
                            <w:sz w:val="18"/>
                          </w:rPr>
                          <w:t>7.12%</w:t>
                        </w:r>
                      </w:p>
                    </w:tc>
                  </w:tr>
                  <w:tr>
                    <w:trPr>
                      <w:trHeight w:val="283" w:hRule="exact"/>
                    </w:trPr>
                    <w:tc>
                      <w:tcPr>
                        <w:tcW w:w="279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深圳同方融达科技有限公司</w:t>
                        </w:r>
                      </w:p>
                    </w:tc>
                    <w:tc>
                      <w:tcPr>
                        <w:tcW w:w="1732" w:type="dxa"/>
                        <w:tcBorders>
                          <w:top w:val="nil" w:sz="6" w:space="0" w:color="auto"/>
                          <w:left w:val="nil" w:sz="6" w:space="0" w:color="auto"/>
                          <w:bottom w:val="nil" w:sz="6" w:space="0" w:color="auto"/>
                          <w:right w:val="nil" w:sz="6" w:space="0" w:color="auto"/>
                        </w:tcBorders>
                      </w:tcPr>
                      <w:p>
                        <w:pPr>
                          <w:pStyle w:val="TableParagraph"/>
                          <w:spacing w:line="227" w:lineRule="exact"/>
                          <w:ind w:left="48" w:right="0"/>
                          <w:jc w:val="center"/>
                          <w:rPr>
                            <w:rFonts w:ascii="楷体" w:hAnsi="楷体" w:cs="楷体" w:eastAsia="楷体" w:hint="default"/>
                            <w:sz w:val="18"/>
                            <w:szCs w:val="18"/>
                          </w:rPr>
                        </w:pPr>
                        <w:r>
                          <w:rPr>
                            <w:rFonts w:ascii="楷体" w:hAnsi="楷体" w:cs="楷体" w:eastAsia="楷体" w:hint="default"/>
                            <w:sz w:val="18"/>
                            <w:szCs w:val="18"/>
                          </w:rPr>
                          <w:t>业务关系</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8"/>
                          <w:jc w:val="right"/>
                          <w:rPr>
                            <w:rFonts w:ascii="Times New Roman" w:hAnsi="Times New Roman" w:cs="Times New Roman" w:eastAsia="Times New Roman" w:hint="default"/>
                            <w:sz w:val="18"/>
                            <w:szCs w:val="18"/>
                          </w:rPr>
                        </w:pPr>
                        <w:r>
                          <w:rPr>
                            <w:rFonts w:ascii="Times New Roman"/>
                            <w:spacing w:val="-1"/>
                            <w:sz w:val="18"/>
                          </w:rPr>
                          <w:t>36,605,000.00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exact"/>
                          <w:ind w:right="217"/>
                          <w:jc w:val="right"/>
                          <w:rPr>
                            <w:rFonts w:ascii="楷体" w:hAnsi="楷体" w:cs="楷体" w:eastAsia="楷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年</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1"/>
                          <w:jc w:val="center"/>
                          <w:rPr>
                            <w:rFonts w:ascii="Times New Roman" w:hAnsi="Times New Roman" w:cs="Times New Roman" w:eastAsia="Times New Roman" w:hint="default"/>
                            <w:sz w:val="18"/>
                            <w:szCs w:val="18"/>
                          </w:rPr>
                        </w:pPr>
                        <w:r>
                          <w:rPr>
                            <w:rFonts w:ascii="Times New Roman"/>
                            <w:sz w:val="18"/>
                          </w:rPr>
                          <w:t>3.44%</w:t>
                        </w:r>
                      </w:p>
                    </w:tc>
                  </w:tr>
                  <w:tr>
                    <w:trPr>
                      <w:trHeight w:val="289" w:hRule="exact"/>
                    </w:trPr>
                    <w:tc>
                      <w:tcPr>
                        <w:tcW w:w="2798"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惠州同方水务有限公司</w:t>
                        </w:r>
                      </w:p>
                    </w:tc>
                    <w:tc>
                      <w:tcPr>
                        <w:tcW w:w="1732" w:type="dxa"/>
                        <w:tcBorders>
                          <w:top w:val="nil" w:sz="6" w:space="0" w:color="auto"/>
                          <w:left w:val="nil" w:sz="6" w:space="0" w:color="auto"/>
                          <w:bottom w:val="single" w:sz="4" w:space="0" w:color="000000"/>
                          <w:right w:val="nil" w:sz="6" w:space="0" w:color="auto"/>
                        </w:tcBorders>
                      </w:tcPr>
                      <w:p>
                        <w:pPr>
                          <w:pStyle w:val="TableParagraph"/>
                          <w:spacing w:line="227" w:lineRule="exact"/>
                          <w:ind w:left="48" w:right="0"/>
                          <w:jc w:val="center"/>
                          <w:rPr>
                            <w:rFonts w:ascii="楷体" w:hAnsi="楷体" w:cs="楷体" w:eastAsia="楷体" w:hint="default"/>
                            <w:sz w:val="18"/>
                            <w:szCs w:val="18"/>
                          </w:rPr>
                        </w:pPr>
                        <w:r>
                          <w:rPr>
                            <w:rFonts w:ascii="楷体" w:hAnsi="楷体" w:cs="楷体" w:eastAsia="楷体" w:hint="default"/>
                            <w:sz w:val="18"/>
                            <w:szCs w:val="18"/>
                          </w:rPr>
                          <w:t>非合并关联方</w:t>
                        </w: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68"/>
                          <w:jc w:val="right"/>
                          <w:rPr>
                            <w:rFonts w:ascii="Times New Roman" w:hAnsi="Times New Roman" w:cs="Times New Roman" w:eastAsia="Times New Roman" w:hint="default"/>
                            <w:sz w:val="18"/>
                            <w:szCs w:val="18"/>
                          </w:rPr>
                        </w:pPr>
                        <w:r>
                          <w:rPr>
                            <w:rFonts w:ascii="Times New Roman"/>
                            <w:spacing w:val="-1"/>
                            <w:sz w:val="18"/>
                          </w:rPr>
                          <w:t>36,000,000.00</w:t>
                        </w: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exact"/>
                          <w:ind w:right="217"/>
                          <w:jc w:val="righ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1"/>
                          <w:jc w:val="center"/>
                          <w:rPr>
                            <w:rFonts w:ascii="Times New Roman" w:hAnsi="Times New Roman" w:cs="Times New Roman" w:eastAsia="Times New Roman" w:hint="default"/>
                            <w:sz w:val="18"/>
                            <w:szCs w:val="18"/>
                          </w:rPr>
                        </w:pPr>
                        <w:r>
                          <w:rPr>
                            <w:rFonts w:ascii="Times New Roman"/>
                            <w:sz w:val="18"/>
                          </w:rPr>
                          <w:t>3.38%</w:t>
                        </w:r>
                      </w:p>
                    </w:tc>
                  </w:tr>
                  <w:tr>
                    <w:trPr>
                      <w:trHeight w:val="303" w:hRule="exact"/>
                    </w:trPr>
                    <w:tc>
                      <w:tcPr>
                        <w:tcW w:w="2798"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32" w:type="dxa"/>
                        <w:tcBorders>
                          <w:top w:val="single" w:sz="4" w:space="0" w:color="000000"/>
                          <w:left w:val="nil" w:sz="6" w:space="0" w:color="auto"/>
                          <w:bottom w:val="single" w:sz="12" w:space="0" w:color="000000"/>
                          <w:right w:val="nil" w:sz="6" w:space="0" w:color="auto"/>
                        </w:tcBorders>
                      </w:tcPr>
                      <w:p>
                        <w:pPr/>
                      </w:p>
                    </w:tc>
                    <w:tc>
                      <w:tcPr>
                        <w:tcW w:w="159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67"/>
                          <w:jc w:val="right"/>
                          <w:rPr>
                            <w:rFonts w:ascii="Times New Roman" w:hAnsi="Times New Roman" w:cs="Times New Roman" w:eastAsia="Times New Roman" w:hint="default"/>
                            <w:sz w:val="18"/>
                            <w:szCs w:val="18"/>
                          </w:rPr>
                        </w:pPr>
                        <w:r>
                          <w:rPr>
                            <w:rFonts w:ascii="Times New Roman"/>
                            <w:b/>
                            <w:spacing w:val="-1"/>
                            <w:sz w:val="18"/>
                          </w:rPr>
                          <w:t>350,897,920.60</w:t>
                        </w:r>
                        <w:r>
                          <w:rPr>
                            <w:rFonts w:ascii="Times New Roman"/>
                            <w:spacing w:val="-1"/>
                            <w:sz w:val="18"/>
                          </w:rPr>
                        </w:r>
                      </w:p>
                    </w:tc>
                    <w:tc>
                      <w:tcPr>
                        <w:tcW w:w="1063" w:type="dxa"/>
                        <w:tcBorders>
                          <w:top w:val="single" w:sz="4" w:space="0" w:color="000000"/>
                          <w:left w:val="nil" w:sz="6" w:space="0" w:color="auto"/>
                          <w:bottom w:val="single" w:sz="12" w:space="0" w:color="000000"/>
                          <w:right w:val="nil" w:sz="6" w:space="0" w:color="auto"/>
                        </w:tcBorders>
                      </w:tcPr>
                      <w:p>
                        <w:pP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1"/>
                          <w:jc w:val="center"/>
                          <w:rPr>
                            <w:rFonts w:ascii="Times New Roman" w:hAnsi="Times New Roman" w:cs="Times New Roman" w:eastAsia="Times New Roman" w:hint="default"/>
                            <w:sz w:val="18"/>
                            <w:szCs w:val="18"/>
                          </w:rPr>
                        </w:pPr>
                        <w:r>
                          <w:rPr>
                            <w:rFonts w:ascii="Times New Roman"/>
                            <w:b/>
                            <w:sz w:val="18"/>
                          </w:rPr>
                          <w:t>32.93%</w:t>
                        </w:r>
                        <w:r>
                          <w:rPr>
                            <w:rFonts w:ascii="Times New Roman"/>
                            <w:sz w:val="18"/>
                          </w:rPr>
                        </w:r>
                      </w:p>
                    </w:tc>
                  </w:tr>
                </w:tbl>
                <w:p>
                  <w:pPr/>
                </w:p>
              </w:txbxContent>
            </v:textbox>
            <w10:wrap type="none"/>
          </v:shape>
        </w:pict>
      </w:r>
      <w:r>
        <w:rPr>
          <w:rFonts w:ascii="Microsoft JhengHei" w:hAnsi="Microsoft JhengHei" w:cs="Microsoft JhengHei" w:eastAsia="Microsoft JhengHei" w:hint="default"/>
          <w:b/>
          <w:bCs/>
          <w:sz w:val="18"/>
          <w:szCs w:val="18"/>
        </w:rPr>
        <w:t>单位名称</w:t>
        <w:tab/>
        <w:t>与本公司关系</w:t>
        <w:tab/>
        <w:t>欠款金额</w:t>
        <w:tab/>
        <w:t>欠款年限</w:t>
        <w:tab/>
      </w:r>
      <w:r>
        <w:rPr>
          <w:rFonts w:ascii="Microsoft JhengHei" w:hAnsi="Microsoft JhengHei" w:cs="Microsoft JhengHei" w:eastAsia="Microsoft JhengHei" w:hint="default"/>
          <w:b/>
          <w:bCs/>
          <w:position w:val="10"/>
          <w:sz w:val="18"/>
          <w:szCs w:val="18"/>
        </w:rPr>
        <w:t>占其他应收款</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9"/>
          <w:szCs w:val="29"/>
        </w:rPr>
      </w:pPr>
    </w:p>
    <w:p>
      <w:pPr>
        <w:spacing w:line="307" w:lineRule="auto" w:before="31"/>
        <w:ind w:left="138" w:right="0" w:firstLine="45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 </w:t>
      </w:r>
      <w:r>
        <w:rPr>
          <w:rFonts w:ascii="楷体" w:hAnsi="楷体" w:cs="楷体" w:eastAsia="楷体" w:hint="default"/>
          <w:sz w:val="22"/>
          <w:szCs w:val="22"/>
        </w:rPr>
        <w:t>期末余额中应收关联方款项合计 </w:t>
      </w:r>
      <w:r>
        <w:rPr>
          <w:rFonts w:ascii="Times New Roman" w:hAnsi="Times New Roman" w:cs="Times New Roman" w:eastAsia="Times New Roman" w:hint="default"/>
          <w:sz w:val="22"/>
          <w:szCs w:val="22"/>
        </w:rPr>
        <w:t>321,483,074.25 </w:t>
      </w:r>
      <w:r>
        <w:rPr>
          <w:rFonts w:ascii="楷体" w:hAnsi="楷体" w:cs="楷体" w:eastAsia="楷体" w:hint="default"/>
          <w:spacing w:val="-4"/>
          <w:sz w:val="22"/>
          <w:szCs w:val="22"/>
        </w:rPr>
        <w:t>元，占其他应收款总额的</w:t>
      </w:r>
      <w:r>
        <w:rPr>
          <w:rFonts w:ascii="楷体" w:hAnsi="楷体" w:cs="楷体" w:eastAsia="楷体" w:hint="default"/>
          <w:spacing w:val="-88"/>
          <w:sz w:val="22"/>
          <w:szCs w:val="22"/>
        </w:rPr>
        <w:t> </w:t>
      </w:r>
      <w:r>
        <w:rPr>
          <w:rFonts w:ascii="Times New Roman" w:hAnsi="Times New Roman" w:cs="Times New Roman" w:eastAsia="Times New Roman" w:hint="default"/>
          <w:spacing w:val="-5"/>
          <w:sz w:val="22"/>
          <w:szCs w:val="22"/>
        </w:rPr>
        <w:t>30.17%</w:t>
      </w:r>
      <w:r>
        <w:rPr>
          <w:rFonts w:ascii="楷体" w:hAnsi="楷体" w:cs="楷体" w:eastAsia="楷体" w:hint="default"/>
          <w:spacing w:val="-5"/>
          <w:sz w:val="22"/>
          <w:szCs w:val="22"/>
        </w:rPr>
        <w:t>，详见</w:t>
      </w:r>
      <w:r>
        <w:rPr>
          <w:rFonts w:ascii="楷体" w:hAnsi="楷体" w:cs="楷体" w:eastAsia="楷体" w:hint="default"/>
          <w:w w:val="99"/>
          <w:sz w:val="22"/>
          <w:szCs w:val="22"/>
        </w:rPr>
        <w:t> </w:t>
      </w:r>
      <w:r>
        <w:rPr>
          <w:rFonts w:ascii="楷体" w:hAnsi="楷体" w:cs="楷体" w:eastAsia="楷体" w:hint="default"/>
          <w:spacing w:val="-25"/>
          <w:w w:val="99"/>
          <w:sz w:val="22"/>
          <w:szCs w:val="22"/>
        </w:rPr>
        <w:t>附注十一、（三）。</w:t>
      </w:r>
      <w:r>
        <w:rPr>
          <w:rFonts w:ascii="楷体" w:hAnsi="楷体" w:cs="楷体" w:eastAsia="楷体" w:hint="default"/>
          <w:spacing w:val="-25"/>
          <w:sz w:val="22"/>
          <w:szCs w:val="22"/>
        </w:rPr>
      </w:r>
    </w:p>
    <w:p>
      <w:pPr>
        <w:spacing w:before="118"/>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其他应收款中外币余额</w:t>
      </w:r>
    </w:p>
    <w:p>
      <w:pPr>
        <w:tabs>
          <w:tab w:pos="6889" w:val="left" w:leader="none"/>
        </w:tabs>
        <w:spacing w:before="109"/>
        <w:ind w:left="3270" w:right="0" w:firstLine="0"/>
        <w:jc w:val="left"/>
        <w:rPr>
          <w:rFonts w:ascii="Microsoft JhengHei" w:hAnsi="Microsoft JhengHei" w:cs="Microsoft JhengHei" w:eastAsia="Microsoft JhengHei" w:hint="default"/>
          <w:sz w:val="18"/>
          <w:szCs w:val="18"/>
        </w:rPr>
      </w:pPr>
      <w:r>
        <w:rPr/>
        <w:pict>
          <v:group style="position:absolute;margin-left:85.199997pt;margin-top:8.055532pt;width:431.55pt;height:.1pt;mso-position-horizontal-relative:page;mso-position-vertical-relative:paragraph;z-index:-898768" coordorigin="1704,161" coordsize="8631,2">
            <v:shape style="position:absolute;left:1704;top:161;width:8631;height:2" coordorigin="1704,161" coordsize="8631,0" path="m1704,161l10334,161e" filled="false" stroked="true" strokeweight="1.5pt" strokecolor="#000000">
              <v:path arrowok="t"/>
            </v:shape>
            <w10:wrap type="none"/>
          </v:group>
        </w:pict>
      </w:r>
      <w:r>
        <w:rPr/>
        <w:pict>
          <v:shape style="position:absolute;margin-left:84.839996pt;margin-top:17.690857pt;width:431.9pt;height:93.9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7"/>
                    <w:gridCol w:w="1510"/>
                    <w:gridCol w:w="1043"/>
                    <w:gridCol w:w="1300"/>
                    <w:gridCol w:w="1296"/>
                    <w:gridCol w:w="1065"/>
                    <w:gridCol w:w="1248"/>
                  </w:tblGrid>
                  <w:tr>
                    <w:trPr>
                      <w:trHeight w:val="403" w:hRule="exact"/>
                    </w:trPr>
                    <w:tc>
                      <w:tcPr>
                        <w:tcW w:w="1177"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67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04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9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30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4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06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6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7" w:hRule="exact"/>
                    </w:trPr>
                    <w:tc>
                      <w:tcPr>
                        <w:tcW w:w="117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美元</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25"/>
                          <w:jc w:val="right"/>
                          <w:rPr>
                            <w:rFonts w:ascii="Times New Roman" w:hAnsi="Times New Roman" w:cs="Times New Roman" w:eastAsia="Times New Roman" w:hint="default"/>
                            <w:sz w:val="18"/>
                            <w:szCs w:val="18"/>
                          </w:rPr>
                        </w:pPr>
                        <w:r>
                          <w:rPr>
                            <w:rFonts w:ascii="Times New Roman"/>
                            <w:spacing w:val="-1"/>
                            <w:sz w:val="18"/>
                          </w:rPr>
                          <w:t>1,803,128.23</w:t>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50"/>
                          <w:jc w:val="right"/>
                          <w:rPr>
                            <w:rFonts w:ascii="Times New Roman" w:hAnsi="Times New Roman" w:cs="Times New Roman" w:eastAsia="Times New Roman" w:hint="default"/>
                            <w:sz w:val="18"/>
                            <w:szCs w:val="18"/>
                          </w:rPr>
                        </w:pPr>
                        <w:r>
                          <w:rPr>
                            <w:rFonts w:ascii="Times New Roman"/>
                            <w:sz w:val="18"/>
                          </w:rPr>
                          <w:t>6.8346</w:t>
                        </w:r>
                      </w:p>
                    </w:tc>
                    <w:tc>
                      <w:tcPr>
                        <w:tcW w:w="130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12,323,660.20</w:t>
                        </w: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46"/>
                          <w:jc w:val="right"/>
                          <w:rPr>
                            <w:rFonts w:ascii="Times New Roman" w:hAnsi="Times New Roman" w:cs="Times New Roman" w:eastAsia="Times New Roman" w:hint="default"/>
                            <w:sz w:val="18"/>
                            <w:szCs w:val="18"/>
                          </w:rPr>
                        </w:pPr>
                        <w:r>
                          <w:rPr>
                            <w:rFonts w:ascii="Times New Roman"/>
                            <w:spacing w:val="-1"/>
                            <w:sz w:val="18"/>
                          </w:rPr>
                          <w:t>1,798,441.67</w:t>
                        </w:r>
                      </w:p>
                    </w:tc>
                    <w:tc>
                      <w:tcPr>
                        <w:tcW w:w="10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9"/>
                          <w:jc w:val="right"/>
                          <w:rPr>
                            <w:rFonts w:ascii="Times New Roman" w:hAnsi="Times New Roman" w:cs="Times New Roman" w:eastAsia="Times New Roman" w:hint="default"/>
                            <w:sz w:val="18"/>
                            <w:szCs w:val="18"/>
                          </w:rPr>
                        </w:pPr>
                        <w:r>
                          <w:rPr>
                            <w:rFonts w:ascii="Times New Roman"/>
                            <w:spacing w:val="-1"/>
                            <w:sz w:val="18"/>
                          </w:rPr>
                          <w:t>7.3046</w:t>
                        </w: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13,136,897.02</w:t>
                        </w:r>
                      </w:p>
                    </w:tc>
                  </w:tr>
                  <w:tr>
                    <w:trPr>
                      <w:trHeight w:val="283"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日元</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5"/>
                          <w:jc w:val="right"/>
                          <w:rPr>
                            <w:rFonts w:ascii="Times New Roman" w:hAnsi="Times New Roman" w:cs="Times New Roman" w:eastAsia="Times New Roman" w:hint="default"/>
                            <w:sz w:val="18"/>
                            <w:szCs w:val="18"/>
                          </w:rPr>
                        </w:pPr>
                        <w:r>
                          <w:rPr>
                            <w:rFonts w:ascii="Times New Roman"/>
                            <w:sz w:val="18"/>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0"/>
                          <w:jc w:val="right"/>
                          <w:rPr>
                            <w:rFonts w:ascii="Times New Roman" w:hAnsi="Times New Roman" w:cs="Times New Roman" w:eastAsia="Times New Roman" w:hint="default"/>
                            <w:sz w:val="18"/>
                            <w:szCs w:val="18"/>
                          </w:rPr>
                        </w:pPr>
                        <w:r>
                          <w:rPr>
                            <w:rFonts w:ascii="Times New Roman"/>
                            <w:sz w:val="18"/>
                          </w:rPr>
                          <w:t>0.0757</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z w:val="18"/>
                          </w:rPr>
                          <w:t>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6"/>
                          <w:jc w:val="right"/>
                          <w:rPr>
                            <w:rFonts w:ascii="Times New Roman" w:hAnsi="Times New Roman" w:cs="Times New Roman" w:eastAsia="Times New Roman" w:hint="default"/>
                            <w:sz w:val="18"/>
                            <w:szCs w:val="18"/>
                          </w:rPr>
                        </w:pPr>
                        <w:r>
                          <w:rPr>
                            <w:rFonts w:ascii="Times New Roman"/>
                            <w:spacing w:val="-1"/>
                            <w:sz w:val="18"/>
                          </w:rPr>
                          <w:t>8,949,133.42</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pacing w:val="-1"/>
                            <w:sz w:val="18"/>
                          </w:rPr>
                          <w:t>0.0641</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573,639.45</w:t>
                        </w:r>
                      </w:p>
                    </w:tc>
                  </w:tr>
                  <w:tr>
                    <w:trPr>
                      <w:trHeight w:val="283" w:hRule="exact"/>
                    </w:trPr>
                    <w:tc>
                      <w:tcPr>
                        <w:tcW w:w="117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港元</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5"/>
                          <w:jc w:val="right"/>
                          <w:rPr>
                            <w:rFonts w:ascii="Times New Roman" w:hAnsi="Times New Roman" w:cs="Times New Roman" w:eastAsia="Times New Roman" w:hint="default"/>
                            <w:sz w:val="18"/>
                            <w:szCs w:val="18"/>
                          </w:rPr>
                        </w:pPr>
                        <w:r>
                          <w:rPr>
                            <w:rFonts w:ascii="Times New Roman"/>
                            <w:spacing w:val="-1"/>
                            <w:sz w:val="18"/>
                          </w:rPr>
                          <w:t>21,700,000.00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0"/>
                          <w:jc w:val="right"/>
                          <w:rPr>
                            <w:rFonts w:ascii="Times New Roman" w:hAnsi="Times New Roman" w:cs="Times New Roman" w:eastAsia="Times New Roman" w:hint="default"/>
                            <w:sz w:val="18"/>
                            <w:szCs w:val="18"/>
                          </w:rPr>
                        </w:pPr>
                        <w:r>
                          <w:rPr>
                            <w:rFonts w:ascii="Times New Roman"/>
                            <w:sz w:val="18"/>
                          </w:rPr>
                          <w:t>0.8819</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pacing w:val="-1"/>
                            <w:sz w:val="18"/>
                          </w:rPr>
                          <w:t>19,137,230.00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6"/>
                          <w:jc w:val="right"/>
                          <w:rPr>
                            <w:rFonts w:ascii="Times New Roman" w:hAnsi="Times New Roman" w:cs="Times New Roman" w:eastAsia="Times New Roman" w:hint="default"/>
                            <w:sz w:val="18"/>
                            <w:szCs w:val="18"/>
                          </w:rPr>
                        </w:pPr>
                        <w:r>
                          <w:rPr>
                            <w:rFonts w:ascii="Times New Roman"/>
                            <w:spacing w:val="-1"/>
                            <w:sz w:val="18"/>
                          </w:rPr>
                          <w:t>21,917,587.00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pacing w:val="-1"/>
                            <w:sz w:val="18"/>
                          </w:rPr>
                          <w:t>0.9364</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20,523,628.47</w:t>
                        </w:r>
                      </w:p>
                    </w:tc>
                  </w:tr>
                  <w:tr>
                    <w:trPr>
                      <w:trHeight w:val="289" w:hRule="exact"/>
                    </w:trPr>
                    <w:tc>
                      <w:tcPr>
                        <w:tcW w:w="1177"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欧元</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25"/>
                          <w:jc w:val="right"/>
                          <w:rPr>
                            <w:rFonts w:ascii="Times New Roman" w:hAnsi="Times New Roman" w:cs="Times New Roman" w:eastAsia="Times New Roman" w:hint="default"/>
                            <w:sz w:val="18"/>
                            <w:szCs w:val="18"/>
                          </w:rPr>
                        </w:pPr>
                        <w:r>
                          <w:rPr>
                            <w:rFonts w:ascii="Times New Roman"/>
                            <w:sz w:val="18"/>
                          </w:rPr>
                          <w:t>102,250.00</w:t>
                        </w:r>
                      </w:p>
                    </w:tc>
                    <w:tc>
                      <w:tcPr>
                        <w:tcW w:w="104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50"/>
                          <w:jc w:val="right"/>
                          <w:rPr>
                            <w:rFonts w:ascii="Times New Roman" w:hAnsi="Times New Roman" w:cs="Times New Roman" w:eastAsia="Times New Roman" w:hint="default"/>
                            <w:sz w:val="18"/>
                            <w:szCs w:val="18"/>
                          </w:rPr>
                        </w:pPr>
                        <w:r>
                          <w:rPr>
                            <w:rFonts w:ascii="Times New Roman"/>
                            <w:sz w:val="18"/>
                          </w:rPr>
                          <w:t>9.659</w:t>
                        </w:r>
                      </w:p>
                    </w:tc>
                    <w:tc>
                      <w:tcPr>
                        <w:tcW w:w="130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z w:val="18"/>
                          </w:rPr>
                          <w:t>987,632.75</w:t>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46"/>
                          <w:jc w:val="right"/>
                          <w:rPr>
                            <w:rFonts w:ascii="Times New Roman" w:hAnsi="Times New Roman" w:cs="Times New Roman" w:eastAsia="Times New Roman" w:hint="default"/>
                            <w:sz w:val="18"/>
                            <w:szCs w:val="18"/>
                          </w:rPr>
                        </w:pPr>
                        <w:r>
                          <w:rPr>
                            <w:rFonts w:ascii="Times New Roman"/>
                            <w:sz w:val="18"/>
                          </w:rPr>
                          <w:t>217,904.78</w:t>
                        </w:r>
                      </w:p>
                    </w:tc>
                    <w:tc>
                      <w:tcPr>
                        <w:tcW w:w="106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z w:val="18"/>
                          </w:rPr>
                          <w:t>10.6669</w:t>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2,324,368.50</w:t>
                        </w:r>
                      </w:p>
                    </w:tc>
                  </w:tr>
                  <w:tr>
                    <w:trPr>
                      <w:trHeight w:val="303" w:hRule="exact"/>
                    </w:trPr>
                    <w:tc>
                      <w:tcPr>
                        <w:tcW w:w="117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10" w:type="dxa"/>
                        <w:tcBorders>
                          <w:top w:val="single" w:sz="4" w:space="0" w:color="000000"/>
                          <w:left w:val="nil" w:sz="6" w:space="0" w:color="auto"/>
                          <w:bottom w:val="single" w:sz="12" w:space="0" w:color="000000"/>
                          <w:right w:val="nil" w:sz="6" w:space="0" w:color="auto"/>
                        </w:tcBorders>
                      </w:tcPr>
                      <w:p>
                        <w:pPr/>
                      </w:p>
                    </w:tc>
                    <w:tc>
                      <w:tcPr>
                        <w:tcW w:w="1043" w:type="dxa"/>
                        <w:tcBorders>
                          <w:top w:val="single" w:sz="4" w:space="0" w:color="000000"/>
                          <w:left w:val="nil" w:sz="6" w:space="0" w:color="auto"/>
                          <w:bottom w:val="single" w:sz="12" w:space="0" w:color="000000"/>
                          <w:right w:val="nil" w:sz="6" w:space="0" w:color="auto"/>
                        </w:tcBorders>
                      </w:tcPr>
                      <w:p>
                        <w:pPr/>
                      </w:p>
                    </w:tc>
                    <w:tc>
                      <w:tcPr>
                        <w:tcW w:w="13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9"/>
                          <w:jc w:val="right"/>
                          <w:rPr>
                            <w:rFonts w:ascii="Times New Roman" w:hAnsi="Times New Roman" w:cs="Times New Roman" w:eastAsia="Times New Roman" w:hint="default"/>
                            <w:sz w:val="18"/>
                            <w:szCs w:val="18"/>
                          </w:rPr>
                        </w:pPr>
                        <w:r>
                          <w:rPr>
                            <w:rFonts w:ascii="Times New Roman"/>
                            <w:b/>
                            <w:spacing w:val="-1"/>
                            <w:sz w:val="18"/>
                          </w:rPr>
                          <w:t>32,448,522.95</w:t>
                        </w:r>
                        <w:r>
                          <w:rPr>
                            <w:rFonts w:ascii="Times New Roman"/>
                            <w:spacing w:val="-1"/>
                            <w:sz w:val="18"/>
                          </w:rPr>
                        </w:r>
                      </w:p>
                    </w:tc>
                    <w:tc>
                      <w:tcPr>
                        <w:tcW w:w="1296" w:type="dxa"/>
                        <w:tcBorders>
                          <w:top w:val="single" w:sz="4" w:space="0" w:color="000000"/>
                          <w:left w:val="nil" w:sz="6" w:space="0" w:color="auto"/>
                          <w:bottom w:val="single" w:sz="12" w:space="0" w:color="000000"/>
                          <w:right w:val="nil" w:sz="6" w:space="0" w:color="auto"/>
                        </w:tcBorders>
                      </w:tcPr>
                      <w:p>
                        <w:pPr/>
                      </w:p>
                    </w:tc>
                    <w:tc>
                      <w:tcPr>
                        <w:tcW w:w="1065" w:type="dxa"/>
                        <w:tcBorders>
                          <w:top w:val="single" w:sz="4" w:space="0" w:color="000000"/>
                          <w:left w:val="nil" w:sz="6" w:space="0" w:color="auto"/>
                          <w:bottom w:val="single" w:sz="12" w:space="0" w:color="000000"/>
                          <w:right w:val="nil" w:sz="6" w:space="0" w:color="auto"/>
                        </w:tcBorders>
                      </w:tcPr>
                      <w:p>
                        <w:pPr/>
                      </w:p>
                    </w:tc>
                    <w:tc>
                      <w:tcPr>
                        <w:tcW w:w="12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36,558,533.44</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8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62.35pt;height:.5pt;mso-position-horizontal-relative:char;mso-position-vertical-relative:line" coordorigin="0,0" coordsize="7247,10">
            <v:group style="position:absolute;left:5;top:5;width:7238;height:2" coordorigin="5,5" coordsize="7238,2">
              <v:shape style="position:absolute;left:5;top:5;width:7238;height:2" coordorigin="5,5" coordsize="7238,0" path="m5,5l7242,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1910" w:h="16840"/>
          <w:pgMar w:top="1600" w:bottom="2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4"/>
          <w:szCs w:val="14"/>
        </w:rPr>
      </w:pPr>
    </w:p>
    <w:tbl>
      <w:tblPr>
        <w:tblW w:w="0" w:type="auto"/>
        <w:jc w:val="left"/>
        <w:tblInd w:w="416" w:type="dxa"/>
        <w:tblLayout w:type="fixed"/>
        <w:tblCellMar>
          <w:top w:w="0" w:type="dxa"/>
          <w:left w:w="0" w:type="dxa"/>
          <w:bottom w:w="0" w:type="dxa"/>
          <w:right w:w="0" w:type="dxa"/>
        </w:tblCellMar>
        <w:tblLook w:val="01E0"/>
      </w:tblPr>
      <w:tblGrid>
        <w:gridCol w:w="3290"/>
        <w:gridCol w:w="3184"/>
        <w:gridCol w:w="2163"/>
      </w:tblGrid>
      <w:tr>
        <w:trPr>
          <w:trHeight w:val="965" w:hRule="exact"/>
        </w:trPr>
        <w:tc>
          <w:tcPr>
            <w:tcW w:w="3290" w:type="dxa"/>
            <w:tcBorders>
              <w:top w:val="nil" w:sz="6" w:space="0" w:color="auto"/>
              <w:left w:val="nil" w:sz="6" w:space="0" w:color="auto"/>
              <w:bottom w:val="single" w:sz="12" w:space="0" w:color="000000"/>
              <w:right w:val="nil" w:sz="6" w:space="0" w:color="auto"/>
            </w:tcBorders>
          </w:tcPr>
          <w:p>
            <w:pPr>
              <w:pStyle w:val="TableParagraph"/>
              <w:tabs>
                <w:tab w:pos="628" w:val="left" w:leader="none"/>
              </w:tabs>
              <w:spacing w:line="240" w:lineRule="auto" w:before="31"/>
              <w:ind w:left="161" w:right="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8.</w:t>
              <w:tab/>
            </w:r>
            <w:r>
              <w:rPr>
                <w:rFonts w:ascii="楷体" w:hAnsi="楷体" w:cs="楷体" w:eastAsia="楷体" w:hint="default"/>
                <w:sz w:val="22"/>
                <w:szCs w:val="22"/>
              </w:rPr>
              <w:t>存货及跌价准备</w:t>
            </w:r>
          </w:p>
          <w:p>
            <w:pPr>
              <w:pStyle w:val="TableParagraph"/>
              <w:spacing w:line="240" w:lineRule="auto" w:before="162"/>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存货的类别</w:t>
            </w:r>
          </w:p>
        </w:tc>
        <w:tc>
          <w:tcPr>
            <w:tcW w:w="5347"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29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184"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0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16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29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在途物资</w:t>
            </w:r>
          </w:p>
        </w:tc>
        <w:tc>
          <w:tcPr>
            <w:tcW w:w="318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01"/>
              <w:jc w:val="right"/>
              <w:rPr>
                <w:rFonts w:ascii="Times New Roman" w:hAnsi="Times New Roman" w:cs="Times New Roman" w:eastAsia="Times New Roman" w:hint="default"/>
                <w:sz w:val="18"/>
                <w:szCs w:val="18"/>
              </w:rPr>
            </w:pPr>
            <w:r>
              <w:rPr>
                <w:rFonts w:ascii="Times New Roman"/>
                <w:spacing w:val="-1"/>
                <w:sz w:val="18"/>
              </w:rPr>
              <w:t>15,506,603.20</w:t>
            </w:r>
          </w:p>
        </w:tc>
        <w:tc>
          <w:tcPr>
            <w:tcW w:w="216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pacing w:val="-1"/>
                <w:sz w:val="18"/>
              </w:rPr>
              <w:t>10,181,796.94</w:t>
            </w:r>
          </w:p>
        </w:tc>
      </w:tr>
      <w:tr>
        <w:trPr>
          <w:trHeight w:val="283"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原材料</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1"/>
              <w:jc w:val="right"/>
              <w:rPr>
                <w:rFonts w:ascii="Times New Roman" w:hAnsi="Times New Roman" w:cs="Times New Roman" w:eastAsia="Times New Roman" w:hint="default"/>
                <w:sz w:val="18"/>
                <w:szCs w:val="18"/>
              </w:rPr>
            </w:pPr>
            <w:r>
              <w:rPr>
                <w:rFonts w:ascii="Times New Roman"/>
                <w:spacing w:val="-1"/>
                <w:sz w:val="18"/>
              </w:rPr>
              <w:t>1,025,508,082.44</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744,092,708.06</w:t>
            </w:r>
          </w:p>
        </w:tc>
      </w:tr>
      <w:tr>
        <w:trPr>
          <w:trHeight w:val="283"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包装物</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0"/>
              <w:jc w:val="right"/>
              <w:rPr>
                <w:rFonts w:ascii="Times New Roman" w:hAnsi="Times New Roman" w:cs="Times New Roman" w:eastAsia="Times New Roman" w:hint="default"/>
                <w:sz w:val="18"/>
                <w:szCs w:val="18"/>
              </w:rPr>
            </w:pPr>
            <w:r>
              <w:rPr>
                <w:rFonts w:ascii="Times New Roman"/>
                <w:sz w:val="18"/>
              </w:rPr>
              <w:t>326,104.82</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34,824.69</w:t>
            </w:r>
          </w:p>
        </w:tc>
      </w:tr>
      <w:tr>
        <w:trPr>
          <w:trHeight w:val="283"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低值易耗品</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1"/>
              <w:jc w:val="right"/>
              <w:rPr>
                <w:rFonts w:ascii="Times New Roman" w:hAnsi="Times New Roman" w:cs="Times New Roman" w:eastAsia="Times New Roman" w:hint="default"/>
                <w:sz w:val="18"/>
                <w:szCs w:val="18"/>
              </w:rPr>
            </w:pPr>
            <w:r>
              <w:rPr>
                <w:rFonts w:ascii="Times New Roman"/>
                <w:spacing w:val="-1"/>
                <w:sz w:val="18"/>
              </w:rPr>
              <w:t>3,676,842.30</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793,056.87</w:t>
            </w:r>
          </w:p>
        </w:tc>
      </w:tr>
      <w:tr>
        <w:trPr>
          <w:trHeight w:val="283"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库存商品</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1"/>
              <w:jc w:val="right"/>
              <w:rPr>
                <w:rFonts w:ascii="Times New Roman" w:hAnsi="Times New Roman" w:cs="Times New Roman" w:eastAsia="Times New Roman" w:hint="default"/>
                <w:sz w:val="18"/>
                <w:szCs w:val="18"/>
              </w:rPr>
            </w:pPr>
            <w:r>
              <w:rPr>
                <w:rFonts w:ascii="Times New Roman"/>
                <w:spacing w:val="-1"/>
                <w:sz w:val="18"/>
              </w:rPr>
              <w:t>883,457,168.11</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648,169,389.33</w:t>
            </w:r>
          </w:p>
        </w:tc>
      </w:tr>
      <w:tr>
        <w:trPr>
          <w:trHeight w:val="283"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委托加工物资</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1"/>
              <w:jc w:val="right"/>
              <w:rPr>
                <w:rFonts w:ascii="Times New Roman" w:hAnsi="Times New Roman" w:cs="Times New Roman" w:eastAsia="Times New Roman" w:hint="default"/>
                <w:sz w:val="18"/>
                <w:szCs w:val="18"/>
              </w:rPr>
            </w:pPr>
            <w:r>
              <w:rPr>
                <w:rFonts w:ascii="Times New Roman"/>
                <w:spacing w:val="-1"/>
                <w:sz w:val="18"/>
              </w:rPr>
              <w:t>60,571,630.28</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64,567,260.62</w:t>
            </w:r>
          </w:p>
        </w:tc>
      </w:tr>
      <w:tr>
        <w:trPr>
          <w:trHeight w:val="283"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委托代销商品</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spacing w:val="-1"/>
                <w:sz w:val="18"/>
              </w:rPr>
              <w:t>122,070,100.55</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105,915,746.03</w:t>
            </w:r>
          </w:p>
        </w:tc>
      </w:tr>
      <w:tr>
        <w:trPr>
          <w:trHeight w:val="283"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受托代销商品</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00"/>
              <w:jc w:val="right"/>
              <w:rPr>
                <w:rFonts w:ascii="Times New Roman" w:hAnsi="Times New Roman" w:cs="Times New Roman" w:eastAsia="Times New Roman" w:hint="default"/>
                <w:sz w:val="18"/>
                <w:szCs w:val="18"/>
              </w:rPr>
            </w:pPr>
            <w:r>
              <w:rPr>
                <w:rFonts w:ascii="Times New Roman"/>
                <w:spacing w:val="-1"/>
                <w:sz w:val="18"/>
              </w:rPr>
              <w:t>6,051,720.44</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产成品</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spacing w:val="-1"/>
                <w:sz w:val="18"/>
              </w:rPr>
              <w:t>276,471,440.54</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396,188,420.53</w:t>
            </w:r>
          </w:p>
        </w:tc>
      </w:tr>
      <w:tr>
        <w:trPr>
          <w:trHeight w:val="283"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在产品</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spacing w:val="-1"/>
                <w:sz w:val="18"/>
              </w:rPr>
              <w:t>959,588,008.69</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817,600,691.05</w:t>
            </w:r>
          </w:p>
        </w:tc>
      </w:tr>
      <w:tr>
        <w:trPr>
          <w:trHeight w:val="283"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工程施工</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spacing w:val="-1"/>
                <w:sz w:val="18"/>
              </w:rPr>
              <w:t>625,043,707.16</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680,683,575.00</w:t>
            </w:r>
          </w:p>
        </w:tc>
      </w:tr>
      <w:tr>
        <w:trPr>
          <w:trHeight w:val="283" w:hRule="exact"/>
        </w:trPr>
        <w:tc>
          <w:tcPr>
            <w:tcW w:w="329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发出商品</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spacing w:val="-1"/>
                <w:sz w:val="18"/>
              </w:rPr>
              <w:t>288,503,731.09</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569,219,008.69</w:t>
            </w:r>
          </w:p>
        </w:tc>
      </w:tr>
      <w:tr>
        <w:trPr>
          <w:trHeight w:val="288" w:hRule="exact"/>
        </w:trPr>
        <w:tc>
          <w:tcPr>
            <w:tcW w:w="3290"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自制半成品</w:t>
            </w:r>
          </w:p>
        </w:tc>
        <w:tc>
          <w:tcPr>
            <w:tcW w:w="318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spacing w:val="-1"/>
                <w:sz w:val="18"/>
              </w:rPr>
              <w:t>128,434,770.45</w:t>
            </w:r>
          </w:p>
        </w:tc>
        <w:tc>
          <w:tcPr>
            <w:tcW w:w="216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0.00</w:t>
            </w:r>
          </w:p>
        </w:tc>
      </w:tr>
      <w:tr>
        <w:trPr>
          <w:trHeight w:val="304" w:hRule="exact"/>
        </w:trPr>
        <w:tc>
          <w:tcPr>
            <w:tcW w:w="3290"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01"/>
              <w:jc w:val="right"/>
              <w:rPr>
                <w:rFonts w:ascii="Times New Roman" w:hAnsi="Times New Roman" w:cs="Times New Roman" w:eastAsia="Times New Roman" w:hint="default"/>
                <w:sz w:val="18"/>
                <w:szCs w:val="18"/>
              </w:rPr>
            </w:pPr>
            <w:r>
              <w:rPr>
                <w:rFonts w:ascii="Times New Roman"/>
                <w:b/>
                <w:spacing w:val="-1"/>
                <w:sz w:val="18"/>
              </w:rPr>
              <w:t>4,395,209,910.07</w:t>
            </w:r>
            <w:r>
              <w:rPr>
                <w:rFonts w:ascii="Times New Roman"/>
                <w:spacing w:val="-1"/>
                <w:sz w:val="18"/>
              </w:rPr>
            </w:r>
          </w:p>
        </w:tc>
        <w:tc>
          <w:tcPr>
            <w:tcW w:w="216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b/>
                <w:spacing w:val="-1"/>
                <w:sz w:val="18"/>
              </w:rPr>
              <w:t>4,037,446,477.81</w:t>
            </w:r>
            <w:r>
              <w:rPr>
                <w:rFonts w:ascii="Times New Roman"/>
                <w:spacing w:val="-1"/>
                <w:sz w:val="18"/>
              </w:rPr>
            </w:r>
          </w:p>
        </w:tc>
      </w:tr>
      <w:tr>
        <w:trPr>
          <w:trHeight w:val="509" w:hRule="exact"/>
        </w:trPr>
        <w:tc>
          <w:tcPr>
            <w:tcW w:w="3290"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存货的跌价准备</w:t>
            </w:r>
          </w:p>
        </w:tc>
        <w:tc>
          <w:tcPr>
            <w:tcW w:w="3184" w:type="dxa"/>
            <w:tcBorders>
              <w:top w:val="single" w:sz="12" w:space="0" w:color="000000"/>
              <w:left w:val="nil" w:sz="6" w:space="0" w:color="auto"/>
              <w:bottom w:val="nil" w:sz="6" w:space="0" w:color="auto"/>
              <w:right w:val="nil" w:sz="6" w:space="0" w:color="auto"/>
            </w:tcBorders>
          </w:tcPr>
          <w:p>
            <w:pPr/>
          </w:p>
        </w:tc>
        <w:tc>
          <w:tcPr>
            <w:tcW w:w="2163" w:type="dxa"/>
            <w:tcBorders>
              <w:top w:val="single" w:sz="12" w:space="0" w:color="000000"/>
              <w:left w:val="nil" w:sz="6" w:space="0" w:color="auto"/>
              <w:bottom w:val="nil" w:sz="6" w:space="0" w:color="auto"/>
              <w:right w:val="nil" w:sz="6" w:space="0" w:color="auto"/>
            </w:tcBorders>
          </w:tcPr>
          <w:p>
            <w:pPr/>
          </w:p>
        </w:tc>
      </w:tr>
    </w:tbl>
    <w:p>
      <w:pPr>
        <w:spacing w:line="240" w:lineRule="auto" w:before="17"/>
        <w:rPr>
          <w:rFonts w:ascii="Microsoft JhengHei" w:hAnsi="Microsoft JhengHei" w:cs="Microsoft JhengHei" w:eastAsia="Microsoft JhengHei" w:hint="default"/>
          <w:b/>
          <w:bCs/>
          <w:sz w:val="2"/>
          <w:szCs w:val="2"/>
        </w:rPr>
      </w:pPr>
    </w:p>
    <w:p>
      <w:pPr>
        <w:spacing w:line="30" w:lineRule="exact"/>
        <w:ind w:left="409"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after="0" w:line="30" w:lineRule="exact"/>
        <w:rPr>
          <w:rFonts w:ascii="Microsoft JhengHei" w:hAnsi="Microsoft JhengHei" w:cs="Microsoft JhengHei" w:eastAsia="Microsoft JhengHei" w:hint="default"/>
          <w:sz w:val="3"/>
          <w:szCs w:val="3"/>
        </w:rPr>
        <w:sectPr>
          <w:pgSz w:w="11910" w:h="16840"/>
          <w:pgMar w:header="610" w:footer="784" w:top="1080" w:bottom="980" w:left="1280" w:right="1140"/>
        </w:sectPr>
      </w:pPr>
    </w:p>
    <w:p>
      <w:pPr>
        <w:tabs>
          <w:tab w:pos="2551" w:val="left" w:leader="none"/>
          <w:tab w:pos="3937" w:val="left" w:leader="none"/>
        </w:tabs>
        <w:spacing w:before="65"/>
        <w:ind w:left="524" w:right="-18"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r>
      <w:r>
        <w:rPr>
          <w:rFonts w:ascii="Microsoft JhengHei" w:hAnsi="Microsoft JhengHei" w:cs="Microsoft JhengHei" w:eastAsia="Microsoft JhengHei" w:hint="default"/>
          <w:sz w:val="18"/>
          <w:szCs w:val="18"/>
        </w:rPr>
      </w:r>
    </w:p>
    <w:p>
      <w:pPr>
        <w:spacing w:line="235" w:lineRule="exact" w:before="0"/>
        <w:ind w:left="353"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p>
      <w:pPr>
        <w:tabs>
          <w:tab w:pos="1699" w:val="left" w:leader="none"/>
        </w:tabs>
        <w:spacing w:line="302" w:lineRule="exact" w:before="0"/>
        <w:ind w:left="524" w:right="0" w:firstLine="0"/>
        <w:jc w:val="center"/>
        <w:rPr>
          <w:rFonts w:ascii="Microsoft JhengHei" w:hAnsi="Microsoft JhengHei" w:cs="Microsoft JhengHei" w:eastAsia="Microsoft JhengHei" w:hint="default"/>
          <w:sz w:val="18"/>
          <w:szCs w:val="18"/>
        </w:rPr>
      </w:pPr>
      <w:r>
        <w:rPr/>
        <w:pict>
          <v:group style="position:absolute;margin-left:313.859985pt;margin-top:2.331642pt;width:136pt;height:.5pt;mso-position-horizontal-relative:page;mso-position-vertical-relative:paragraph;z-index:-898624" coordorigin="6277,47" coordsize="2720,10">
            <v:group style="position:absolute;left:6282;top:51;width:1355;height:2" coordorigin="6282,51" coordsize="1355,2">
              <v:shape style="position:absolute;left:6282;top:51;width:1355;height:2" coordorigin="6282,51" coordsize="1355,0" path="m6282,51l7637,51e" filled="false" stroked="true" strokeweight=".48pt" strokecolor="#000000">
                <v:path arrowok="t"/>
              </v:shape>
            </v:group>
            <v:group style="position:absolute;left:7637;top:51;width:1355;height:2" coordorigin="7637,51" coordsize="1355,2">
              <v:shape style="position:absolute;left:7637;top:51;width:1355;height:2" coordorigin="7637,51" coordsize="1355,0" path="m7637,51l8992,51e" filled="false" stroked="true" strokeweight=".48pt" strokecolor="#000000">
                <v:path arrowok="t"/>
              </v:shape>
            </v:group>
            <w10:wrap type="none"/>
          </v:group>
        </w:pict>
      </w:r>
      <w:r>
        <w:rPr>
          <w:rFonts w:ascii="Microsoft JhengHei" w:hAnsi="Microsoft JhengHei" w:cs="Microsoft JhengHei" w:eastAsia="Microsoft JhengHei" w:hint="default"/>
          <w:b/>
          <w:bCs/>
          <w:sz w:val="18"/>
          <w:szCs w:val="18"/>
        </w:rPr>
        <w:t>转回</w:t>
        <w:tab/>
        <w:t>其他转出</w:t>
      </w:r>
      <w:r>
        <w:rPr>
          <w:rFonts w:ascii="Microsoft JhengHei" w:hAnsi="Microsoft JhengHei" w:cs="Microsoft JhengHei" w:eastAsia="Microsoft JhengHei" w:hint="default"/>
          <w:sz w:val="18"/>
          <w:szCs w:val="18"/>
        </w:rPr>
      </w:r>
    </w:p>
    <w:p>
      <w:pPr>
        <w:spacing w:before="65"/>
        <w:ind w:left="524"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600" w:bottom="280" w:left="1280" w:right="1140"/>
          <w:cols w:num="3" w:equalWidth="0">
            <w:col w:w="4660" w:space="315"/>
            <w:col w:w="2422" w:space="106"/>
            <w:col w:w="1987"/>
          </w:cols>
        </w:sectPr>
      </w:pPr>
    </w:p>
    <w:p>
      <w:pPr>
        <w:spacing w:line="240" w:lineRule="auto" w:before="8"/>
        <w:rPr>
          <w:rFonts w:ascii="Microsoft JhengHei" w:hAnsi="Microsoft JhengHei" w:cs="Microsoft JhengHei" w:eastAsia="Microsoft JhengHei" w:hint="default"/>
          <w:b/>
          <w:bCs/>
          <w:sz w:val="2"/>
          <w:szCs w:val="2"/>
        </w:rPr>
      </w:pPr>
    </w:p>
    <w:tbl>
      <w:tblPr>
        <w:tblW w:w="0" w:type="auto"/>
        <w:jc w:val="left"/>
        <w:tblInd w:w="416" w:type="dxa"/>
        <w:tblLayout w:type="fixed"/>
        <w:tblCellMar>
          <w:top w:w="0" w:type="dxa"/>
          <w:left w:w="0" w:type="dxa"/>
          <w:bottom w:w="0" w:type="dxa"/>
          <w:right w:w="0" w:type="dxa"/>
        </w:tblCellMar>
        <w:tblLook w:val="01E0"/>
      </w:tblPr>
      <w:tblGrid>
        <w:gridCol w:w="1569"/>
        <w:gridCol w:w="1688"/>
        <w:gridCol w:w="1427"/>
        <w:gridCol w:w="1380"/>
        <w:gridCol w:w="1239"/>
        <w:gridCol w:w="1335"/>
      </w:tblGrid>
      <w:tr>
        <w:trPr>
          <w:trHeight w:val="287" w:hRule="exact"/>
        </w:trPr>
        <w:tc>
          <w:tcPr>
            <w:tcW w:w="156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在途物资</w:t>
            </w:r>
          </w:p>
        </w:tc>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90"/>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97"/>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829" w:right="0"/>
              <w:jc w:val="left"/>
              <w:rPr>
                <w:rFonts w:ascii="Times New Roman" w:hAnsi="Times New Roman" w:cs="Times New Roman" w:eastAsia="Times New Roman" w:hint="default"/>
                <w:sz w:val="18"/>
                <w:szCs w:val="18"/>
              </w:rPr>
            </w:pPr>
            <w:r>
              <w:rPr>
                <w:rFonts w:ascii="Times New Roman"/>
                <w:sz w:val="18"/>
              </w:rPr>
              <w:t>0.00</w:t>
            </w:r>
          </w:p>
        </w:tc>
        <w:tc>
          <w:tcPr>
            <w:tcW w:w="123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原材料</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pacing w:val="-1"/>
                <w:sz w:val="18"/>
              </w:rPr>
              <w:t>5,827,935.27</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Times New Roman" w:hAnsi="Times New Roman" w:cs="Times New Roman" w:eastAsia="Times New Roman" w:hint="default"/>
                <w:sz w:val="18"/>
                <w:szCs w:val="18"/>
              </w:rPr>
            </w:pPr>
            <w:r>
              <w:rPr>
                <w:rFonts w:ascii="Times New Roman"/>
                <w:spacing w:val="-1"/>
                <w:sz w:val="18"/>
              </w:rPr>
              <w:t>1,866,971.87</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34" w:right="0"/>
              <w:jc w:val="left"/>
              <w:rPr>
                <w:rFonts w:ascii="Times New Roman" w:hAnsi="Times New Roman" w:cs="Times New Roman" w:eastAsia="Times New Roman" w:hint="default"/>
                <w:sz w:val="18"/>
                <w:szCs w:val="18"/>
              </w:rPr>
            </w:pPr>
            <w:r>
              <w:rPr>
                <w:rFonts w:ascii="Times New Roman"/>
                <w:sz w:val="18"/>
              </w:rPr>
              <w:t>183,459.50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67,012.09</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7,444,435.55</w:t>
            </w:r>
          </w:p>
        </w:tc>
      </w:tr>
      <w:tr>
        <w:trPr>
          <w:trHeight w:val="283"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包装物</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7"/>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29" w:right="0"/>
              <w:jc w:val="left"/>
              <w:rPr>
                <w:rFonts w:ascii="Times New Roman" w:hAnsi="Times New Roman" w:cs="Times New Roman" w:eastAsia="Times New Roman" w:hint="default"/>
                <w:sz w:val="18"/>
                <w:szCs w:val="18"/>
              </w:rPr>
            </w:pPr>
            <w:r>
              <w:rPr>
                <w:rFonts w:ascii="Times New Roman"/>
                <w:sz w:val="18"/>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低值易耗品</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0"/>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7"/>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29" w:right="0"/>
              <w:jc w:val="left"/>
              <w:rPr>
                <w:rFonts w:ascii="Times New Roman" w:hAnsi="Times New Roman" w:cs="Times New Roman" w:eastAsia="Times New Roman" w:hint="default"/>
                <w:sz w:val="18"/>
                <w:szCs w:val="18"/>
              </w:rPr>
            </w:pPr>
            <w:r>
              <w:rPr>
                <w:rFonts w:ascii="Times New Roman"/>
                <w:sz w:val="18"/>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库存商品</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pacing w:val="-1"/>
                <w:sz w:val="18"/>
              </w:rPr>
              <w:t>20,082,843.15</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Times New Roman" w:hAnsi="Times New Roman" w:cs="Times New Roman" w:eastAsia="Times New Roman" w:hint="default"/>
                <w:sz w:val="18"/>
                <w:szCs w:val="18"/>
              </w:rPr>
            </w:pPr>
            <w:r>
              <w:rPr>
                <w:rFonts w:ascii="Times New Roman"/>
                <w:spacing w:val="-1"/>
                <w:sz w:val="18"/>
              </w:rPr>
              <w:t>43,400,432.04</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23" w:right="0"/>
              <w:jc w:val="left"/>
              <w:rPr>
                <w:rFonts w:ascii="Times New Roman" w:hAnsi="Times New Roman" w:cs="Times New Roman" w:eastAsia="Times New Roman" w:hint="default"/>
                <w:sz w:val="18"/>
                <w:szCs w:val="18"/>
              </w:rPr>
            </w:pPr>
            <w:r>
              <w:rPr>
                <w:rFonts w:ascii="Times New Roman"/>
                <w:sz w:val="18"/>
              </w:rPr>
              <w:t>14,138.70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32,981,812.81</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30,487,323.68</w:t>
            </w:r>
          </w:p>
        </w:tc>
      </w:tr>
      <w:tr>
        <w:trPr>
          <w:trHeight w:val="283"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委托加工物资</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7"/>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29" w:right="0"/>
              <w:jc w:val="left"/>
              <w:rPr>
                <w:rFonts w:ascii="Times New Roman" w:hAnsi="Times New Roman" w:cs="Times New Roman" w:eastAsia="Times New Roman" w:hint="default"/>
                <w:sz w:val="18"/>
                <w:szCs w:val="18"/>
              </w:rPr>
            </w:pPr>
            <w:r>
              <w:rPr>
                <w:rFonts w:ascii="Times New Roman"/>
                <w:sz w:val="18"/>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委托代销商品</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pacing w:val="-1"/>
                <w:sz w:val="18"/>
              </w:rPr>
              <w:t>5,052,608.81</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7"/>
              <w:jc w:val="right"/>
              <w:rPr>
                <w:rFonts w:ascii="Times New Roman" w:hAnsi="Times New Roman" w:cs="Times New Roman" w:eastAsia="Times New Roman" w:hint="default"/>
                <w:sz w:val="18"/>
                <w:szCs w:val="18"/>
              </w:rPr>
            </w:pPr>
            <w:r>
              <w:rPr>
                <w:rFonts w:ascii="Times New Roman"/>
                <w:spacing w:val="-1"/>
                <w:sz w:val="18"/>
              </w:rPr>
              <w:t>3,229,878.23</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29" w:right="0"/>
              <w:jc w:val="left"/>
              <w:rPr>
                <w:rFonts w:ascii="Times New Roman" w:hAnsi="Times New Roman" w:cs="Times New Roman" w:eastAsia="Times New Roman" w:hint="default"/>
                <w:sz w:val="18"/>
                <w:szCs w:val="18"/>
              </w:rPr>
            </w:pPr>
            <w:r>
              <w:rPr>
                <w:rFonts w:ascii="Times New Roman"/>
                <w:sz w:val="18"/>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8,282,487.04</w:t>
            </w:r>
          </w:p>
        </w:tc>
      </w:tr>
      <w:tr>
        <w:trPr>
          <w:trHeight w:val="283"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受托代销商品</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7"/>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29" w:right="0"/>
              <w:jc w:val="left"/>
              <w:rPr>
                <w:rFonts w:ascii="Times New Roman" w:hAnsi="Times New Roman" w:cs="Times New Roman" w:eastAsia="Times New Roman" w:hint="default"/>
                <w:sz w:val="18"/>
                <w:szCs w:val="18"/>
              </w:rPr>
            </w:pPr>
            <w:r>
              <w:rPr>
                <w:rFonts w:ascii="Times New Roman"/>
                <w:sz w:val="18"/>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产成品</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pacing w:val="-1"/>
                <w:sz w:val="18"/>
              </w:rPr>
              <w:t>18,683,151.78</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Times New Roman" w:hAnsi="Times New Roman" w:cs="Times New Roman" w:eastAsia="Times New Roman" w:hint="default"/>
                <w:sz w:val="18"/>
                <w:szCs w:val="18"/>
              </w:rPr>
            </w:pPr>
            <w:r>
              <w:rPr>
                <w:rFonts w:ascii="Times New Roman"/>
                <w:spacing w:val="-1"/>
                <w:sz w:val="18"/>
              </w:rPr>
              <w:t>1,064,747.85</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29" w:right="0"/>
              <w:jc w:val="left"/>
              <w:rPr>
                <w:rFonts w:ascii="Times New Roman" w:hAnsi="Times New Roman" w:cs="Times New Roman" w:eastAsia="Times New Roman" w:hint="default"/>
                <w:sz w:val="18"/>
                <w:szCs w:val="18"/>
              </w:rPr>
            </w:pPr>
            <w:r>
              <w:rPr>
                <w:rFonts w:ascii="Times New Roman"/>
                <w:sz w:val="18"/>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173,162.29</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19,574,737.34</w:t>
            </w:r>
          </w:p>
        </w:tc>
      </w:tr>
      <w:tr>
        <w:trPr>
          <w:trHeight w:val="283"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在产品</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0"/>
              <w:jc w:val="right"/>
              <w:rPr>
                <w:rFonts w:ascii="Times New Roman" w:hAnsi="Times New Roman" w:cs="Times New Roman" w:eastAsia="Times New Roman" w:hint="default"/>
                <w:sz w:val="18"/>
                <w:szCs w:val="18"/>
              </w:rPr>
            </w:pPr>
            <w:r>
              <w:rPr>
                <w:rFonts w:ascii="Times New Roman"/>
                <w:spacing w:val="-1"/>
                <w:sz w:val="18"/>
              </w:rPr>
              <w:t>41,523,832.31</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7"/>
              <w:jc w:val="right"/>
              <w:rPr>
                <w:rFonts w:ascii="Times New Roman" w:hAnsi="Times New Roman" w:cs="Times New Roman" w:eastAsia="Times New Roman" w:hint="default"/>
                <w:sz w:val="18"/>
                <w:szCs w:val="18"/>
              </w:rPr>
            </w:pPr>
            <w:r>
              <w:rPr>
                <w:rFonts w:ascii="Times New Roman"/>
                <w:sz w:val="18"/>
              </w:rPr>
              <w:t>70,210.26</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29" w:right="0"/>
              <w:jc w:val="left"/>
              <w:rPr>
                <w:rFonts w:ascii="Times New Roman" w:hAnsi="Times New Roman" w:cs="Times New Roman" w:eastAsia="Times New Roman" w:hint="default"/>
                <w:sz w:val="18"/>
                <w:szCs w:val="18"/>
              </w:rPr>
            </w:pPr>
            <w:r>
              <w:rPr>
                <w:rFonts w:ascii="Times New Roman"/>
                <w:sz w:val="18"/>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41,594,042.57</w:t>
            </w:r>
          </w:p>
        </w:tc>
      </w:tr>
      <w:tr>
        <w:trPr>
          <w:trHeight w:val="283"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工程施工</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pacing w:val="-1"/>
                <w:sz w:val="18"/>
              </w:rPr>
              <w:t>10,407,818.08</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Times New Roman" w:hAnsi="Times New Roman" w:cs="Times New Roman" w:eastAsia="Times New Roman" w:hint="default"/>
                <w:sz w:val="18"/>
                <w:szCs w:val="18"/>
              </w:rPr>
            </w:pPr>
            <w:r>
              <w:rPr>
                <w:rFonts w:ascii="Times New Roman"/>
                <w:spacing w:val="-1"/>
                <w:sz w:val="18"/>
              </w:rPr>
              <w:t>5,335,788.62</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99" w:right="0"/>
              <w:jc w:val="left"/>
              <w:rPr>
                <w:rFonts w:ascii="Times New Roman" w:hAnsi="Times New Roman" w:cs="Times New Roman" w:eastAsia="Times New Roman" w:hint="default"/>
                <w:sz w:val="18"/>
                <w:szCs w:val="18"/>
              </w:rPr>
            </w:pPr>
            <w:r>
              <w:rPr>
                <w:rFonts w:ascii="Times New Roman"/>
                <w:sz w:val="18"/>
              </w:rPr>
              <w:t>8,394,412.51</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2,013,405.57</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5,335,788.62</w:t>
            </w:r>
          </w:p>
        </w:tc>
      </w:tr>
      <w:tr>
        <w:trPr>
          <w:trHeight w:val="283"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发出商品</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pacing w:val="-1"/>
                <w:sz w:val="18"/>
              </w:rPr>
              <w:t>17,270,017.55</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7"/>
              <w:jc w:val="right"/>
              <w:rPr>
                <w:rFonts w:ascii="Times New Roman" w:hAnsi="Times New Roman" w:cs="Times New Roman" w:eastAsia="Times New Roman" w:hint="default"/>
                <w:sz w:val="18"/>
                <w:szCs w:val="18"/>
              </w:rPr>
            </w:pPr>
            <w:r>
              <w:rPr>
                <w:rFonts w:ascii="Times New Roman"/>
                <w:spacing w:val="-1"/>
                <w:sz w:val="18"/>
              </w:rPr>
              <w:t>2,270,341.89</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30" w:right="0"/>
              <w:jc w:val="left"/>
              <w:rPr>
                <w:rFonts w:ascii="Times New Roman" w:hAnsi="Times New Roman" w:cs="Times New Roman" w:eastAsia="Times New Roman" w:hint="default"/>
                <w:sz w:val="18"/>
                <w:szCs w:val="18"/>
              </w:rPr>
            </w:pPr>
            <w:r>
              <w:rPr>
                <w:rFonts w:ascii="Times New Roman"/>
                <w:sz w:val="18"/>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7,500,077.31</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12,040,282.13</w:t>
            </w:r>
          </w:p>
        </w:tc>
      </w:tr>
      <w:tr>
        <w:trPr>
          <w:trHeight w:val="289" w:hRule="exact"/>
        </w:trPr>
        <w:tc>
          <w:tcPr>
            <w:tcW w:w="1569"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自制半成品</w:t>
            </w:r>
          </w:p>
        </w:tc>
        <w:tc>
          <w:tcPr>
            <w:tcW w:w="168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97"/>
              <w:jc w:val="right"/>
              <w:rPr>
                <w:rFonts w:ascii="Times New Roman" w:hAnsi="Times New Roman" w:cs="Times New Roman" w:eastAsia="Times New Roman" w:hint="default"/>
                <w:sz w:val="18"/>
                <w:szCs w:val="18"/>
              </w:rPr>
            </w:pPr>
            <w:r>
              <w:rPr>
                <w:rFonts w:ascii="Times New Roman"/>
                <w:sz w:val="18"/>
              </w:rPr>
              <w:t>846,401.47</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423" w:right="0"/>
              <w:jc w:val="left"/>
              <w:rPr>
                <w:rFonts w:ascii="Times New Roman" w:hAnsi="Times New Roman" w:cs="Times New Roman" w:eastAsia="Times New Roman" w:hint="default"/>
                <w:sz w:val="18"/>
                <w:szCs w:val="18"/>
              </w:rPr>
            </w:pPr>
            <w:r>
              <w:rPr>
                <w:rFonts w:ascii="Times New Roman"/>
                <w:sz w:val="18"/>
              </w:rPr>
              <w:t>30,880.00</w:t>
            </w:r>
          </w:p>
        </w:tc>
        <w:tc>
          <w:tcPr>
            <w:tcW w:w="123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392.00</w:t>
            </w: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815,129.47</w:t>
            </w:r>
          </w:p>
        </w:tc>
      </w:tr>
      <w:tr>
        <w:trPr>
          <w:trHeight w:val="303" w:hRule="exact"/>
        </w:trPr>
        <w:tc>
          <w:tcPr>
            <w:tcW w:w="156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89"/>
              <w:jc w:val="right"/>
              <w:rPr>
                <w:rFonts w:ascii="Times New Roman" w:hAnsi="Times New Roman" w:cs="Times New Roman" w:eastAsia="Times New Roman" w:hint="default"/>
                <w:sz w:val="18"/>
                <w:szCs w:val="18"/>
              </w:rPr>
            </w:pPr>
            <w:r>
              <w:rPr>
                <w:rFonts w:ascii="Times New Roman"/>
                <w:b/>
                <w:spacing w:val="-1"/>
                <w:sz w:val="18"/>
              </w:rPr>
              <w:t>118,848,206.95</w:t>
            </w:r>
            <w:r>
              <w:rPr>
                <w:rFonts w:ascii="Times New Roman"/>
                <w:spacing w:val="-1"/>
                <w:sz w:val="18"/>
              </w:rPr>
            </w:r>
          </w:p>
        </w:tc>
        <w:tc>
          <w:tcPr>
            <w:tcW w:w="14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98"/>
              <w:jc w:val="right"/>
              <w:rPr>
                <w:rFonts w:ascii="Times New Roman" w:hAnsi="Times New Roman" w:cs="Times New Roman" w:eastAsia="Times New Roman" w:hint="default"/>
                <w:sz w:val="18"/>
                <w:szCs w:val="18"/>
              </w:rPr>
            </w:pPr>
            <w:r>
              <w:rPr>
                <w:rFonts w:ascii="Times New Roman"/>
                <w:b/>
                <w:spacing w:val="-1"/>
                <w:sz w:val="18"/>
              </w:rPr>
              <w:t>58,084,772.23</w:t>
            </w:r>
            <w:r>
              <w:rPr>
                <w:rFonts w:ascii="Times New Roman"/>
                <w:spacing w:val="-1"/>
                <w:sz w:val="18"/>
              </w:rPr>
            </w:r>
          </w:p>
        </w:tc>
        <w:tc>
          <w:tcPr>
            <w:tcW w:w="138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99" w:right="0"/>
              <w:jc w:val="left"/>
              <w:rPr>
                <w:rFonts w:ascii="Times New Roman" w:hAnsi="Times New Roman" w:cs="Times New Roman" w:eastAsia="Times New Roman" w:hint="default"/>
                <w:sz w:val="18"/>
                <w:szCs w:val="18"/>
              </w:rPr>
            </w:pPr>
            <w:r>
              <w:rPr>
                <w:rFonts w:ascii="Times New Roman"/>
                <w:b/>
                <w:sz w:val="18"/>
              </w:rPr>
              <w:t>8,622,890.71</w:t>
            </w:r>
            <w:r>
              <w:rPr>
                <w:rFonts w:ascii="Times New Roman"/>
                <w:sz w:val="18"/>
              </w:rPr>
            </w:r>
          </w:p>
        </w:tc>
        <w:tc>
          <w:tcPr>
            <w:tcW w:w="123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b/>
                <w:spacing w:val="-1"/>
                <w:sz w:val="18"/>
              </w:rPr>
              <w:t>42,735,862.07</w:t>
            </w:r>
            <w:r>
              <w:rPr>
                <w:rFonts w:ascii="Times New Roman"/>
                <w:spacing w:val="-1"/>
                <w:sz w:val="18"/>
              </w:rPr>
            </w:r>
          </w:p>
        </w:tc>
        <w:tc>
          <w:tcPr>
            <w:tcW w:w="13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125,574,226.40</w:t>
            </w:r>
            <w:r>
              <w:rPr>
                <w:rFonts w:ascii="Times New Roman"/>
                <w:spacing w:val="-1"/>
                <w:sz w:val="18"/>
              </w:rPr>
            </w:r>
          </w:p>
        </w:tc>
      </w:tr>
      <w:tr>
        <w:trPr>
          <w:trHeight w:val="528" w:hRule="exact"/>
        </w:trPr>
        <w:tc>
          <w:tcPr>
            <w:tcW w:w="468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9"/>
              <w:ind w:left="161" w:right="0"/>
              <w:jc w:val="left"/>
              <w:rPr>
                <w:rFonts w:ascii="楷体" w:hAnsi="楷体" w:cs="楷体" w:eastAsia="楷体" w:hint="default"/>
                <w:sz w:val="22"/>
                <w:szCs w:val="22"/>
              </w:rPr>
            </w:pPr>
            <w:r>
              <w:rPr>
                <w:rFonts w:ascii="楷体" w:hAnsi="楷体" w:cs="楷体" w:eastAsia="楷体" w:hint="default"/>
                <w:sz w:val="22"/>
                <w:szCs w:val="22"/>
              </w:rPr>
              <w:t>存货跌价准备的计提方法参见本附注四、</w:t>
            </w:r>
            <w:r>
              <w:rPr>
                <w:rFonts w:ascii="Times New Roman" w:hAnsi="Times New Roman" w:cs="Times New Roman" w:eastAsia="Times New Roman" w:hint="default"/>
                <w:sz w:val="22"/>
                <w:szCs w:val="22"/>
              </w:rPr>
              <w:t>8</w:t>
            </w:r>
            <w:r>
              <w:rPr>
                <w:rFonts w:ascii="楷体" w:hAnsi="楷体" w:cs="楷体" w:eastAsia="楷体" w:hint="default"/>
                <w:sz w:val="22"/>
                <w:szCs w:val="22"/>
              </w:rPr>
              <w:t>。</w:t>
            </w:r>
          </w:p>
        </w:tc>
        <w:tc>
          <w:tcPr>
            <w:tcW w:w="1380" w:type="dxa"/>
            <w:tcBorders>
              <w:top w:val="nil" w:sz="6" w:space="0" w:color="auto"/>
              <w:left w:val="nil" w:sz="6" w:space="0" w:color="auto"/>
              <w:bottom w:val="nil" w:sz="6" w:space="0" w:color="auto"/>
              <w:right w:val="nil" w:sz="6" w:space="0" w:color="auto"/>
            </w:tcBorders>
          </w:tcPr>
          <w:p>
            <w:pPr/>
          </w:p>
        </w:tc>
        <w:tc>
          <w:tcPr>
            <w:tcW w:w="2574" w:type="dxa"/>
            <w:gridSpan w:val="2"/>
            <w:tcBorders>
              <w:top w:val="nil" w:sz="6" w:space="0" w:color="auto"/>
              <w:left w:val="nil" w:sz="6" w:space="0" w:color="auto"/>
              <w:bottom w:val="nil" w:sz="6" w:space="0" w:color="auto"/>
              <w:right w:val="nil" w:sz="6" w:space="0" w:color="auto"/>
            </w:tcBorders>
          </w:tcPr>
          <w:p>
            <w:pPr/>
          </w:p>
        </w:tc>
      </w:tr>
      <w:tr>
        <w:trPr>
          <w:trHeight w:val="516" w:hRule="exact"/>
        </w:trPr>
        <w:tc>
          <w:tcPr>
            <w:tcW w:w="4684" w:type="dxa"/>
            <w:gridSpan w:val="3"/>
            <w:tcBorders>
              <w:top w:val="nil" w:sz="6" w:space="0" w:color="auto"/>
              <w:left w:val="nil" w:sz="6" w:space="0" w:color="auto"/>
              <w:bottom w:val="single" w:sz="12" w:space="0" w:color="000000"/>
              <w:right w:val="nil" w:sz="6" w:space="0" w:color="auto"/>
            </w:tcBorders>
          </w:tcPr>
          <w:p>
            <w:pPr>
              <w:pStyle w:val="TableParagraph"/>
              <w:tabs>
                <w:tab w:pos="629" w:val="left" w:leader="none"/>
              </w:tabs>
              <w:spacing w:line="240" w:lineRule="auto" w:before="50"/>
              <w:ind w:left="162" w:right="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9.</w:t>
              <w:tab/>
            </w:r>
            <w:r>
              <w:rPr>
                <w:rFonts w:ascii="楷体" w:hAnsi="楷体" w:cs="楷体" w:eastAsia="楷体" w:hint="default"/>
                <w:sz w:val="22"/>
                <w:szCs w:val="22"/>
              </w:rPr>
              <w:t>可供出售金融资产</w:t>
            </w:r>
          </w:p>
        </w:tc>
        <w:tc>
          <w:tcPr>
            <w:tcW w:w="1380" w:type="dxa"/>
            <w:tcBorders>
              <w:top w:val="nil" w:sz="6" w:space="0" w:color="auto"/>
              <w:left w:val="nil" w:sz="6" w:space="0" w:color="auto"/>
              <w:bottom w:val="single" w:sz="12" w:space="0" w:color="000000"/>
              <w:right w:val="nil" w:sz="6" w:space="0" w:color="auto"/>
            </w:tcBorders>
          </w:tcPr>
          <w:p>
            <w:pPr/>
          </w:p>
        </w:tc>
        <w:tc>
          <w:tcPr>
            <w:tcW w:w="2574"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4684" w:type="dxa"/>
            <w:gridSpan w:val="3"/>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380"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9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年末公允价值</w:t>
            </w:r>
            <w:r>
              <w:rPr>
                <w:rFonts w:ascii="Microsoft JhengHei" w:hAnsi="Microsoft JhengHei" w:cs="Microsoft JhengHei" w:eastAsia="Microsoft JhengHei" w:hint="default"/>
                <w:sz w:val="18"/>
                <w:szCs w:val="18"/>
              </w:rPr>
            </w:r>
          </w:p>
        </w:tc>
        <w:tc>
          <w:tcPr>
            <w:tcW w:w="2574"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3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年初公允价值</w:t>
            </w:r>
            <w:r>
              <w:rPr>
                <w:rFonts w:ascii="Microsoft JhengHei" w:hAnsi="Microsoft JhengHei" w:cs="Microsoft JhengHei" w:eastAsia="Microsoft JhengHei" w:hint="default"/>
                <w:sz w:val="18"/>
                <w:szCs w:val="18"/>
              </w:rPr>
            </w:r>
          </w:p>
        </w:tc>
      </w:tr>
      <w:tr>
        <w:trPr>
          <w:trHeight w:val="287" w:hRule="exact"/>
        </w:trPr>
        <w:tc>
          <w:tcPr>
            <w:tcW w:w="4684" w:type="dxa"/>
            <w:gridSpan w:val="3"/>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可供出售权益工具</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2"/>
              <w:jc w:val="right"/>
              <w:rPr>
                <w:rFonts w:ascii="Times New Roman" w:hAnsi="Times New Roman" w:cs="Times New Roman" w:eastAsia="Times New Roman" w:hint="default"/>
                <w:sz w:val="18"/>
                <w:szCs w:val="18"/>
              </w:rPr>
            </w:pPr>
            <w:r>
              <w:rPr>
                <w:rFonts w:ascii="Times New Roman"/>
                <w:spacing w:val="-1"/>
                <w:sz w:val="18"/>
              </w:rPr>
              <w:t>5,455,165.32</w:t>
            </w:r>
          </w:p>
        </w:tc>
        <w:tc>
          <w:tcPr>
            <w:tcW w:w="257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1436" w:right="0"/>
              <w:jc w:val="left"/>
              <w:rPr>
                <w:rFonts w:ascii="Times New Roman" w:hAnsi="Times New Roman" w:cs="Times New Roman" w:eastAsia="Times New Roman" w:hint="default"/>
                <w:sz w:val="18"/>
                <w:szCs w:val="18"/>
              </w:rPr>
            </w:pPr>
            <w:r>
              <w:rPr>
                <w:rFonts w:ascii="Times New Roman"/>
                <w:sz w:val="18"/>
              </w:rPr>
              <w:t>27,253,121.49</w:t>
            </w:r>
          </w:p>
        </w:tc>
      </w:tr>
      <w:tr>
        <w:trPr>
          <w:trHeight w:val="283" w:hRule="exact"/>
        </w:trPr>
        <w:tc>
          <w:tcPr>
            <w:tcW w:w="4684"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其中：北京银行股份有限公司股权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spacing w:val="-1"/>
                <w:sz w:val="18"/>
              </w:rPr>
              <w:t>5,455,165.32</w:t>
            </w:r>
          </w:p>
        </w:tc>
        <w:tc>
          <w:tcPr>
            <w:tcW w:w="25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36" w:right="0"/>
              <w:jc w:val="left"/>
              <w:rPr>
                <w:rFonts w:ascii="Times New Roman" w:hAnsi="Times New Roman" w:cs="Times New Roman" w:eastAsia="Times New Roman" w:hint="default"/>
                <w:sz w:val="18"/>
                <w:szCs w:val="18"/>
              </w:rPr>
            </w:pPr>
            <w:r>
              <w:rPr>
                <w:rFonts w:ascii="Times New Roman"/>
                <w:sz w:val="18"/>
              </w:rPr>
              <w:t>12,465,450.72</w:t>
            </w:r>
          </w:p>
        </w:tc>
      </w:tr>
      <w:tr>
        <w:trPr>
          <w:trHeight w:val="289" w:hRule="exact"/>
        </w:trPr>
        <w:tc>
          <w:tcPr>
            <w:tcW w:w="4684" w:type="dxa"/>
            <w:gridSpan w:val="3"/>
            <w:tcBorders>
              <w:top w:val="nil" w:sz="6" w:space="0" w:color="auto"/>
              <w:left w:val="nil" w:sz="6" w:space="0" w:color="auto"/>
              <w:bottom w:val="single" w:sz="4" w:space="0" w:color="000000"/>
              <w:right w:val="nil" w:sz="6" w:space="0" w:color="auto"/>
            </w:tcBorders>
          </w:tcPr>
          <w:p>
            <w:pPr>
              <w:pStyle w:val="TableParagraph"/>
              <w:spacing w:line="227" w:lineRule="exact"/>
              <w:ind w:left="648" w:right="0"/>
              <w:jc w:val="left"/>
              <w:rPr>
                <w:rFonts w:ascii="楷体" w:hAnsi="楷体" w:cs="楷体" w:eastAsia="楷体" w:hint="default"/>
                <w:sz w:val="18"/>
                <w:szCs w:val="18"/>
              </w:rPr>
            </w:pPr>
            <w:r>
              <w:rPr>
                <w:rFonts w:ascii="楷体" w:hAnsi="楷体" w:cs="楷体" w:eastAsia="楷体" w:hint="default"/>
                <w:sz w:val="18"/>
                <w:szCs w:val="18"/>
              </w:rPr>
              <w:t>北京首都旅游股份有限公司股权</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sz w:val="18"/>
              </w:rPr>
              <w:t>0.00</w:t>
            </w:r>
          </w:p>
        </w:tc>
        <w:tc>
          <w:tcPr>
            <w:tcW w:w="257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1436" w:right="0"/>
              <w:jc w:val="left"/>
              <w:rPr>
                <w:rFonts w:ascii="Times New Roman" w:hAnsi="Times New Roman" w:cs="Times New Roman" w:eastAsia="Times New Roman" w:hint="default"/>
                <w:sz w:val="18"/>
                <w:szCs w:val="18"/>
              </w:rPr>
            </w:pPr>
            <w:r>
              <w:rPr>
                <w:rFonts w:ascii="Times New Roman"/>
                <w:sz w:val="18"/>
              </w:rPr>
              <w:t>14,787,670.77</w:t>
            </w:r>
          </w:p>
        </w:tc>
      </w:tr>
      <w:tr>
        <w:trPr>
          <w:trHeight w:val="303" w:hRule="exact"/>
        </w:trPr>
        <w:tc>
          <w:tcPr>
            <w:tcW w:w="4684" w:type="dxa"/>
            <w:gridSpan w:val="3"/>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8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2"/>
              <w:jc w:val="right"/>
              <w:rPr>
                <w:rFonts w:ascii="Times New Roman" w:hAnsi="Times New Roman" w:cs="Times New Roman" w:eastAsia="Times New Roman" w:hint="default"/>
                <w:sz w:val="18"/>
                <w:szCs w:val="18"/>
              </w:rPr>
            </w:pPr>
            <w:r>
              <w:rPr>
                <w:rFonts w:ascii="Times New Roman"/>
                <w:b/>
                <w:spacing w:val="-1"/>
                <w:sz w:val="18"/>
              </w:rPr>
              <w:t>5,455,165.32</w:t>
            </w:r>
            <w:r>
              <w:rPr>
                <w:rFonts w:ascii="Times New Roman"/>
                <w:spacing w:val="-1"/>
                <w:sz w:val="18"/>
              </w:rPr>
            </w:r>
          </w:p>
        </w:tc>
        <w:tc>
          <w:tcPr>
            <w:tcW w:w="2574"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437" w:right="0"/>
              <w:jc w:val="left"/>
              <w:rPr>
                <w:rFonts w:ascii="Times New Roman" w:hAnsi="Times New Roman" w:cs="Times New Roman" w:eastAsia="Times New Roman" w:hint="default"/>
                <w:sz w:val="18"/>
                <w:szCs w:val="18"/>
              </w:rPr>
            </w:pPr>
            <w:r>
              <w:rPr>
                <w:rFonts w:ascii="Times New Roman"/>
                <w:b/>
                <w:sz w:val="18"/>
              </w:rPr>
              <w:t>27,253,121.49</w:t>
            </w:r>
            <w:r>
              <w:rPr>
                <w:rFonts w:ascii="Times New Roman"/>
                <w:sz w:val="18"/>
              </w:rPr>
            </w:r>
          </w:p>
        </w:tc>
      </w:tr>
    </w:tbl>
    <w:p>
      <w:pPr>
        <w:spacing w:before="79"/>
        <w:ind w:left="578" w:right="0" w:firstLine="0"/>
        <w:jc w:val="left"/>
        <w:rPr>
          <w:rFonts w:ascii="楷体" w:hAnsi="楷体" w:cs="楷体" w:eastAsia="楷体" w:hint="default"/>
          <w:sz w:val="22"/>
          <w:szCs w:val="22"/>
        </w:rPr>
      </w:pPr>
      <w:r>
        <w:rPr>
          <w:rFonts w:ascii="楷体" w:hAnsi="楷体" w:cs="楷体" w:eastAsia="楷体" w:hint="default"/>
          <w:sz w:val="22"/>
          <w:szCs w:val="22"/>
        </w:rPr>
        <w:t>北京银行股份有限公司于</w:t>
      </w:r>
      <w:r>
        <w:rPr>
          <w:rFonts w:ascii="楷体" w:hAnsi="楷体" w:cs="楷体" w:eastAsia="楷体" w:hint="default"/>
          <w:spacing w:val="-62"/>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年</w:t>
      </w:r>
      <w:r>
        <w:rPr>
          <w:rFonts w:ascii="楷体" w:hAnsi="楷体" w:cs="楷体" w:eastAsia="楷体" w:hint="default"/>
          <w:spacing w:val="-63"/>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月</w:t>
      </w:r>
      <w:r>
        <w:rPr>
          <w:rFonts w:ascii="楷体" w:hAnsi="楷体" w:cs="楷体" w:eastAsia="楷体" w:hint="default"/>
          <w:spacing w:val="-62"/>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8"/>
          <w:sz w:val="22"/>
          <w:szCs w:val="22"/>
        </w:rPr>
        <w:t> </w:t>
      </w:r>
      <w:r>
        <w:rPr>
          <w:rFonts w:ascii="楷体" w:hAnsi="楷体" w:cs="楷体" w:eastAsia="楷体" w:hint="default"/>
          <w:sz w:val="22"/>
          <w:szCs w:val="22"/>
        </w:rPr>
        <w:t>日首次公开发行股票，因此本公司持有该公司的发</w:t>
      </w:r>
    </w:p>
    <w:p>
      <w:pPr>
        <w:spacing w:after="0"/>
        <w:jc w:val="left"/>
        <w:rPr>
          <w:rFonts w:ascii="楷体" w:hAnsi="楷体" w:cs="楷体" w:eastAsia="楷体" w:hint="default"/>
          <w:sz w:val="22"/>
          <w:szCs w:val="22"/>
        </w:rPr>
        <w:sectPr>
          <w:type w:val="continuous"/>
          <w:pgSz w:w="11910" w:h="16840"/>
          <w:pgMar w:top="1600" w:bottom="2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558" w:right="0" w:firstLine="0"/>
        <w:jc w:val="left"/>
        <w:rPr>
          <w:rFonts w:ascii="楷体" w:hAnsi="楷体" w:cs="楷体" w:eastAsia="楷体" w:hint="default"/>
          <w:sz w:val="22"/>
          <w:szCs w:val="22"/>
        </w:rPr>
      </w:pPr>
      <w:r>
        <w:rPr>
          <w:rFonts w:ascii="楷体" w:hAnsi="楷体" w:cs="楷体" w:eastAsia="楷体" w:hint="default"/>
          <w:sz w:val="22"/>
          <w:szCs w:val="22"/>
        </w:rPr>
        <w:t>起人股自</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年</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日开始参照流通股股票公开报价确定其公允价值。</w:t>
      </w:r>
    </w:p>
    <w:p>
      <w:pPr>
        <w:spacing w:before="162"/>
        <w:ind w:left="998" w:right="0" w:firstLine="0"/>
        <w:jc w:val="left"/>
        <w:rPr>
          <w:rFonts w:ascii="楷体" w:hAnsi="楷体" w:cs="楷体" w:eastAsia="楷体" w:hint="default"/>
          <w:sz w:val="22"/>
          <w:szCs w:val="22"/>
        </w:rPr>
      </w:pPr>
      <w:r>
        <w:rPr>
          <w:rFonts w:ascii="楷体" w:hAnsi="楷体" w:cs="楷体" w:eastAsia="楷体" w:hint="default"/>
          <w:sz w:val="22"/>
          <w:szCs w:val="22"/>
        </w:rPr>
        <w:t>首都旅游股份有限公司已于</w:t>
      </w:r>
      <w:r>
        <w:rPr>
          <w:rFonts w:ascii="楷体" w:hAnsi="楷体" w:cs="楷体" w:eastAsia="楷体" w:hint="default"/>
          <w:spacing w:val="-62"/>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年</w:t>
      </w:r>
      <w:r>
        <w:rPr>
          <w:rFonts w:ascii="楷体" w:hAnsi="楷体" w:cs="楷体" w:eastAsia="楷体" w:hint="default"/>
          <w:spacing w:val="-62"/>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月</w:t>
      </w:r>
      <w:r>
        <w:rPr>
          <w:rFonts w:ascii="楷体" w:hAnsi="楷体" w:cs="楷体" w:eastAsia="楷体" w:hint="default"/>
          <w:spacing w:val="-63"/>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日完成股权分置改革，本公司持有的该公司股改</w:t>
      </w:r>
    </w:p>
    <w:p>
      <w:pPr>
        <w:spacing w:before="85"/>
        <w:ind w:left="558" w:right="0" w:firstLine="0"/>
        <w:jc w:val="left"/>
        <w:rPr>
          <w:rFonts w:ascii="楷体" w:hAnsi="楷体" w:cs="楷体" w:eastAsia="楷体" w:hint="default"/>
          <w:sz w:val="22"/>
          <w:szCs w:val="22"/>
        </w:rPr>
      </w:pPr>
      <w:r>
        <w:rPr>
          <w:rFonts w:ascii="楷体" w:hAnsi="楷体" w:cs="楷体" w:eastAsia="楷体" w:hint="default"/>
          <w:sz w:val="22"/>
          <w:szCs w:val="22"/>
        </w:rPr>
        <w:t>限售流通股于</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1"/>
          <w:sz w:val="22"/>
          <w:szCs w:val="22"/>
        </w:rPr>
        <w:t> </w:t>
      </w:r>
      <w:r>
        <w:rPr>
          <w:rFonts w:ascii="楷体" w:hAnsi="楷体" w:cs="楷体" w:eastAsia="楷体" w:hint="default"/>
          <w:spacing w:val="-4"/>
          <w:sz w:val="22"/>
          <w:szCs w:val="22"/>
        </w:rPr>
        <w:t>日解除限售，本公司于</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月出售了所持该公司的所有股票。</w:t>
      </w:r>
    </w:p>
    <w:p>
      <w:pPr>
        <w:spacing w:line="240" w:lineRule="auto" w:before="1"/>
        <w:rPr>
          <w:rFonts w:ascii="楷体" w:hAnsi="楷体" w:cs="楷体" w:eastAsia="楷体" w:hint="default"/>
          <w:sz w:val="10"/>
          <w:szCs w:val="10"/>
        </w:rPr>
      </w:pPr>
    </w:p>
    <w:tbl>
      <w:tblPr>
        <w:tblW w:w="0" w:type="auto"/>
        <w:jc w:val="left"/>
        <w:tblInd w:w="836" w:type="dxa"/>
        <w:tblLayout w:type="fixed"/>
        <w:tblCellMar>
          <w:top w:w="0" w:type="dxa"/>
          <w:left w:w="0" w:type="dxa"/>
          <w:bottom w:w="0" w:type="dxa"/>
          <w:right w:w="0" w:type="dxa"/>
        </w:tblCellMar>
        <w:tblLook w:val="01E0"/>
      </w:tblPr>
      <w:tblGrid>
        <w:gridCol w:w="4211"/>
        <w:gridCol w:w="2524"/>
        <w:gridCol w:w="1902"/>
      </w:tblGrid>
      <w:tr>
        <w:trPr>
          <w:trHeight w:val="512" w:hRule="exact"/>
        </w:trPr>
        <w:tc>
          <w:tcPr>
            <w:tcW w:w="4211"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10.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持有至到期投资</w:t>
            </w:r>
          </w:p>
        </w:tc>
        <w:tc>
          <w:tcPr>
            <w:tcW w:w="4427"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42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2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90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421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理财产品</w:t>
            </w: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40"/>
              <w:jc w:val="right"/>
              <w:rPr>
                <w:rFonts w:ascii="Times New Roman" w:hAnsi="Times New Roman" w:cs="Times New Roman" w:eastAsia="Times New Roman" w:hint="default"/>
                <w:sz w:val="18"/>
                <w:szCs w:val="18"/>
              </w:rPr>
            </w:pPr>
            <w:r>
              <w:rPr>
                <w:rFonts w:ascii="Times New Roman"/>
                <w:sz w:val="18"/>
              </w:rPr>
              <w:t>0.00</w:t>
            </w:r>
          </w:p>
        </w:tc>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289" w:hRule="exact"/>
        </w:trPr>
        <w:tc>
          <w:tcPr>
            <w:tcW w:w="4211"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委托贷款</w:t>
            </w:r>
          </w:p>
        </w:tc>
        <w:tc>
          <w:tcPr>
            <w:tcW w:w="252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39"/>
              <w:jc w:val="right"/>
              <w:rPr>
                <w:rFonts w:ascii="Times New Roman" w:hAnsi="Times New Roman" w:cs="Times New Roman" w:eastAsia="Times New Roman" w:hint="default"/>
                <w:sz w:val="18"/>
                <w:szCs w:val="18"/>
              </w:rPr>
            </w:pPr>
            <w:r>
              <w:rPr>
                <w:rFonts w:ascii="Times New Roman"/>
                <w:spacing w:val="-1"/>
                <w:sz w:val="18"/>
              </w:rPr>
              <w:t>169,769,353.50</w:t>
            </w:r>
          </w:p>
        </w:tc>
        <w:tc>
          <w:tcPr>
            <w:tcW w:w="190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177,628,361.50</w:t>
            </w:r>
          </w:p>
        </w:tc>
      </w:tr>
      <w:tr>
        <w:trPr>
          <w:trHeight w:val="303" w:hRule="exact"/>
        </w:trPr>
        <w:tc>
          <w:tcPr>
            <w:tcW w:w="421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40"/>
              <w:jc w:val="right"/>
              <w:rPr>
                <w:rFonts w:ascii="Times New Roman" w:hAnsi="Times New Roman" w:cs="Times New Roman" w:eastAsia="Times New Roman" w:hint="default"/>
                <w:sz w:val="18"/>
                <w:szCs w:val="18"/>
              </w:rPr>
            </w:pPr>
            <w:r>
              <w:rPr>
                <w:rFonts w:ascii="Times New Roman"/>
                <w:b/>
                <w:spacing w:val="-1"/>
                <w:sz w:val="18"/>
              </w:rPr>
              <w:t>169,769,353.50</w:t>
            </w:r>
            <w:r>
              <w:rPr>
                <w:rFonts w:ascii="Times New Roman"/>
                <w:spacing w:val="-1"/>
                <w:sz w:val="18"/>
              </w:rPr>
            </w:r>
          </w:p>
        </w:tc>
        <w:tc>
          <w:tcPr>
            <w:tcW w:w="19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217,628,361.50</w:t>
            </w:r>
            <w:r>
              <w:rPr>
                <w:rFonts w:ascii="Times New Roman"/>
                <w:spacing w:val="-1"/>
                <w:sz w:val="18"/>
              </w:rPr>
            </w:r>
          </w:p>
        </w:tc>
      </w:tr>
      <w:tr>
        <w:trPr>
          <w:trHeight w:val="576" w:hRule="exact"/>
        </w:trPr>
        <w:tc>
          <w:tcPr>
            <w:tcW w:w="42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11.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长期应收款</w:t>
            </w:r>
          </w:p>
        </w:tc>
        <w:tc>
          <w:tcPr>
            <w:tcW w:w="2524" w:type="dxa"/>
            <w:tcBorders>
              <w:top w:val="single" w:sz="12" w:space="0" w:color="000000"/>
              <w:left w:val="nil" w:sz="6" w:space="0" w:color="auto"/>
              <w:bottom w:val="single" w:sz="12" w:space="0" w:color="000000"/>
              <w:right w:val="nil" w:sz="6" w:space="0" w:color="auto"/>
            </w:tcBorders>
          </w:tcPr>
          <w:p>
            <w:pPr/>
          </w:p>
        </w:tc>
        <w:tc>
          <w:tcPr>
            <w:tcW w:w="1902"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2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2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90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421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融资租赁</w:t>
            </w: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40"/>
              <w:jc w:val="right"/>
              <w:rPr>
                <w:rFonts w:ascii="Times New Roman" w:hAnsi="Times New Roman" w:cs="Times New Roman" w:eastAsia="Times New Roman" w:hint="default"/>
                <w:sz w:val="18"/>
                <w:szCs w:val="18"/>
              </w:rPr>
            </w:pPr>
            <w:r>
              <w:rPr>
                <w:rFonts w:ascii="Times New Roman"/>
                <w:sz w:val="18"/>
              </w:rPr>
              <w:t>0.00</w:t>
            </w:r>
          </w:p>
        </w:tc>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4211"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分期收款销售商品</w:t>
            </w:r>
          </w:p>
        </w:tc>
        <w:tc>
          <w:tcPr>
            <w:tcW w:w="252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40"/>
              <w:jc w:val="right"/>
              <w:rPr>
                <w:rFonts w:ascii="Times New Roman" w:hAnsi="Times New Roman" w:cs="Times New Roman" w:eastAsia="Times New Roman" w:hint="default"/>
                <w:sz w:val="18"/>
                <w:szCs w:val="18"/>
              </w:rPr>
            </w:pPr>
            <w:r>
              <w:rPr>
                <w:rFonts w:ascii="Times New Roman"/>
                <w:spacing w:val="-1"/>
                <w:sz w:val="18"/>
              </w:rPr>
              <w:t>7,029,359.55</w:t>
            </w:r>
          </w:p>
        </w:tc>
        <w:tc>
          <w:tcPr>
            <w:tcW w:w="190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9,634,490.20</w:t>
            </w:r>
          </w:p>
        </w:tc>
      </w:tr>
      <w:tr>
        <w:trPr>
          <w:trHeight w:val="303" w:hRule="exact"/>
        </w:trPr>
        <w:tc>
          <w:tcPr>
            <w:tcW w:w="421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40"/>
              <w:jc w:val="right"/>
              <w:rPr>
                <w:rFonts w:ascii="Times New Roman" w:hAnsi="Times New Roman" w:cs="Times New Roman" w:eastAsia="Times New Roman" w:hint="default"/>
                <w:sz w:val="18"/>
                <w:szCs w:val="18"/>
              </w:rPr>
            </w:pPr>
            <w:r>
              <w:rPr>
                <w:rFonts w:ascii="Times New Roman"/>
                <w:b/>
                <w:spacing w:val="-1"/>
                <w:sz w:val="18"/>
              </w:rPr>
              <w:t>7,029,359.55</w:t>
            </w:r>
            <w:r>
              <w:rPr>
                <w:rFonts w:ascii="Times New Roman"/>
                <w:spacing w:val="-1"/>
                <w:sz w:val="18"/>
              </w:rPr>
            </w:r>
          </w:p>
        </w:tc>
        <w:tc>
          <w:tcPr>
            <w:tcW w:w="19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9,634,490.20</w:t>
            </w:r>
            <w:r>
              <w:rPr>
                <w:rFonts w:ascii="Times New Roman"/>
                <w:spacing w:val="-1"/>
                <w:sz w:val="18"/>
              </w:rPr>
            </w:r>
          </w:p>
        </w:tc>
      </w:tr>
      <w:tr>
        <w:trPr>
          <w:trHeight w:val="528" w:hRule="exact"/>
        </w:trPr>
        <w:tc>
          <w:tcPr>
            <w:tcW w:w="4211"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12.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长期股权投资</w:t>
            </w:r>
          </w:p>
        </w:tc>
        <w:tc>
          <w:tcPr>
            <w:tcW w:w="2524" w:type="dxa"/>
            <w:tcBorders>
              <w:top w:val="single" w:sz="12" w:space="0" w:color="000000"/>
              <w:left w:val="nil" w:sz="6" w:space="0" w:color="auto"/>
              <w:bottom w:val="nil" w:sz="6" w:space="0" w:color="auto"/>
              <w:right w:val="nil" w:sz="6" w:space="0" w:color="auto"/>
            </w:tcBorders>
          </w:tcPr>
          <w:p>
            <w:pPr/>
          </w:p>
        </w:tc>
        <w:tc>
          <w:tcPr>
            <w:tcW w:w="1902"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4211"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4"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长期股权投资</w:t>
            </w:r>
          </w:p>
        </w:tc>
        <w:tc>
          <w:tcPr>
            <w:tcW w:w="2524" w:type="dxa"/>
            <w:tcBorders>
              <w:top w:val="nil" w:sz="6" w:space="0" w:color="auto"/>
              <w:left w:val="nil" w:sz="6" w:space="0" w:color="auto"/>
              <w:bottom w:val="single" w:sz="12" w:space="0" w:color="000000"/>
              <w:right w:val="nil" w:sz="6" w:space="0" w:color="auto"/>
            </w:tcBorders>
          </w:tcPr>
          <w:p>
            <w:pPr/>
          </w:p>
        </w:tc>
        <w:tc>
          <w:tcPr>
            <w:tcW w:w="1902"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42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2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90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421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按成本法核算长期股权投资</w:t>
            </w: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38"/>
              <w:jc w:val="right"/>
              <w:rPr>
                <w:rFonts w:ascii="Times New Roman" w:hAnsi="Times New Roman" w:cs="Times New Roman" w:eastAsia="Times New Roman" w:hint="default"/>
                <w:sz w:val="18"/>
                <w:szCs w:val="18"/>
              </w:rPr>
            </w:pPr>
            <w:r>
              <w:rPr>
                <w:rFonts w:ascii="Times New Roman"/>
                <w:spacing w:val="-1"/>
                <w:sz w:val="18"/>
              </w:rPr>
              <w:t>141,507,329.79</w:t>
            </w:r>
          </w:p>
        </w:tc>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86,646,903.32</w:t>
            </w:r>
          </w:p>
        </w:tc>
      </w:tr>
      <w:tr>
        <w:trPr>
          <w:trHeight w:val="283"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按权益法核算长期股权投资</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0"/>
              <w:jc w:val="right"/>
              <w:rPr>
                <w:rFonts w:ascii="Times New Roman" w:hAnsi="Times New Roman" w:cs="Times New Roman" w:eastAsia="Times New Roman" w:hint="default"/>
                <w:sz w:val="18"/>
                <w:szCs w:val="18"/>
              </w:rPr>
            </w:pPr>
            <w:r>
              <w:rPr>
                <w:rFonts w:ascii="Times New Roman"/>
                <w:spacing w:val="-1"/>
                <w:sz w:val="18"/>
              </w:rPr>
              <w:t>1,090,453,283.14</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1,401,190,933.49</w:t>
            </w:r>
          </w:p>
        </w:tc>
      </w:tr>
      <w:tr>
        <w:trPr>
          <w:trHeight w:val="283"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长期股权投资合计</w:t>
            </w:r>
            <w:r>
              <w:rPr>
                <w:rFonts w:ascii="Microsoft JhengHei" w:hAnsi="Microsoft JhengHei" w:cs="Microsoft JhengHei" w:eastAsia="Microsoft JhengHei" w:hint="default"/>
                <w:sz w:val="18"/>
                <w:szCs w:val="18"/>
              </w:rPr>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0"/>
              <w:jc w:val="right"/>
              <w:rPr>
                <w:rFonts w:ascii="Times New Roman" w:hAnsi="Times New Roman" w:cs="Times New Roman" w:eastAsia="Times New Roman" w:hint="default"/>
                <w:sz w:val="18"/>
                <w:szCs w:val="18"/>
              </w:rPr>
            </w:pPr>
            <w:r>
              <w:rPr>
                <w:rFonts w:ascii="Times New Roman"/>
                <w:b/>
                <w:spacing w:val="-1"/>
                <w:sz w:val="18"/>
              </w:rPr>
              <w:t>1,231,960,612.93</w:t>
            </w:r>
            <w:r>
              <w:rPr>
                <w:rFonts w:ascii="Times New Roman"/>
                <w:spacing w:val="-1"/>
                <w:sz w:val="18"/>
              </w:rPr>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1,487,837,836.81</w:t>
            </w:r>
            <w:r>
              <w:rPr>
                <w:rFonts w:ascii="Times New Roman"/>
                <w:spacing w:val="-1"/>
                <w:sz w:val="18"/>
              </w:rPr>
            </w:r>
          </w:p>
        </w:tc>
      </w:tr>
      <w:tr>
        <w:trPr>
          <w:trHeight w:val="289" w:hRule="exact"/>
        </w:trPr>
        <w:tc>
          <w:tcPr>
            <w:tcW w:w="4211"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减：长期股权投资减值准备</w:t>
            </w:r>
          </w:p>
        </w:tc>
        <w:tc>
          <w:tcPr>
            <w:tcW w:w="252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40"/>
              <w:jc w:val="right"/>
              <w:rPr>
                <w:rFonts w:ascii="Times New Roman" w:hAnsi="Times New Roman" w:cs="Times New Roman" w:eastAsia="Times New Roman" w:hint="default"/>
                <w:sz w:val="18"/>
                <w:szCs w:val="18"/>
              </w:rPr>
            </w:pPr>
            <w:r>
              <w:rPr>
                <w:rFonts w:ascii="Times New Roman"/>
                <w:spacing w:val="-1"/>
                <w:sz w:val="18"/>
              </w:rPr>
              <w:t>2,926,084.20</w:t>
            </w:r>
          </w:p>
        </w:tc>
        <w:tc>
          <w:tcPr>
            <w:tcW w:w="190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2,741,550.00</w:t>
            </w:r>
          </w:p>
        </w:tc>
      </w:tr>
      <w:tr>
        <w:trPr>
          <w:trHeight w:val="303" w:hRule="exact"/>
        </w:trPr>
        <w:tc>
          <w:tcPr>
            <w:tcW w:w="421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长期股权投资净值</w:t>
            </w:r>
            <w:r>
              <w:rPr>
                <w:rFonts w:ascii="Microsoft JhengHei" w:hAnsi="Microsoft JhengHei" w:cs="Microsoft JhengHei" w:eastAsia="Microsoft JhengHei" w:hint="default"/>
                <w:sz w:val="18"/>
                <w:szCs w:val="18"/>
              </w:rPr>
            </w:r>
          </w:p>
        </w:tc>
        <w:tc>
          <w:tcPr>
            <w:tcW w:w="2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40"/>
              <w:jc w:val="right"/>
              <w:rPr>
                <w:rFonts w:ascii="Times New Roman" w:hAnsi="Times New Roman" w:cs="Times New Roman" w:eastAsia="Times New Roman" w:hint="default"/>
                <w:sz w:val="18"/>
                <w:szCs w:val="18"/>
              </w:rPr>
            </w:pPr>
            <w:r>
              <w:rPr>
                <w:rFonts w:ascii="Times New Roman"/>
                <w:b/>
                <w:spacing w:val="-1"/>
                <w:sz w:val="18"/>
              </w:rPr>
              <w:t>1,229,034,528.73</w:t>
            </w:r>
            <w:r>
              <w:rPr>
                <w:rFonts w:ascii="Times New Roman"/>
                <w:spacing w:val="-1"/>
                <w:sz w:val="18"/>
              </w:rPr>
            </w:r>
          </w:p>
        </w:tc>
        <w:tc>
          <w:tcPr>
            <w:tcW w:w="19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1,485,096,286.81</w:t>
            </w:r>
            <w:r>
              <w:rPr>
                <w:rFonts w:ascii="Times New Roman"/>
                <w:spacing w:val="-1"/>
                <w:sz w:val="18"/>
              </w:rPr>
            </w:r>
          </w:p>
        </w:tc>
      </w:tr>
      <w:tr>
        <w:trPr>
          <w:trHeight w:val="509" w:hRule="exact"/>
        </w:trPr>
        <w:tc>
          <w:tcPr>
            <w:tcW w:w="4211"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按成本法核算的长期股权投资</w:t>
            </w:r>
          </w:p>
        </w:tc>
        <w:tc>
          <w:tcPr>
            <w:tcW w:w="2524" w:type="dxa"/>
            <w:tcBorders>
              <w:top w:val="single" w:sz="12" w:space="0" w:color="000000"/>
              <w:left w:val="nil" w:sz="6" w:space="0" w:color="auto"/>
              <w:bottom w:val="nil" w:sz="6" w:space="0" w:color="auto"/>
              <w:right w:val="nil" w:sz="6" w:space="0" w:color="auto"/>
            </w:tcBorders>
          </w:tcPr>
          <w:p>
            <w:pPr/>
          </w:p>
        </w:tc>
        <w:tc>
          <w:tcPr>
            <w:tcW w:w="1902" w:type="dxa"/>
            <w:tcBorders>
              <w:top w:val="single" w:sz="12" w:space="0" w:color="000000"/>
              <w:left w:val="nil" w:sz="6" w:space="0" w:color="auto"/>
              <w:bottom w:val="nil" w:sz="6" w:space="0" w:color="auto"/>
              <w:right w:val="nil" w:sz="6" w:space="0" w:color="auto"/>
            </w:tcBorders>
          </w:tcPr>
          <w:p>
            <w:pPr/>
          </w:p>
        </w:tc>
      </w:tr>
    </w:tbl>
    <w:p>
      <w:pPr>
        <w:spacing w:line="240" w:lineRule="auto" w:before="12"/>
        <w:rPr>
          <w:rFonts w:ascii="楷体" w:hAnsi="楷体" w:cs="楷体" w:eastAsia="楷体" w:hint="default"/>
          <w:sz w:val="3"/>
          <w:szCs w:val="3"/>
        </w:rPr>
      </w:pPr>
    </w:p>
    <w:p>
      <w:pPr>
        <w:spacing w:line="30" w:lineRule="exact"/>
        <w:ind w:left="117" w:right="0" w:firstLine="0"/>
        <w:rPr>
          <w:rFonts w:ascii="楷体" w:hAnsi="楷体" w:cs="楷体" w:eastAsia="楷体" w:hint="default"/>
          <w:sz w:val="3"/>
          <w:szCs w:val="3"/>
        </w:rPr>
      </w:pPr>
      <w:r>
        <w:rPr>
          <w:rFonts w:ascii="楷体" w:hAnsi="楷体" w:cs="楷体" w:eastAsia="楷体" w:hint="default"/>
          <w:position w:val="0"/>
          <w:sz w:val="3"/>
          <w:szCs w:val="3"/>
        </w:rPr>
        <w:pict>
          <v:group style="width:503.85pt;height:1.5pt;mso-position-horizontal-relative:char;mso-position-vertical-relative:line" coordorigin="0,0" coordsize="10077,30">
            <v:group style="position:absolute;left:15;top:15;width:10047;height:2" coordorigin="15,15" coordsize="10047,2">
              <v:shape style="position:absolute;left:15;top:15;width:10047;height:2" coordorigin="15,15" coordsize="10047,0" path="m15,15l10061,15e" filled="false" stroked="true" strokeweight="1.5pt" strokecolor="#000000">
                <v:path arrowok="t"/>
              </v:shape>
            </v:group>
          </v:group>
        </w:pict>
      </w:r>
      <w:r>
        <w:rPr>
          <w:rFonts w:ascii="楷体" w:hAnsi="楷体" w:cs="楷体" w:eastAsia="楷体" w:hint="default"/>
          <w:position w:val="0"/>
          <w:sz w:val="3"/>
          <w:szCs w:val="3"/>
        </w:rPr>
      </w:r>
    </w:p>
    <w:p>
      <w:pPr>
        <w:spacing w:after="0" w:line="30" w:lineRule="exact"/>
        <w:rPr>
          <w:rFonts w:ascii="楷体" w:hAnsi="楷体" w:cs="楷体" w:eastAsia="楷体" w:hint="default"/>
          <w:sz w:val="3"/>
          <w:szCs w:val="3"/>
        </w:rPr>
        <w:sectPr>
          <w:pgSz w:w="11910" w:h="16840"/>
          <w:pgMar w:header="610" w:footer="784" w:top="1080" w:bottom="980" w:left="860" w:right="740"/>
        </w:sectPr>
      </w:pPr>
    </w:p>
    <w:p>
      <w:pPr>
        <w:tabs>
          <w:tab w:pos="2775" w:val="left" w:leader="none"/>
          <w:tab w:pos="3646" w:val="left" w:leader="none"/>
        </w:tabs>
        <w:spacing w:line="127" w:lineRule="auto" w:before="80"/>
        <w:ind w:left="2775" w:right="0" w:hanging="2536"/>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被投资单位名称</w:t>
        <w:tab/>
      </w:r>
      <w:r>
        <w:rPr>
          <w:rFonts w:ascii="Microsoft JhengHei" w:hAnsi="Microsoft JhengHei" w:cs="Microsoft JhengHei" w:eastAsia="Microsoft JhengHei" w:hint="default"/>
          <w:b/>
          <w:bCs/>
          <w:position w:val="10"/>
          <w:sz w:val="16"/>
          <w:szCs w:val="16"/>
        </w:rPr>
        <w:t>持股</w:t>
        <w:tab/>
        <w:t>初始</w:t>
      </w:r>
      <w:r>
        <w:rPr>
          <w:rFonts w:ascii="Microsoft JhengHei" w:hAnsi="Microsoft JhengHei" w:cs="Microsoft JhengHei" w:eastAsia="Microsoft JhengHei" w:hint="default"/>
          <w:b/>
          <w:bCs/>
          <w:spacing w:val="1"/>
          <w:w w:val="99"/>
          <w:position w:val="10"/>
          <w:sz w:val="16"/>
          <w:szCs w:val="16"/>
        </w:rPr>
        <w:t> </w:t>
      </w:r>
      <w:r>
        <w:rPr>
          <w:rFonts w:ascii="Microsoft JhengHei" w:hAnsi="Microsoft JhengHei" w:cs="Microsoft JhengHei" w:eastAsia="Microsoft JhengHei" w:hint="default"/>
          <w:b/>
          <w:bCs/>
          <w:sz w:val="16"/>
          <w:szCs w:val="16"/>
        </w:rPr>
        <w:t>比例</w:t>
        <w:tab/>
        <w:t>金额</w:t>
      </w:r>
      <w:r>
        <w:rPr>
          <w:rFonts w:ascii="Microsoft JhengHei" w:hAnsi="Microsoft JhengHei" w:cs="Microsoft JhengHei" w:eastAsia="Microsoft JhengHei" w:hint="default"/>
          <w:sz w:val="16"/>
          <w:szCs w:val="16"/>
        </w:rPr>
      </w:r>
    </w:p>
    <w:p>
      <w:pPr>
        <w:tabs>
          <w:tab w:pos="1225" w:val="left" w:leader="none"/>
        </w:tabs>
        <w:spacing w:line="161" w:lineRule="exact" w:before="0"/>
        <w:ind w:left="240" w:right="-18" w:firstLine="0"/>
        <w:jc w:val="left"/>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追加</w:t>
        <w:tab/>
        <w:t>年初</w:t>
      </w:r>
      <w:r>
        <w:rPr>
          <w:rFonts w:ascii="Microsoft JhengHei" w:hAnsi="Microsoft JhengHei" w:cs="Microsoft JhengHei" w:eastAsia="Microsoft JhengHei" w:hint="default"/>
          <w:sz w:val="16"/>
          <w:szCs w:val="16"/>
        </w:rPr>
      </w:r>
    </w:p>
    <w:p>
      <w:pPr>
        <w:tabs>
          <w:tab w:pos="1225" w:val="left" w:leader="none"/>
        </w:tabs>
        <w:spacing w:line="239" w:lineRule="exact" w:before="0"/>
        <w:ind w:left="240" w:right="-18"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金额</w:t>
      </w:r>
      <w:r>
        <w:rPr>
          <w:rFonts w:ascii="Microsoft JhengHei" w:hAnsi="Microsoft JhengHei" w:cs="Microsoft JhengHei" w:eastAsia="Microsoft JhengHei" w:hint="default"/>
          <w:sz w:val="16"/>
          <w:szCs w:val="16"/>
        </w:rPr>
      </w:r>
    </w:p>
    <w:p>
      <w:pPr>
        <w:tabs>
          <w:tab w:pos="1201" w:val="left" w:leader="none"/>
        </w:tabs>
        <w:spacing w:line="161" w:lineRule="exact" w:before="0"/>
        <w:ind w:left="240" w:right="-18" w:firstLine="0"/>
        <w:jc w:val="left"/>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本年</w:t>
        <w:tab/>
        <w:t>本年</w:t>
      </w:r>
      <w:r>
        <w:rPr>
          <w:rFonts w:ascii="Microsoft JhengHei" w:hAnsi="Microsoft JhengHei" w:cs="Microsoft JhengHei" w:eastAsia="Microsoft JhengHei" w:hint="default"/>
          <w:sz w:val="16"/>
          <w:szCs w:val="16"/>
        </w:rPr>
      </w:r>
    </w:p>
    <w:p>
      <w:pPr>
        <w:tabs>
          <w:tab w:pos="1201" w:val="left" w:leader="none"/>
        </w:tabs>
        <w:spacing w:line="239" w:lineRule="exact" w:before="0"/>
        <w:ind w:left="240" w:right="-18"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增加</w:t>
        <w:tab/>
        <w:t>减少</w:t>
      </w:r>
      <w:r>
        <w:rPr>
          <w:rFonts w:ascii="Microsoft JhengHei" w:hAnsi="Microsoft JhengHei" w:cs="Microsoft JhengHei" w:eastAsia="Microsoft JhengHei" w:hint="default"/>
          <w:sz w:val="16"/>
          <w:szCs w:val="16"/>
        </w:rPr>
      </w:r>
    </w:p>
    <w:p>
      <w:pPr>
        <w:tabs>
          <w:tab w:pos="1129" w:val="left" w:leader="none"/>
        </w:tabs>
        <w:spacing w:line="161" w:lineRule="exact" w:before="0"/>
        <w:ind w:left="240" w:right="0" w:firstLine="0"/>
        <w:jc w:val="left"/>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年末</w:t>
        <w:tab/>
        <w:t>本年现</w:t>
      </w:r>
      <w:r>
        <w:rPr>
          <w:rFonts w:ascii="Microsoft JhengHei" w:hAnsi="Microsoft JhengHei" w:cs="Microsoft JhengHei" w:eastAsia="Microsoft JhengHei" w:hint="default"/>
          <w:sz w:val="16"/>
          <w:szCs w:val="16"/>
        </w:rPr>
      </w:r>
    </w:p>
    <w:p>
      <w:pPr>
        <w:tabs>
          <w:tab w:pos="1129" w:val="left" w:leader="none"/>
        </w:tabs>
        <w:spacing w:line="239" w:lineRule="exact" w:before="0"/>
        <w:ind w:left="240"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金红利</w:t>
      </w:r>
      <w:r>
        <w:rPr>
          <w:rFonts w:ascii="Microsoft JhengHei" w:hAnsi="Microsoft JhengHei" w:cs="Microsoft JhengHei" w:eastAsia="Microsoft JhengHei" w:hint="default"/>
          <w:sz w:val="16"/>
          <w:szCs w:val="16"/>
        </w:rPr>
      </w:r>
    </w:p>
    <w:p>
      <w:pPr>
        <w:spacing w:after="0" w:line="239" w:lineRule="exact"/>
        <w:jc w:val="left"/>
        <w:rPr>
          <w:rFonts w:ascii="Microsoft JhengHei" w:hAnsi="Microsoft JhengHei" w:cs="Microsoft JhengHei" w:eastAsia="Microsoft JhengHei" w:hint="default"/>
          <w:sz w:val="16"/>
          <w:szCs w:val="16"/>
        </w:rPr>
        <w:sectPr>
          <w:type w:val="continuous"/>
          <w:pgSz w:w="11910" w:h="16840"/>
          <w:pgMar w:top="1600" w:bottom="280" w:left="860" w:right="740"/>
          <w:cols w:num="4" w:equalWidth="0">
            <w:col w:w="3968" w:space="460"/>
            <w:col w:w="1548" w:space="486"/>
            <w:col w:w="1524" w:space="406"/>
            <w:col w:w="1918"/>
          </w:cols>
        </w:sectPr>
      </w:pPr>
    </w:p>
    <w:tbl>
      <w:tblPr>
        <w:tblW w:w="0" w:type="auto"/>
        <w:jc w:val="left"/>
        <w:tblInd w:w="132" w:type="dxa"/>
        <w:tblLayout w:type="fixed"/>
        <w:tblCellMar>
          <w:top w:w="0" w:type="dxa"/>
          <w:left w:w="0" w:type="dxa"/>
          <w:bottom w:w="0" w:type="dxa"/>
          <w:right w:w="0" w:type="dxa"/>
        </w:tblCellMar>
        <w:tblLook w:val="01E0"/>
      </w:tblPr>
      <w:tblGrid>
        <w:gridCol w:w="2469"/>
        <w:gridCol w:w="696"/>
        <w:gridCol w:w="1179"/>
        <w:gridCol w:w="829"/>
        <w:gridCol w:w="1049"/>
        <w:gridCol w:w="1240"/>
        <w:gridCol w:w="687"/>
        <w:gridCol w:w="1057"/>
        <w:gridCol w:w="840"/>
      </w:tblGrid>
      <w:tr>
        <w:trPr>
          <w:trHeight w:val="300" w:hRule="exact"/>
        </w:trPr>
        <w:tc>
          <w:tcPr>
            <w:tcW w:w="2469"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08" w:right="0"/>
              <w:jc w:val="left"/>
              <w:rPr>
                <w:rFonts w:ascii="楷体" w:hAnsi="楷体" w:cs="楷体" w:eastAsia="楷体" w:hint="default"/>
                <w:sz w:val="14"/>
                <w:szCs w:val="14"/>
              </w:rPr>
            </w:pPr>
            <w:r>
              <w:rPr>
                <w:rFonts w:ascii="楷体" w:hAnsi="楷体" w:cs="楷体" w:eastAsia="楷体" w:hint="default"/>
                <w:sz w:val="14"/>
                <w:szCs w:val="14"/>
              </w:rPr>
              <w:t>北京高新技术创业投资股份有限公司</w:t>
            </w:r>
          </w:p>
        </w:tc>
        <w:tc>
          <w:tcPr>
            <w:tcW w:w="69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8"/>
              <w:jc w:val="center"/>
              <w:rPr>
                <w:rFonts w:ascii="Times New Roman" w:hAnsi="Times New Roman" w:cs="Times New Roman" w:eastAsia="Times New Roman" w:hint="default"/>
                <w:sz w:val="14"/>
                <w:szCs w:val="14"/>
              </w:rPr>
            </w:pPr>
            <w:r>
              <w:rPr>
                <w:rFonts w:ascii="Times New Roman"/>
                <w:sz w:val="14"/>
              </w:rPr>
              <w:t>3.23%</w:t>
            </w:r>
          </w:p>
        </w:tc>
        <w:tc>
          <w:tcPr>
            <w:tcW w:w="117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29"/>
              <w:jc w:val="right"/>
              <w:rPr>
                <w:rFonts w:ascii="Times New Roman" w:hAnsi="Times New Roman" w:cs="Times New Roman" w:eastAsia="Times New Roman" w:hint="default"/>
                <w:sz w:val="14"/>
                <w:szCs w:val="14"/>
              </w:rPr>
            </w:pPr>
            <w:r>
              <w:rPr>
                <w:rFonts w:ascii="Times New Roman"/>
                <w:spacing w:val="-1"/>
                <w:sz w:val="14"/>
              </w:rPr>
              <w:t>10,000,000.00</w:t>
            </w:r>
          </w:p>
        </w:tc>
        <w:tc>
          <w:tcPr>
            <w:tcW w:w="82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33"/>
              <w:jc w:val="right"/>
              <w:rPr>
                <w:rFonts w:ascii="Times New Roman" w:hAnsi="Times New Roman" w:cs="Times New Roman" w:eastAsia="Times New Roman" w:hint="default"/>
                <w:sz w:val="14"/>
                <w:szCs w:val="14"/>
              </w:rPr>
            </w:pPr>
            <w:r>
              <w:rPr>
                <w:rFonts w:ascii="Times New Roman"/>
                <w:spacing w:val="-1"/>
                <w:sz w:val="14"/>
              </w:rPr>
              <w:t>10,000,000.00</w:t>
            </w: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4"/>
                <w:szCs w:val="14"/>
              </w:rPr>
            </w:pPr>
            <w:r>
              <w:rPr>
                <w:rFonts w:ascii="Times New Roman"/>
                <w:spacing w:val="-1"/>
                <w:sz w:val="14"/>
              </w:rPr>
              <w:t>10,000,000.00</w:t>
            </w: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98"/>
              <w:jc w:val="right"/>
              <w:rPr>
                <w:rFonts w:ascii="Times New Roman" w:hAnsi="Times New Roman" w:cs="Times New Roman" w:eastAsia="Times New Roman" w:hint="default"/>
                <w:sz w:val="14"/>
                <w:szCs w:val="14"/>
              </w:rPr>
            </w:pPr>
            <w:r>
              <w:rPr>
                <w:rFonts w:ascii="Times New Roman"/>
                <w:spacing w:val="-1"/>
                <w:sz w:val="14"/>
              </w:rPr>
              <w:t>143,541.14</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武汉国际会展中心股份有限公司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2.21%</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5,000,000.00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6"/>
              <w:jc w:val="right"/>
              <w:rPr>
                <w:rFonts w:ascii="Times New Roman" w:hAnsi="Times New Roman" w:cs="Times New Roman" w:eastAsia="Times New Roman" w:hint="default"/>
                <w:sz w:val="14"/>
                <w:szCs w:val="14"/>
              </w:rPr>
            </w:pPr>
            <w:r>
              <w:rPr>
                <w:rFonts w:ascii="Times New Roman"/>
                <w:spacing w:val="-1"/>
                <w:sz w:val="14"/>
              </w:rPr>
              <w:t>5,000,000.00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5,000,000.00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北京首开亿信置业股份有限公司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0.31%</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1,540,000.00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6"/>
              <w:jc w:val="right"/>
              <w:rPr>
                <w:rFonts w:ascii="Times New Roman" w:hAnsi="Times New Roman" w:cs="Times New Roman" w:eastAsia="Times New Roman" w:hint="default"/>
                <w:sz w:val="14"/>
                <w:szCs w:val="14"/>
              </w:rPr>
            </w:pPr>
            <w:r>
              <w:rPr>
                <w:rFonts w:ascii="Times New Roman"/>
                <w:spacing w:val="-1"/>
                <w:sz w:val="14"/>
              </w:rPr>
              <w:t>1,540,000.00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1,540,000.00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启迪控股股份有限公司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0.52%</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2,500,000.00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5"/>
              <w:jc w:val="right"/>
              <w:rPr>
                <w:rFonts w:ascii="Times New Roman" w:hAnsi="Times New Roman" w:cs="Times New Roman" w:eastAsia="Times New Roman" w:hint="default"/>
                <w:sz w:val="14"/>
                <w:szCs w:val="14"/>
              </w:rPr>
            </w:pPr>
            <w:r>
              <w:rPr>
                <w:rFonts w:ascii="Times New Roman"/>
                <w:spacing w:val="-1"/>
                <w:sz w:val="14"/>
              </w:rPr>
              <w:t>2,500,000.00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2,500,000.00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8"/>
              <w:jc w:val="right"/>
              <w:rPr>
                <w:rFonts w:ascii="Times New Roman" w:hAnsi="Times New Roman" w:cs="Times New Roman" w:eastAsia="Times New Roman" w:hint="default"/>
                <w:sz w:val="14"/>
                <w:szCs w:val="14"/>
              </w:rPr>
            </w:pPr>
            <w:r>
              <w:rPr>
                <w:rFonts w:ascii="Times New Roman"/>
                <w:spacing w:val="-1"/>
                <w:sz w:val="14"/>
              </w:rPr>
              <w:t>198,450.00</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航天科工卫星技术有限公司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
              <w:jc w:val="center"/>
              <w:rPr>
                <w:rFonts w:ascii="Times New Roman" w:hAnsi="Times New Roman" w:cs="Times New Roman" w:eastAsia="Times New Roman" w:hint="default"/>
                <w:sz w:val="14"/>
                <w:szCs w:val="14"/>
              </w:rPr>
            </w:pPr>
            <w:r>
              <w:rPr>
                <w:rFonts w:ascii="Times New Roman"/>
                <w:sz w:val="14"/>
              </w:rPr>
              <w:t>13.74%</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10,300,000.00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3"/>
              <w:jc w:val="right"/>
              <w:rPr>
                <w:rFonts w:ascii="Times New Roman" w:hAnsi="Times New Roman" w:cs="Times New Roman" w:eastAsia="Times New Roman" w:hint="default"/>
                <w:sz w:val="14"/>
                <w:szCs w:val="14"/>
              </w:rPr>
            </w:pPr>
            <w:r>
              <w:rPr>
                <w:rFonts w:ascii="Times New Roman"/>
                <w:spacing w:val="-1"/>
                <w:sz w:val="14"/>
              </w:rPr>
              <w:t>13,260,636.40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8"/>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4"/>
                <w:szCs w:val="14"/>
              </w:rPr>
            </w:pPr>
            <w:r>
              <w:rPr>
                <w:rFonts w:ascii="Times New Roman"/>
                <w:spacing w:val="-1"/>
                <w:sz w:val="14"/>
              </w:rPr>
              <w:t>13,260,636.40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6"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中投信用担保有限公司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1.00%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10,000,000.00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3"/>
              <w:jc w:val="right"/>
              <w:rPr>
                <w:rFonts w:ascii="Times New Roman" w:hAnsi="Times New Roman" w:cs="Times New Roman" w:eastAsia="Times New Roman" w:hint="default"/>
                <w:sz w:val="14"/>
                <w:szCs w:val="14"/>
              </w:rPr>
            </w:pPr>
            <w:r>
              <w:rPr>
                <w:rFonts w:ascii="Times New Roman"/>
                <w:spacing w:val="-1"/>
                <w:sz w:val="14"/>
              </w:rPr>
              <w:t>10,000,000.00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4"/>
                <w:szCs w:val="14"/>
              </w:rPr>
            </w:pPr>
            <w:r>
              <w:rPr>
                <w:rFonts w:ascii="Times New Roman"/>
                <w:spacing w:val="-1"/>
                <w:sz w:val="14"/>
              </w:rPr>
              <w:t>10,000,000.00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79"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Times New Roman" w:hAnsi="Times New Roman" w:cs="Times New Roman" w:eastAsia="Times New Roman" w:hint="default"/>
                <w:sz w:val="14"/>
                <w:szCs w:val="14"/>
              </w:rPr>
            </w:pPr>
            <w:r>
              <w:rPr>
                <w:rFonts w:ascii="Times New Roman"/>
                <w:sz w:val="14"/>
              </w:rPr>
              <w:t>Legend Silicon</w:t>
            </w:r>
            <w:r>
              <w:rPr>
                <w:rFonts w:ascii="Times New Roman"/>
                <w:spacing w:val="-9"/>
                <w:sz w:val="14"/>
              </w:rPr>
              <w:t> </w:t>
            </w:r>
            <w:r>
              <w:rPr>
                <w:rFonts w:ascii="Times New Roman"/>
                <w:sz w:val="14"/>
              </w:rPr>
              <w:t>Corp.</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center"/>
              <w:rPr>
                <w:rFonts w:ascii="Times New Roman" w:hAnsi="Times New Roman" w:cs="Times New Roman" w:eastAsia="Times New Roman" w:hint="default"/>
                <w:sz w:val="14"/>
                <w:szCs w:val="14"/>
              </w:rPr>
            </w:pPr>
            <w:r>
              <w:rPr>
                <w:rFonts w:ascii="Times New Roman"/>
                <w:sz w:val="14"/>
              </w:rPr>
              <w:t>3.26%</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8"/>
              <w:jc w:val="right"/>
              <w:rPr>
                <w:rFonts w:ascii="Times New Roman" w:hAnsi="Times New Roman" w:cs="Times New Roman" w:eastAsia="Times New Roman" w:hint="default"/>
                <w:sz w:val="14"/>
                <w:szCs w:val="14"/>
              </w:rPr>
            </w:pPr>
            <w:r>
              <w:rPr>
                <w:rFonts w:ascii="Times New Roman"/>
                <w:spacing w:val="-1"/>
                <w:sz w:val="14"/>
              </w:rPr>
              <w:t>18,404,728.00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2"/>
              <w:jc w:val="right"/>
              <w:rPr>
                <w:rFonts w:ascii="Times New Roman" w:hAnsi="Times New Roman" w:cs="Times New Roman" w:eastAsia="Times New Roman" w:hint="default"/>
                <w:sz w:val="14"/>
                <w:szCs w:val="14"/>
              </w:rPr>
            </w:pPr>
            <w:r>
              <w:rPr>
                <w:rFonts w:ascii="Times New Roman"/>
                <w:spacing w:val="-1"/>
                <w:sz w:val="14"/>
              </w:rPr>
              <w:t>18,404,728.00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14"/>
                <w:szCs w:val="14"/>
              </w:rPr>
            </w:pPr>
            <w:r>
              <w:rPr>
                <w:rFonts w:ascii="Times New Roman"/>
                <w:spacing w:val="-1"/>
                <w:sz w:val="14"/>
              </w:rPr>
              <w:t>18,404,728.00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同方（哈尔滨）水务有限公司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10.00%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7,500,000.00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5"/>
              <w:jc w:val="right"/>
              <w:rPr>
                <w:rFonts w:ascii="Times New Roman" w:hAnsi="Times New Roman" w:cs="Times New Roman" w:eastAsia="Times New Roman" w:hint="default"/>
                <w:sz w:val="14"/>
                <w:szCs w:val="14"/>
              </w:rPr>
            </w:pPr>
            <w:r>
              <w:rPr>
                <w:rFonts w:ascii="Times New Roman"/>
                <w:spacing w:val="-1"/>
                <w:sz w:val="14"/>
              </w:rPr>
              <w:t>7,500,000.00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7,500,000.00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楷体" w:hAnsi="楷体" w:cs="楷体" w:eastAsia="楷体" w:hint="default"/>
                <w:sz w:val="14"/>
                <w:szCs w:val="14"/>
              </w:rPr>
            </w:pPr>
            <w:r>
              <w:rPr>
                <w:rFonts w:ascii="楷体" w:hAnsi="楷体" w:cs="楷体" w:eastAsia="楷体" w:hint="default"/>
                <w:sz w:val="14"/>
                <w:szCs w:val="14"/>
              </w:rPr>
              <w:t>北京高校创业股份有限公司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2.30%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2,000,000.00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5"/>
              <w:jc w:val="right"/>
              <w:rPr>
                <w:rFonts w:ascii="Times New Roman" w:hAnsi="Times New Roman" w:cs="Times New Roman" w:eastAsia="Times New Roman" w:hint="default"/>
                <w:sz w:val="14"/>
                <w:szCs w:val="14"/>
              </w:rPr>
            </w:pPr>
            <w:r>
              <w:rPr>
                <w:rFonts w:ascii="Times New Roman"/>
                <w:spacing w:val="-1"/>
                <w:sz w:val="14"/>
              </w:rPr>
              <w:t>2,000,000.00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2,000,000.00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楷体" w:hAnsi="楷体" w:cs="楷体" w:eastAsia="楷体" w:hint="default"/>
                <w:sz w:val="14"/>
                <w:szCs w:val="14"/>
              </w:rPr>
            </w:pPr>
            <w:r>
              <w:rPr>
                <w:rFonts w:ascii="楷体" w:hAnsi="楷体" w:cs="楷体" w:eastAsia="楷体" w:hint="default"/>
                <w:sz w:val="14"/>
                <w:szCs w:val="14"/>
              </w:rPr>
              <w:t>深圳市元泓创业投资有限公司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5.00%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5,000,000.00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6"/>
              <w:jc w:val="right"/>
              <w:rPr>
                <w:rFonts w:ascii="Times New Roman" w:hAnsi="Times New Roman" w:cs="Times New Roman" w:eastAsia="Times New Roman" w:hint="default"/>
                <w:sz w:val="14"/>
                <w:szCs w:val="14"/>
              </w:rPr>
            </w:pPr>
            <w:r>
              <w:rPr>
                <w:rFonts w:ascii="Times New Roman"/>
                <w:spacing w:val="-1"/>
                <w:sz w:val="14"/>
              </w:rPr>
              <w:t>5,000,000.00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5,000,000.00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楷体" w:hAnsi="楷体" w:cs="楷体" w:eastAsia="楷体" w:hint="default"/>
                <w:sz w:val="14"/>
                <w:szCs w:val="14"/>
              </w:rPr>
            </w:pPr>
            <w:r>
              <w:rPr>
                <w:rFonts w:ascii="楷体" w:hAnsi="楷体" w:cs="楷体" w:eastAsia="楷体" w:hint="default"/>
                <w:sz w:val="14"/>
                <w:szCs w:val="14"/>
              </w:rPr>
              <w:t>瑞思文化传播有限公司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
              <w:jc w:val="center"/>
              <w:rPr>
                <w:rFonts w:ascii="Times New Roman" w:hAnsi="Times New Roman" w:cs="Times New Roman" w:eastAsia="Times New Roman" w:hint="default"/>
                <w:sz w:val="14"/>
                <w:szCs w:val="14"/>
              </w:rPr>
            </w:pPr>
            <w:r>
              <w:rPr>
                <w:rFonts w:ascii="Times New Roman"/>
                <w:sz w:val="14"/>
              </w:rPr>
              <w:t>30.00%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49,820,000.00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5"/>
              <w:jc w:val="right"/>
              <w:rPr>
                <w:rFonts w:ascii="Times New Roman" w:hAnsi="Times New Roman" w:cs="Times New Roman" w:eastAsia="Times New Roman" w:hint="default"/>
                <w:sz w:val="14"/>
                <w:szCs w:val="14"/>
              </w:rPr>
            </w:pPr>
            <w:r>
              <w:rPr>
                <w:rFonts w:ascii="Times New Roman"/>
                <w:spacing w:val="-1"/>
                <w:sz w:val="14"/>
              </w:rPr>
              <w:t>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49,820,000.00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4"/>
                <w:szCs w:val="14"/>
              </w:rPr>
            </w:pPr>
            <w:r>
              <w:rPr>
                <w:rFonts w:ascii="Times New Roman"/>
                <w:spacing w:val="-1"/>
                <w:sz w:val="14"/>
              </w:rPr>
              <w:t>49,820,000.00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7"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楷体" w:hAnsi="楷体" w:cs="楷体" w:eastAsia="楷体" w:hint="default"/>
                <w:sz w:val="14"/>
                <w:szCs w:val="14"/>
              </w:rPr>
            </w:pPr>
            <w:r>
              <w:rPr>
                <w:rFonts w:ascii="楷体" w:hAnsi="楷体" w:cs="楷体" w:eastAsia="楷体" w:hint="default"/>
                <w:sz w:val="14"/>
                <w:szCs w:val="14"/>
              </w:rPr>
              <w:t>北京银行</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0.83%</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55,375.00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1,225.00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14"/>
                <w:szCs w:val="14"/>
              </w:rPr>
            </w:pPr>
            <w:r>
              <w:rPr>
                <w:rFonts w:ascii="Times New Roman"/>
                <w:spacing w:val="-1"/>
                <w:sz w:val="14"/>
              </w:rPr>
              <w:t>70,000.00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1,225.00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4"/>
                <w:szCs w:val="14"/>
              </w:rPr>
            </w:pPr>
            <w:r>
              <w:rPr>
                <w:rFonts w:ascii="Times New Roman"/>
                <w:spacing w:val="-1"/>
                <w:sz w:val="14"/>
              </w:rPr>
              <w:t>71,225.00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4,900.00</w:t>
            </w:r>
          </w:p>
        </w:tc>
      </w:tr>
      <w:tr>
        <w:trPr>
          <w:trHeight w:val="279"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楷体" w:hAnsi="楷体" w:cs="楷体" w:eastAsia="楷体" w:hint="default"/>
                <w:sz w:val="12"/>
                <w:szCs w:val="12"/>
              </w:rPr>
            </w:pPr>
            <w:r>
              <w:rPr>
                <w:rFonts w:ascii="楷体" w:hAnsi="楷体" w:cs="楷体" w:eastAsia="楷体" w:hint="default"/>
                <w:sz w:val="12"/>
                <w:szCs w:val="12"/>
              </w:rPr>
              <w:t>北京京投土地项目管理咨询股份有限公司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center"/>
              <w:rPr>
                <w:rFonts w:ascii="Times New Roman" w:hAnsi="Times New Roman" w:cs="Times New Roman" w:eastAsia="Times New Roman" w:hint="default"/>
                <w:sz w:val="14"/>
                <w:szCs w:val="14"/>
              </w:rPr>
            </w:pPr>
            <w:r>
              <w:rPr>
                <w:rFonts w:ascii="Times New Roman"/>
                <w:sz w:val="14"/>
              </w:rPr>
              <w:t>5.00%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9"/>
              <w:jc w:val="right"/>
              <w:rPr>
                <w:rFonts w:ascii="Times New Roman" w:hAnsi="Times New Roman" w:cs="Times New Roman" w:eastAsia="Times New Roman" w:hint="default"/>
                <w:sz w:val="14"/>
                <w:szCs w:val="14"/>
              </w:rPr>
            </w:pPr>
            <w:r>
              <w:rPr>
                <w:rFonts w:ascii="Times New Roman"/>
                <w:spacing w:val="-1"/>
                <w:sz w:val="14"/>
              </w:rPr>
              <w:t>1,000,000.00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right"/>
              <w:rPr>
                <w:rFonts w:ascii="Times New Roman" w:hAnsi="Times New Roman" w:cs="Times New Roman" w:eastAsia="Times New Roman" w:hint="default"/>
                <w:sz w:val="14"/>
                <w:szCs w:val="14"/>
              </w:rPr>
            </w:pPr>
            <w:r>
              <w:rPr>
                <w:rFonts w:ascii="Times New Roman"/>
                <w:spacing w:val="-1"/>
                <w:sz w:val="14"/>
              </w:rPr>
              <w:t>400,000.00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14"/>
                <w:szCs w:val="14"/>
              </w:rPr>
            </w:pPr>
            <w:r>
              <w:rPr>
                <w:rFonts w:ascii="Times New Roman"/>
                <w:spacing w:val="-1"/>
                <w:sz w:val="14"/>
              </w:rPr>
              <w:t>400,000.00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北京科技园置业有限公司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1.00%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1,000,000.00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5"/>
              <w:jc w:val="right"/>
              <w:rPr>
                <w:rFonts w:ascii="Times New Roman" w:hAnsi="Times New Roman" w:cs="Times New Roman" w:eastAsia="Times New Roman" w:hint="default"/>
                <w:sz w:val="14"/>
                <w:szCs w:val="14"/>
              </w:rPr>
            </w:pPr>
            <w:r>
              <w:rPr>
                <w:rFonts w:ascii="Times New Roman"/>
                <w:spacing w:val="-1"/>
                <w:sz w:val="14"/>
              </w:rPr>
              <w:t>1,000,000.00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1,000,000.00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北京圣鸿星咨询有限公司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49.00%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2,450,000.00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5"/>
              <w:jc w:val="right"/>
              <w:rPr>
                <w:rFonts w:ascii="Times New Roman" w:hAnsi="Times New Roman" w:cs="Times New Roman" w:eastAsia="Times New Roman" w:hint="default"/>
                <w:sz w:val="14"/>
                <w:szCs w:val="14"/>
              </w:rPr>
            </w:pPr>
            <w:r>
              <w:rPr>
                <w:rFonts w:ascii="Times New Roman"/>
                <w:spacing w:val="-1"/>
                <w:sz w:val="14"/>
              </w:rPr>
              <w:t>2,450,000.00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2,450,000.00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北京四一安信科技有限公司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4.00%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500,000.00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5"/>
              <w:jc w:val="right"/>
              <w:rPr>
                <w:rFonts w:ascii="Times New Roman" w:hAnsi="Times New Roman" w:cs="Times New Roman" w:eastAsia="Times New Roman" w:hint="default"/>
                <w:sz w:val="14"/>
                <w:szCs w:val="14"/>
              </w:rPr>
            </w:pPr>
            <w:r>
              <w:rPr>
                <w:rFonts w:ascii="Times New Roman"/>
                <w:spacing w:val="-1"/>
                <w:sz w:val="14"/>
              </w:rPr>
              <w:t>149,988.92</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149,988.92</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太极华方（北京）系统工程有限公司</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10.00%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1,000,000.00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14"/>
                <w:szCs w:val="14"/>
              </w:rPr>
            </w:pPr>
            <w:r>
              <w:rPr>
                <w:rFonts w:ascii="Times New Roman"/>
                <w:spacing w:val="-1"/>
                <w:sz w:val="14"/>
              </w:rPr>
              <w:t>1,000,000.00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1,000,000.00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5" w:hRule="exact"/>
        </w:trPr>
        <w:tc>
          <w:tcPr>
            <w:tcW w:w="2469" w:type="dxa"/>
            <w:tcBorders>
              <w:top w:val="nil" w:sz="6" w:space="0" w:color="auto"/>
              <w:left w:val="nil" w:sz="6" w:space="0" w:color="auto"/>
              <w:bottom w:val="single" w:sz="12" w:space="0" w:color="000000"/>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北京中铁亿品旅客信息服务有限公司</w:t>
            </w:r>
          </w:p>
        </w:tc>
        <w:tc>
          <w:tcPr>
            <w:tcW w:w="696"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8"/>
              <w:jc w:val="center"/>
              <w:rPr>
                <w:rFonts w:ascii="Times New Roman" w:hAnsi="Times New Roman" w:cs="Times New Roman" w:eastAsia="Times New Roman" w:hint="default"/>
                <w:sz w:val="14"/>
                <w:szCs w:val="14"/>
              </w:rPr>
            </w:pPr>
            <w:r>
              <w:rPr>
                <w:rFonts w:ascii="Times New Roman"/>
                <w:sz w:val="14"/>
              </w:rPr>
              <w:t>10.00%</w:t>
            </w:r>
          </w:p>
        </w:tc>
        <w:tc>
          <w:tcPr>
            <w:tcW w:w="1179"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229"/>
              <w:jc w:val="right"/>
              <w:rPr>
                <w:rFonts w:ascii="Times New Roman" w:hAnsi="Times New Roman" w:cs="Times New Roman" w:eastAsia="Times New Roman" w:hint="default"/>
                <w:sz w:val="14"/>
                <w:szCs w:val="14"/>
              </w:rPr>
            </w:pPr>
            <w:r>
              <w:rPr>
                <w:rFonts w:ascii="Times New Roman"/>
                <w:spacing w:val="-1"/>
                <w:sz w:val="14"/>
              </w:rPr>
              <w:t>3,000,000.00</w:t>
            </w:r>
          </w:p>
        </w:tc>
        <w:tc>
          <w:tcPr>
            <w:tcW w:w="829"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14"/>
                <w:szCs w:val="14"/>
              </w:rPr>
            </w:pPr>
            <w:r>
              <w:rPr>
                <w:rFonts w:ascii="Times New Roman"/>
                <w:spacing w:val="-1"/>
                <w:sz w:val="14"/>
              </w:rPr>
              <w:t>3,000,000.00</w:t>
            </w:r>
          </w:p>
        </w:tc>
        <w:tc>
          <w:tcPr>
            <w:tcW w:w="1240"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297"/>
              <w:jc w:val="right"/>
              <w:rPr>
                <w:rFonts w:ascii="Times New Roman" w:hAnsi="Times New Roman" w:cs="Times New Roman" w:eastAsia="Times New Roman" w:hint="default"/>
                <w:sz w:val="14"/>
                <w:szCs w:val="14"/>
              </w:rPr>
            </w:pPr>
            <w:r>
              <w:rPr>
                <w:rFonts w:ascii="Times New Roman"/>
                <w:spacing w:val="-1"/>
                <w:sz w:val="14"/>
              </w:rPr>
              <w:t>0.00</w:t>
            </w:r>
          </w:p>
        </w:tc>
        <w:tc>
          <w:tcPr>
            <w:tcW w:w="687"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0.00</w:t>
            </w:r>
          </w:p>
        </w:tc>
        <w:tc>
          <w:tcPr>
            <w:tcW w:w="1057"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3,000,000.00</w:t>
            </w:r>
          </w:p>
        </w:tc>
        <w:tc>
          <w:tcPr>
            <w:tcW w:w="840"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bl>
    <w:p>
      <w:pPr>
        <w:spacing w:after="0" w:line="240" w:lineRule="auto"/>
        <w:jc w:val="right"/>
        <w:rPr>
          <w:rFonts w:ascii="Times New Roman" w:hAnsi="Times New Roman" w:cs="Times New Roman" w:eastAsia="Times New Roman" w:hint="default"/>
          <w:sz w:val="14"/>
          <w:szCs w:val="14"/>
        </w:rPr>
        <w:sectPr>
          <w:type w:val="continuous"/>
          <w:pgSz w:w="11910" w:h="16840"/>
          <w:pgMar w:top="1600" w:bottom="280" w:left="860" w:right="7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4"/>
          <w:szCs w:val="14"/>
        </w:rPr>
      </w:pPr>
    </w:p>
    <w:p>
      <w:pPr>
        <w:spacing w:line="30" w:lineRule="exact"/>
        <w:ind w:left="117"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503.85pt;height:1.5pt;mso-position-horizontal-relative:char;mso-position-vertical-relative:line" coordorigin="0,0" coordsize="10077,30">
            <v:group style="position:absolute;left:15;top:15;width:10047;height:2" coordorigin="15,15" coordsize="10047,2">
              <v:shape style="position:absolute;left:15;top:15;width:10047;height:2" coordorigin="15,15" coordsize="10047,0" path="m15,15l10061,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after="0" w:line="30" w:lineRule="exact"/>
        <w:rPr>
          <w:rFonts w:ascii="Microsoft JhengHei" w:hAnsi="Microsoft JhengHei" w:cs="Microsoft JhengHei" w:eastAsia="Microsoft JhengHei" w:hint="default"/>
          <w:sz w:val="3"/>
          <w:szCs w:val="3"/>
        </w:rPr>
        <w:sectPr>
          <w:pgSz w:w="11910" w:h="16840"/>
          <w:pgMar w:header="610" w:footer="784" w:top="1080" w:bottom="980" w:left="860" w:right="740"/>
        </w:sectPr>
      </w:pPr>
    </w:p>
    <w:p>
      <w:pPr>
        <w:tabs>
          <w:tab w:pos="2775" w:val="left" w:leader="none"/>
          <w:tab w:pos="3646" w:val="left" w:leader="none"/>
        </w:tabs>
        <w:spacing w:line="127" w:lineRule="auto" w:before="80"/>
        <w:ind w:left="2775" w:right="0" w:hanging="2536"/>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被投资单位名称</w:t>
        <w:tab/>
      </w:r>
      <w:r>
        <w:rPr>
          <w:rFonts w:ascii="Microsoft JhengHei" w:hAnsi="Microsoft JhengHei" w:cs="Microsoft JhengHei" w:eastAsia="Microsoft JhengHei" w:hint="default"/>
          <w:b/>
          <w:bCs/>
          <w:position w:val="10"/>
          <w:sz w:val="16"/>
          <w:szCs w:val="16"/>
        </w:rPr>
        <w:t>持股</w:t>
        <w:tab/>
        <w:t>初始</w:t>
      </w:r>
      <w:r>
        <w:rPr>
          <w:rFonts w:ascii="Microsoft JhengHei" w:hAnsi="Microsoft JhengHei" w:cs="Microsoft JhengHei" w:eastAsia="Microsoft JhengHei" w:hint="default"/>
          <w:b/>
          <w:bCs/>
          <w:spacing w:val="1"/>
          <w:w w:val="99"/>
          <w:position w:val="10"/>
          <w:sz w:val="16"/>
          <w:szCs w:val="16"/>
        </w:rPr>
        <w:t> </w:t>
      </w:r>
      <w:r>
        <w:rPr>
          <w:rFonts w:ascii="Microsoft JhengHei" w:hAnsi="Microsoft JhengHei" w:cs="Microsoft JhengHei" w:eastAsia="Microsoft JhengHei" w:hint="default"/>
          <w:b/>
          <w:bCs/>
          <w:sz w:val="16"/>
          <w:szCs w:val="16"/>
        </w:rPr>
        <w:t>比例</w:t>
        <w:tab/>
        <w:t>金额</w:t>
      </w:r>
      <w:r>
        <w:rPr>
          <w:rFonts w:ascii="Microsoft JhengHei" w:hAnsi="Microsoft JhengHei" w:cs="Microsoft JhengHei" w:eastAsia="Microsoft JhengHei" w:hint="default"/>
          <w:sz w:val="16"/>
          <w:szCs w:val="16"/>
        </w:rPr>
      </w:r>
    </w:p>
    <w:p>
      <w:pPr>
        <w:tabs>
          <w:tab w:pos="1225" w:val="left" w:leader="none"/>
        </w:tabs>
        <w:spacing w:line="161" w:lineRule="exact" w:before="0"/>
        <w:ind w:left="240" w:right="-18" w:firstLine="0"/>
        <w:jc w:val="left"/>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追加</w:t>
        <w:tab/>
        <w:t>年初</w:t>
      </w:r>
      <w:r>
        <w:rPr>
          <w:rFonts w:ascii="Microsoft JhengHei" w:hAnsi="Microsoft JhengHei" w:cs="Microsoft JhengHei" w:eastAsia="Microsoft JhengHei" w:hint="default"/>
          <w:sz w:val="16"/>
          <w:szCs w:val="16"/>
        </w:rPr>
      </w:r>
    </w:p>
    <w:p>
      <w:pPr>
        <w:tabs>
          <w:tab w:pos="1225" w:val="left" w:leader="none"/>
        </w:tabs>
        <w:spacing w:line="239" w:lineRule="exact" w:before="0"/>
        <w:ind w:left="240" w:right="-18"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金额</w:t>
      </w:r>
      <w:r>
        <w:rPr>
          <w:rFonts w:ascii="Microsoft JhengHei" w:hAnsi="Microsoft JhengHei" w:cs="Microsoft JhengHei" w:eastAsia="Microsoft JhengHei" w:hint="default"/>
          <w:sz w:val="16"/>
          <w:szCs w:val="16"/>
        </w:rPr>
      </w:r>
    </w:p>
    <w:p>
      <w:pPr>
        <w:tabs>
          <w:tab w:pos="1201" w:val="left" w:leader="none"/>
        </w:tabs>
        <w:spacing w:line="161" w:lineRule="exact" w:before="0"/>
        <w:ind w:left="240" w:right="-18" w:firstLine="0"/>
        <w:jc w:val="left"/>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本年</w:t>
        <w:tab/>
        <w:t>本年</w:t>
      </w:r>
      <w:r>
        <w:rPr>
          <w:rFonts w:ascii="Microsoft JhengHei" w:hAnsi="Microsoft JhengHei" w:cs="Microsoft JhengHei" w:eastAsia="Microsoft JhengHei" w:hint="default"/>
          <w:sz w:val="16"/>
          <w:szCs w:val="16"/>
        </w:rPr>
      </w:r>
    </w:p>
    <w:p>
      <w:pPr>
        <w:tabs>
          <w:tab w:pos="1201" w:val="left" w:leader="none"/>
        </w:tabs>
        <w:spacing w:line="239" w:lineRule="exact" w:before="0"/>
        <w:ind w:left="240" w:right="-18"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增加</w:t>
        <w:tab/>
        <w:t>减少</w:t>
      </w:r>
      <w:r>
        <w:rPr>
          <w:rFonts w:ascii="Microsoft JhengHei" w:hAnsi="Microsoft JhengHei" w:cs="Microsoft JhengHei" w:eastAsia="Microsoft JhengHei" w:hint="default"/>
          <w:sz w:val="16"/>
          <w:szCs w:val="16"/>
        </w:rPr>
      </w:r>
    </w:p>
    <w:p>
      <w:pPr>
        <w:tabs>
          <w:tab w:pos="1129" w:val="left" w:leader="none"/>
        </w:tabs>
        <w:spacing w:line="161" w:lineRule="exact" w:before="0"/>
        <w:ind w:left="240" w:right="0" w:firstLine="0"/>
        <w:jc w:val="left"/>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年末</w:t>
        <w:tab/>
        <w:t>本年现</w:t>
      </w:r>
      <w:r>
        <w:rPr>
          <w:rFonts w:ascii="Microsoft JhengHei" w:hAnsi="Microsoft JhengHei" w:cs="Microsoft JhengHei" w:eastAsia="Microsoft JhengHei" w:hint="default"/>
          <w:sz w:val="16"/>
          <w:szCs w:val="16"/>
        </w:rPr>
      </w:r>
    </w:p>
    <w:p>
      <w:pPr>
        <w:tabs>
          <w:tab w:pos="1129" w:val="left" w:leader="none"/>
        </w:tabs>
        <w:spacing w:line="239" w:lineRule="exact" w:before="0"/>
        <w:ind w:left="240"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金红利</w:t>
      </w:r>
      <w:r>
        <w:rPr>
          <w:rFonts w:ascii="Microsoft JhengHei" w:hAnsi="Microsoft JhengHei" w:cs="Microsoft JhengHei" w:eastAsia="Microsoft JhengHei" w:hint="default"/>
          <w:sz w:val="16"/>
          <w:szCs w:val="16"/>
        </w:rPr>
      </w:r>
    </w:p>
    <w:p>
      <w:pPr>
        <w:spacing w:after="0" w:line="239" w:lineRule="exact"/>
        <w:jc w:val="left"/>
        <w:rPr>
          <w:rFonts w:ascii="Microsoft JhengHei" w:hAnsi="Microsoft JhengHei" w:cs="Microsoft JhengHei" w:eastAsia="Microsoft JhengHei" w:hint="default"/>
          <w:sz w:val="16"/>
          <w:szCs w:val="16"/>
        </w:rPr>
        <w:sectPr>
          <w:type w:val="continuous"/>
          <w:pgSz w:w="11910" w:h="16840"/>
          <w:pgMar w:top="1600" w:bottom="280" w:left="860" w:right="740"/>
          <w:cols w:num="4" w:equalWidth="0">
            <w:col w:w="3968" w:space="460"/>
            <w:col w:w="1548" w:space="486"/>
            <w:col w:w="1524" w:space="406"/>
            <w:col w:w="1918"/>
          </w:cols>
        </w:sectPr>
      </w:pPr>
    </w:p>
    <w:tbl>
      <w:tblPr>
        <w:tblW w:w="0" w:type="auto"/>
        <w:jc w:val="left"/>
        <w:tblInd w:w="132" w:type="dxa"/>
        <w:tblLayout w:type="fixed"/>
        <w:tblCellMar>
          <w:top w:w="0" w:type="dxa"/>
          <w:left w:w="0" w:type="dxa"/>
          <w:bottom w:w="0" w:type="dxa"/>
          <w:right w:w="0" w:type="dxa"/>
        </w:tblCellMar>
        <w:tblLook w:val="01E0"/>
      </w:tblPr>
      <w:tblGrid>
        <w:gridCol w:w="2329"/>
        <w:gridCol w:w="801"/>
        <w:gridCol w:w="1091"/>
        <w:gridCol w:w="951"/>
        <w:gridCol w:w="1049"/>
        <w:gridCol w:w="1049"/>
        <w:gridCol w:w="846"/>
        <w:gridCol w:w="1091"/>
        <w:gridCol w:w="840"/>
      </w:tblGrid>
      <w:tr>
        <w:trPr>
          <w:trHeight w:val="300" w:hRule="exact"/>
        </w:trPr>
        <w:tc>
          <w:tcPr>
            <w:tcW w:w="2329"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08" w:right="0"/>
              <w:jc w:val="left"/>
              <w:rPr>
                <w:rFonts w:ascii="楷体" w:hAnsi="楷体" w:cs="楷体" w:eastAsia="楷体" w:hint="default"/>
                <w:sz w:val="14"/>
                <w:szCs w:val="14"/>
              </w:rPr>
            </w:pPr>
            <w:r>
              <w:rPr>
                <w:rFonts w:ascii="楷体" w:hAnsi="楷体" w:cs="楷体" w:eastAsia="楷体" w:hint="default"/>
                <w:sz w:val="14"/>
                <w:szCs w:val="14"/>
              </w:rPr>
              <w:t>无锡同方创业园有限公司</w:t>
            </w:r>
          </w:p>
        </w:tc>
        <w:tc>
          <w:tcPr>
            <w:tcW w:w="80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40"/>
              <w:jc w:val="right"/>
              <w:rPr>
                <w:rFonts w:ascii="Times New Roman" w:hAnsi="Times New Roman" w:cs="Times New Roman" w:eastAsia="Times New Roman" w:hint="default"/>
                <w:sz w:val="14"/>
                <w:szCs w:val="14"/>
              </w:rPr>
            </w:pPr>
            <w:r>
              <w:rPr>
                <w:rFonts w:ascii="Times New Roman"/>
                <w:spacing w:val="-1"/>
                <w:sz w:val="14"/>
              </w:rPr>
              <w:t>0.61%</w:t>
            </w:r>
          </w:p>
        </w:tc>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7"/>
              <w:jc w:val="right"/>
              <w:rPr>
                <w:rFonts w:ascii="Times New Roman" w:hAnsi="Times New Roman" w:cs="Times New Roman" w:eastAsia="Times New Roman" w:hint="default"/>
                <w:sz w:val="14"/>
                <w:szCs w:val="14"/>
              </w:rPr>
            </w:pPr>
            <w:r>
              <w:rPr>
                <w:rFonts w:ascii="Times New Roman"/>
                <w:spacing w:val="-1"/>
                <w:sz w:val="14"/>
              </w:rPr>
              <w:t>1,212,200.00</w:t>
            </w:r>
          </w:p>
        </w:tc>
        <w:tc>
          <w:tcPr>
            <w:tcW w:w="95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34"/>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4"/>
                <w:szCs w:val="14"/>
              </w:rPr>
            </w:pPr>
            <w:r>
              <w:rPr>
                <w:rFonts w:ascii="Times New Roman"/>
                <w:spacing w:val="-1"/>
                <w:sz w:val="14"/>
              </w:rPr>
              <w:t>1,212,200.00</w:t>
            </w:r>
          </w:p>
        </w:tc>
        <w:tc>
          <w:tcPr>
            <w:tcW w:w="84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7"/>
              <w:jc w:val="right"/>
              <w:rPr>
                <w:rFonts w:ascii="Times New Roman" w:hAnsi="Times New Roman" w:cs="Times New Roman" w:eastAsia="Times New Roman" w:hint="default"/>
                <w:sz w:val="14"/>
                <w:szCs w:val="14"/>
              </w:rPr>
            </w:pPr>
            <w:r>
              <w:rPr>
                <w:rFonts w:ascii="Times New Roman"/>
                <w:spacing w:val="-1"/>
                <w:sz w:val="14"/>
              </w:rPr>
              <w:t>1,212,200.00</w:t>
            </w: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无锡加和电声科技有限公司</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33.33%</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500,000.00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14"/>
                <w:szCs w:val="14"/>
              </w:rPr>
            </w:pPr>
            <w:r>
              <w:rPr>
                <w:rFonts w:ascii="Times New Roman"/>
                <w:spacing w:val="-1"/>
                <w:sz w:val="14"/>
              </w:rPr>
              <w:t>500,000.00</w:t>
            </w:r>
          </w:p>
        </w:tc>
        <w:tc>
          <w:tcPr>
            <w:tcW w:w="1049"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500,000.00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万德福磁带公司</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35.00%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2,741,550.00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14"/>
                <w:szCs w:val="14"/>
              </w:rPr>
            </w:pPr>
            <w:r>
              <w:rPr>
                <w:rFonts w:ascii="Times New Roman"/>
                <w:spacing w:val="-1"/>
                <w:sz w:val="14"/>
              </w:rPr>
              <w:t>2,741,550.00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2,741,550.00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太原五一百货大楼</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0"/>
              <w:jc w:val="right"/>
              <w:rPr>
                <w:rFonts w:ascii="Times New Roman" w:hAnsi="Times New Roman" w:cs="Times New Roman" w:eastAsia="Times New Roman" w:hint="default"/>
                <w:sz w:val="14"/>
                <w:szCs w:val="14"/>
              </w:rPr>
            </w:pPr>
            <w:r>
              <w:rPr>
                <w:rFonts w:ascii="Times New Roman"/>
                <w:spacing w:val="-1"/>
                <w:sz w:val="14"/>
              </w:rPr>
              <w:t>0.15%</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4"/>
                <w:szCs w:val="14"/>
              </w:rPr>
            </w:pPr>
            <w:r>
              <w:rPr>
                <w:rFonts w:ascii="Times New Roman"/>
                <w:spacing w:val="-1"/>
                <w:sz w:val="14"/>
              </w:rPr>
              <w:t>30,000.00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14"/>
                <w:szCs w:val="14"/>
              </w:rPr>
            </w:pPr>
            <w:r>
              <w:rPr>
                <w:rFonts w:ascii="Times New Roman"/>
                <w:spacing w:val="-1"/>
                <w:sz w:val="14"/>
              </w:rPr>
              <w:t>30,000.00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4"/>
                <w:szCs w:val="14"/>
              </w:rPr>
            </w:pPr>
            <w:r>
              <w:rPr>
                <w:rFonts w:ascii="Times New Roman"/>
                <w:spacing w:val="-1"/>
                <w:sz w:val="14"/>
              </w:rPr>
              <w:t>30,000.00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北京天语同声信息技术有限公司</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12.00%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5,600,000.00</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4,900,000.00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4,427,001.47</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4,427,001.47</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76" w:hRule="exact"/>
        </w:trPr>
        <w:tc>
          <w:tcPr>
            <w:tcW w:w="232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北京京科兴技术咨询有限公司</w:t>
            </w:r>
          </w:p>
        </w:tc>
        <w:tc>
          <w:tcPr>
            <w:tcW w:w="80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98.04%</w:t>
            </w:r>
          </w:p>
        </w:tc>
        <w:tc>
          <w:tcPr>
            <w:tcW w:w="109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100,000.00</w:t>
            </w:r>
          </w:p>
        </w:tc>
        <w:tc>
          <w:tcPr>
            <w:tcW w:w="95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1049"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14"/>
                <w:szCs w:val="14"/>
              </w:rPr>
            </w:pPr>
            <w:r>
              <w:rPr>
                <w:rFonts w:ascii="Times New Roman"/>
                <w:spacing w:val="-1"/>
                <w:sz w:val="14"/>
              </w:rPr>
              <w:t>100,000.00</w:t>
            </w:r>
          </w:p>
        </w:tc>
        <w:tc>
          <w:tcPr>
            <w:tcW w:w="1049"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0.00</w:t>
            </w:r>
          </w:p>
        </w:tc>
        <w:tc>
          <w:tcPr>
            <w:tcW w:w="84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4"/>
                <w:szCs w:val="14"/>
              </w:rPr>
            </w:pPr>
            <w:r>
              <w:rPr>
                <w:rFonts w:ascii="Times New Roman"/>
                <w:spacing w:val="-1"/>
                <w:sz w:val="14"/>
              </w:rPr>
              <w:t>100,000.00</w:t>
            </w:r>
          </w:p>
        </w:tc>
        <w:tc>
          <w:tcPr>
            <w:tcW w:w="109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84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303" w:hRule="exact"/>
        </w:trPr>
        <w:tc>
          <w:tcPr>
            <w:tcW w:w="2329" w:type="dxa"/>
            <w:tcBorders>
              <w:top w:val="single" w:sz="4" w:space="0" w:color="000000"/>
              <w:left w:val="nil" w:sz="6" w:space="0" w:color="auto"/>
              <w:bottom w:val="single" w:sz="12" w:space="0" w:color="000000"/>
              <w:right w:val="nil" w:sz="6" w:space="0" w:color="auto"/>
            </w:tcBorders>
          </w:tcPr>
          <w:p>
            <w:pPr>
              <w:pStyle w:val="TableParagraph"/>
              <w:spacing w:line="236" w:lineRule="exact"/>
              <w:ind w:left="107"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合计</w:t>
            </w:r>
            <w:r>
              <w:rPr>
                <w:rFonts w:ascii="Microsoft JhengHei" w:hAnsi="Microsoft JhengHei" w:cs="Microsoft JhengHei" w:eastAsia="Microsoft JhengHei" w:hint="default"/>
                <w:sz w:val="14"/>
                <w:szCs w:val="14"/>
              </w:rPr>
            </w:r>
          </w:p>
        </w:tc>
        <w:tc>
          <w:tcPr>
            <w:tcW w:w="801" w:type="dxa"/>
            <w:tcBorders>
              <w:top w:val="single" w:sz="4" w:space="0" w:color="000000"/>
              <w:left w:val="nil" w:sz="6" w:space="0" w:color="auto"/>
              <w:bottom w:val="single" w:sz="12" w:space="0" w:color="000000"/>
              <w:right w:val="nil" w:sz="6" w:space="0" w:color="auto"/>
            </w:tcBorders>
          </w:tcPr>
          <w:p>
            <w:pPr/>
          </w:p>
        </w:tc>
        <w:tc>
          <w:tcPr>
            <w:tcW w:w="1091"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4"/>
                <w:szCs w:val="14"/>
              </w:rPr>
            </w:pPr>
            <w:r>
              <w:rPr>
                <w:rFonts w:ascii="Times New Roman"/>
                <w:b/>
                <w:spacing w:val="-1"/>
                <w:sz w:val="14"/>
              </w:rPr>
              <w:t>141,253,853.00</w:t>
            </w:r>
            <w:r>
              <w:rPr>
                <w:rFonts w:ascii="Times New Roman"/>
                <w:spacing w:val="-1"/>
                <w:sz w:val="14"/>
              </w:rPr>
            </w:r>
          </w:p>
        </w:tc>
        <w:tc>
          <w:tcPr>
            <w:tcW w:w="951"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4"/>
                <w:szCs w:val="14"/>
              </w:rPr>
            </w:pPr>
            <w:r>
              <w:rPr>
                <w:rFonts w:ascii="Times New Roman"/>
                <w:b/>
                <w:spacing w:val="-1"/>
                <w:sz w:val="14"/>
              </w:rPr>
              <w:t>4,901,225.00</w:t>
            </w:r>
            <w:r>
              <w:rPr>
                <w:rFonts w:ascii="Times New Roman"/>
                <w:spacing w:val="-1"/>
                <w:sz w:val="14"/>
              </w:rPr>
            </w:r>
          </w:p>
        </w:tc>
        <w:tc>
          <w:tcPr>
            <w:tcW w:w="1049"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34"/>
              <w:jc w:val="right"/>
              <w:rPr>
                <w:rFonts w:ascii="Times New Roman" w:hAnsi="Times New Roman" w:cs="Times New Roman" w:eastAsia="Times New Roman" w:hint="default"/>
                <w:sz w:val="14"/>
                <w:szCs w:val="14"/>
              </w:rPr>
            </w:pPr>
            <w:r>
              <w:rPr>
                <w:rFonts w:ascii="Times New Roman"/>
                <w:b/>
                <w:spacing w:val="-1"/>
                <w:sz w:val="14"/>
              </w:rPr>
              <w:t>86,646,903.32</w:t>
            </w:r>
            <w:r>
              <w:rPr>
                <w:rFonts w:ascii="Times New Roman"/>
                <w:spacing w:val="-1"/>
                <w:sz w:val="14"/>
              </w:rPr>
            </w:r>
          </w:p>
        </w:tc>
        <w:tc>
          <w:tcPr>
            <w:tcW w:w="1049"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4"/>
                <w:szCs w:val="14"/>
              </w:rPr>
            </w:pPr>
            <w:r>
              <w:rPr>
                <w:rFonts w:ascii="Times New Roman"/>
                <w:b/>
                <w:spacing w:val="-1"/>
                <w:sz w:val="14"/>
              </w:rPr>
              <w:t>55,460,426.47</w:t>
            </w:r>
            <w:r>
              <w:rPr>
                <w:rFonts w:ascii="Times New Roman"/>
                <w:spacing w:val="-1"/>
                <w:sz w:val="14"/>
              </w:rPr>
            </w:r>
          </w:p>
        </w:tc>
        <w:tc>
          <w:tcPr>
            <w:tcW w:w="846"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4"/>
                <w:szCs w:val="14"/>
              </w:rPr>
            </w:pPr>
            <w:r>
              <w:rPr>
                <w:rFonts w:ascii="Times New Roman"/>
                <w:b/>
                <w:spacing w:val="-1"/>
                <w:sz w:val="14"/>
              </w:rPr>
              <w:t>600,000.00</w:t>
            </w:r>
            <w:r>
              <w:rPr>
                <w:rFonts w:ascii="Times New Roman"/>
                <w:spacing w:val="-1"/>
                <w:sz w:val="14"/>
              </w:rPr>
            </w:r>
          </w:p>
        </w:tc>
        <w:tc>
          <w:tcPr>
            <w:tcW w:w="1091"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4"/>
                <w:szCs w:val="14"/>
              </w:rPr>
            </w:pPr>
            <w:r>
              <w:rPr>
                <w:rFonts w:ascii="Times New Roman"/>
                <w:b/>
                <w:spacing w:val="-1"/>
                <w:sz w:val="14"/>
              </w:rPr>
              <w:t>141,507,329.79</w:t>
            </w:r>
            <w:r>
              <w:rPr>
                <w:rFonts w:ascii="Times New Roman"/>
                <w:spacing w:val="-1"/>
                <w:sz w:val="14"/>
              </w:rPr>
            </w:r>
          </w:p>
        </w:tc>
        <w:tc>
          <w:tcPr>
            <w:tcW w:w="840"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98"/>
              <w:jc w:val="right"/>
              <w:rPr>
                <w:rFonts w:ascii="Times New Roman" w:hAnsi="Times New Roman" w:cs="Times New Roman" w:eastAsia="Times New Roman" w:hint="default"/>
                <w:sz w:val="14"/>
                <w:szCs w:val="14"/>
              </w:rPr>
            </w:pPr>
            <w:r>
              <w:rPr>
                <w:rFonts w:ascii="Times New Roman"/>
                <w:b/>
                <w:spacing w:val="-1"/>
                <w:sz w:val="14"/>
              </w:rPr>
              <w:t>346,891.14</w:t>
            </w:r>
            <w:r>
              <w:rPr>
                <w:rFonts w:ascii="Times New Roman"/>
                <w:spacing w:val="-1"/>
                <w:sz w:val="14"/>
              </w:rPr>
            </w:r>
          </w:p>
        </w:tc>
      </w:tr>
    </w:tbl>
    <w:p>
      <w:pPr>
        <w:spacing w:after="0" w:line="240" w:lineRule="auto"/>
        <w:jc w:val="right"/>
        <w:rPr>
          <w:rFonts w:ascii="Times New Roman" w:hAnsi="Times New Roman" w:cs="Times New Roman" w:eastAsia="Times New Roman" w:hint="default"/>
          <w:sz w:val="14"/>
          <w:szCs w:val="14"/>
        </w:rPr>
        <w:sectPr>
          <w:type w:val="continuous"/>
          <w:pgSz w:w="11910" w:h="16840"/>
          <w:pgMar w:top="1600" w:bottom="280" w:left="860" w:right="740"/>
        </w:sectPr>
      </w:pPr>
    </w:p>
    <w:p>
      <w:pPr>
        <w:spacing w:before="84"/>
        <w:ind w:left="101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按权益法核算的长期股权投资</w:t>
      </w:r>
    </w:p>
    <w:p>
      <w:pPr>
        <w:spacing w:line="240" w:lineRule="auto" w:before="8"/>
        <w:rPr>
          <w:rFonts w:ascii="楷体" w:hAnsi="楷体" w:cs="楷体" w:eastAsia="楷体" w:hint="default"/>
          <w:sz w:val="19"/>
          <w:szCs w:val="19"/>
        </w:rPr>
      </w:pPr>
    </w:p>
    <w:p>
      <w:pPr>
        <w:tabs>
          <w:tab w:pos="3452" w:val="left" w:leader="none"/>
          <w:tab w:pos="4452" w:val="left" w:leader="none"/>
          <w:tab w:pos="5575" w:val="left" w:leader="none"/>
        </w:tabs>
        <w:spacing w:line="127" w:lineRule="auto" w:before="0"/>
        <w:ind w:left="3452" w:right="0" w:hanging="3060"/>
        <w:jc w:val="left"/>
        <w:rPr>
          <w:rFonts w:ascii="Microsoft JhengHei" w:hAnsi="Microsoft JhengHei" w:cs="Microsoft JhengHei" w:eastAsia="Microsoft JhengHei" w:hint="default"/>
          <w:sz w:val="16"/>
          <w:szCs w:val="16"/>
        </w:rPr>
      </w:pPr>
      <w:r>
        <w:rPr/>
        <w:pict>
          <v:group style="position:absolute;margin-left:57.240002pt;margin-top:-4.758499pt;width:487.05pt;height:.1pt;mso-position-horizontal-relative:page;mso-position-vertical-relative:paragraph;z-index:-898552" coordorigin="1145,-95" coordsize="9741,2">
            <v:shape style="position:absolute;left:1145;top:-95;width:9741;height:2" coordorigin="1145,-95" coordsize="9741,0" path="m1145,-95l10885,-95e" filled="false" stroked="true" strokeweight="1.5pt" strokecolor="#000000">
              <v:path arrowok="t"/>
            </v:shape>
            <w10:wrap type="none"/>
          </v:group>
        </w:pict>
      </w:r>
      <w:r>
        <w:rPr>
          <w:rFonts w:ascii="Microsoft JhengHei" w:hAnsi="Microsoft JhengHei" w:cs="Microsoft JhengHei" w:eastAsia="Microsoft JhengHei" w:hint="default"/>
          <w:b/>
          <w:bCs/>
          <w:sz w:val="16"/>
          <w:szCs w:val="16"/>
        </w:rPr>
        <w:t>被投资单位名称</w:t>
        <w:tab/>
      </w:r>
      <w:r>
        <w:rPr>
          <w:rFonts w:ascii="Microsoft JhengHei" w:hAnsi="Microsoft JhengHei" w:cs="Microsoft JhengHei" w:eastAsia="Microsoft JhengHei" w:hint="default"/>
          <w:b/>
          <w:bCs/>
          <w:position w:val="10"/>
          <w:sz w:val="16"/>
          <w:szCs w:val="16"/>
        </w:rPr>
        <w:t>持股</w:t>
        <w:tab/>
        <w:t>初始</w:t>
        <w:tab/>
        <w:t>追加</w:t>
      </w:r>
      <w:r>
        <w:rPr>
          <w:rFonts w:ascii="Microsoft JhengHei" w:hAnsi="Microsoft JhengHei" w:cs="Microsoft JhengHei" w:eastAsia="Microsoft JhengHei" w:hint="default"/>
          <w:b/>
          <w:bCs/>
          <w:spacing w:val="1"/>
          <w:w w:val="99"/>
          <w:position w:val="10"/>
          <w:sz w:val="16"/>
          <w:szCs w:val="16"/>
        </w:rPr>
        <w:t> </w:t>
      </w:r>
      <w:r>
        <w:rPr>
          <w:rFonts w:ascii="Microsoft JhengHei" w:hAnsi="Microsoft JhengHei" w:cs="Microsoft JhengHei" w:eastAsia="Microsoft JhengHei" w:hint="default"/>
          <w:b/>
          <w:bCs/>
          <w:sz w:val="16"/>
          <w:szCs w:val="16"/>
        </w:rPr>
        <w:t>比例</w:t>
        <w:tab/>
        <w:t>金额</w:t>
        <w:tab/>
        <w:t>金额</w:t>
      </w:r>
      <w:r>
        <w:rPr>
          <w:rFonts w:ascii="Microsoft JhengHei" w:hAnsi="Microsoft JhengHei" w:cs="Microsoft JhengHei" w:eastAsia="Microsoft JhengHei" w:hint="default"/>
          <w:sz w:val="16"/>
          <w:szCs w:val="16"/>
        </w:rPr>
      </w:r>
    </w:p>
    <w:p>
      <w:pPr>
        <w:spacing w:line="240" w:lineRule="auto" w:before="0"/>
        <w:rPr>
          <w:rFonts w:ascii="Microsoft JhengHei" w:hAnsi="Microsoft JhengHei" w:cs="Microsoft JhengHei" w:eastAsia="Microsoft JhengHei" w:hint="default"/>
          <w:b/>
          <w:bCs/>
          <w:sz w:val="16"/>
          <w:szCs w:val="16"/>
        </w:rPr>
      </w:pPr>
      <w:r>
        <w:rPr/>
        <w:br w:type="column"/>
      </w:r>
      <w:r>
        <w:rPr>
          <w:rFonts w:ascii="Microsoft JhengHei"/>
          <w:b/>
          <w:sz w:val="16"/>
        </w:rPr>
      </w:r>
    </w:p>
    <w:p>
      <w:pPr>
        <w:spacing w:line="240" w:lineRule="auto" w:before="0"/>
        <w:rPr>
          <w:rFonts w:ascii="Microsoft JhengHei" w:hAnsi="Microsoft JhengHei" w:cs="Microsoft JhengHei" w:eastAsia="Microsoft JhengHei" w:hint="default"/>
          <w:b/>
          <w:bCs/>
          <w:sz w:val="12"/>
          <w:szCs w:val="12"/>
        </w:rPr>
      </w:pPr>
    </w:p>
    <w:p>
      <w:pPr>
        <w:tabs>
          <w:tab w:pos="1633" w:val="left" w:leader="none"/>
          <w:tab w:pos="2874" w:val="left" w:leader="none"/>
        </w:tabs>
        <w:spacing w:line="239" w:lineRule="exact" w:before="0"/>
        <w:ind w:left="392"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w:t>
        <w:tab/>
        <w:t>本年</w:t>
        <w:tab/>
        <w:t>年末</w:t>
      </w:r>
      <w:r>
        <w:rPr>
          <w:rFonts w:ascii="Microsoft JhengHei" w:hAnsi="Microsoft JhengHei" w:cs="Microsoft JhengHei" w:eastAsia="Microsoft JhengHei" w:hint="default"/>
          <w:sz w:val="16"/>
          <w:szCs w:val="16"/>
        </w:rPr>
      </w:r>
    </w:p>
    <w:p>
      <w:pPr>
        <w:tabs>
          <w:tab w:pos="1472" w:val="left" w:leader="none"/>
          <w:tab w:pos="2874" w:val="left" w:leader="none"/>
        </w:tabs>
        <w:spacing w:line="239" w:lineRule="exact" w:before="0"/>
        <w:ind w:left="392"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权益增减</w:t>
        <w:tab/>
        <w:t>金额</w:t>
      </w:r>
      <w:r>
        <w:rPr>
          <w:rFonts w:ascii="Microsoft JhengHei" w:hAnsi="Microsoft JhengHei" w:cs="Microsoft JhengHei" w:eastAsia="Microsoft JhengHei" w:hint="default"/>
          <w:sz w:val="16"/>
          <w:szCs w:val="16"/>
        </w:rPr>
      </w:r>
    </w:p>
    <w:p>
      <w:pPr>
        <w:spacing w:after="0" w:line="239" w:lineRule="exact"/>
        <w:jc w:val="left"/>
        <w:rPr>
          <w:rFonts w:ascii="Microsoft JhengHei" w:hAnsi="Microsoft JhengHei" w:cs="Microsoft JhengHei" w:eastAsia="Microsoft JhengHei" w:hint="default"/>
          <w:sz w:val="16"/>
          <w:szCs w:val="16"/>
        </w:rPr>
        <w:sectPr>
          <w:type w:val="continuous"/>
          <w:pgSz w:w="11910" w:h="16840"/>
          <w:pgMar w:top="1600" w:bottom="280" w:left="860" w:right="740"/>
          <w:cols w:num="2" w:equalWidth="0">
            <w:col w:w="5898" w:space="464"/>
            <w:col w:w="3948"/>
          </w:cols>
        </w:sectPr>
      </w:pPr>
    </w:p>
    <w:tbl>
      <w:tblPr>
        <w:tblW w:w="0" w:type="auto"/>
        <w:jc w:val="left"/>
        <w:tblInd w:w="284" w:type="dxa"/>
        <w:tblLayout w:type="fixed"/>
        <w:tblCellMar>
          <w:top w:w="0" w:type="dxa"/>
          <w:left w:w="0" w:type="dxa"/>
          <w:bottom w:w="0" w:type="dxa"/>
          <w:right w:w="0" w:type="dxa"/>
        </w:tblCellMar>
        <w:tblLook w:val="01E0"/>
      </w:tblPr>
      <w:tblGrid>
        <w:gridCol w:w="2823"/>
        <w:gridCol w:w="947"/>
        <w:gridCol w:w="1171"/>
        <w:gridCol w:w="1144"/>
        <w:gridCol w:w="1217"/>
        <w:gridCol w:w="1265"/>
        <w:gridCol w:w="1174"/>
      </w:tblGrid>
      <w:tr>
        <w:trPr>
          <w:trHeight w:val="273" w:hRule="exact"/>
        </w:trPr>
        <w:tc>
          <w:tcPr>
            <w:tcW w:w="282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楷体" w:hAnsi="楷体" w:cs="楷体" w:eastAsia="楷体" w:hint="default"/>
                <w:sz w:val="14"/>
                <w:szCs w:val="14"/>
              </w:rPr>
            </w:pPr>
            <w:r>
              <w:rPr>
                <w:rFonts w:ascii="楷体" w:hAnsi="楷体" w:cs="楷体" w:eastAsia="楷体" w:hint="default"/>
                <w:sz w:val="14"/>
                <w:szCs w:val="14"/>
              </w:rPr>
              <w:t>吉林同方科贸有限责任公司</w:t>
            </w:r>
          </w:p>
        </w:tc>
        <w:tc>
          <w:tcPr>
            <w:tcW w:w="94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90" w:right="0"/>
              <w:jc w:val="left"/>
              <w:rPr>
                <w:rFonts w:ascii="Times New Roman" w:hAnsi="Times New Roman" w:cs="Times New Roman" w:eastAsia="Times New Roman" w:hint="default"/>
                <w:sz w:val="14"/>
                <w:szCs w:val="14"/>
              </w:rPr>
            </w:pPr>
            <w:r>
              <w:rPr>
                <w:rFonts w:ascii="Times New Roman"/>
                <w:sz w:val="14"/>
              </w:rPr>
              <w:t>46.00%</w:t>
            </w:r>
          </w:p>
        </w:tc>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38"/>
              <w:jc w:val="right"/>
              <w:rPr>
                <w:rFonts w:ascii="Times New Roman" w:hAnsi="Times New Roman" w:cs="Times New Roman" w:eastAsia="Times New Roman" w:hint="default"/>
                <w:sz w:val="14"/>
                <w:szCs w:val="14"/>
              </w:rPr>
            </w:pPr>
            <w:r>
              <w:rPr>
                <w:rFonts w:ascii="Times New Roman"/>
                <w:spacing w:val="-1"/>
                <w:sz w:val="14"/>
              </w:rPr>
              <w:t>1,600,000.00</w:t>
            </w:r>
          </w:p>
        </w:tc>
        <w:tc>
          <w:tcPr>
            <w:tcW w:w="114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6"/>
              <w:jc w:val="right"/>
              <w:rPr>
                <w:rFonts w:ascii="Times New Roman" w:hAnsi="Times New Roman" w:cs="Times New Roman" w:eastAsia="Times New Roman" w:hint="default"/>
                <w:sz w:val="14"/>
                <w:szCs w:val="14"/>
              </w:rPr>
            </w:pPr>
            <w:r>
              <w:rPr>
                <w:rFonts w:ascii="Times New Roman"/>
                <w:spacing w:val="-1"/>
                <w:sz w:val="14"/>
              </w:rPr>
              <w:t>2,080,000.00</w:t>
            </w: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43"/>
              <w:jc w:val="right"/>
              <w:rPr>
                <w:rFonts w:ascii="Times New Roman" w:hAnsi="Times New Roman" w:cs="Times New Roman" w:eastAsia="Times New Roman" w:hint="default"/>
                <w:sz w:val="14"/>
                <w:szCs w:val="14"/>
              </w:rPr>
            </w:pPr>
            <w:r>
              <w:rPr>
                <w:rFonts w:ascii="Times New Roman"/>
                <w:spacing w:val="-1"/>
                <w:sz w:val="14"/>
              </w:rPr>
              <w:t>4,171,538.92</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6"/>
              <w:jc w:val="right"/>
              <w:rPr>
                <w:rFonts w:ascii="Times New Roman" w:hAnsi="Times New Roman" w:cs="Times New Roman" w:eastAsia="Times New Roman" w:hint="default"/>
                <w:sz w:val="14"/>
                <w:szCs w:val="14"/>
              </w:rPr>
            </w:pPr>
            <w:r>
              <w:rPr>
                <w:rFonts w:ascii="Times New Roman"/>
                <w:spacing w:val="-1"/>
                <w:sz w:val="14"/>
              </w:rPr>
              <w:t>-699,585.09</w:t>
            </w:r>
          </w:p>
        </w:tc>
        <w:tc>
          <w:tcPr>
            <w:tcW w:w="117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Times New Roman" w:hAnsi="Times New Roman" w:cs="Times New Roman" w:eastAsia="Times New Roman" w:hint="default"/>
                <w:sz w:val="14"/>
                <w:szCs w:val="14"/>
              </w:rPr>
            </w:pPr>
            <w:r>
              <w:rPr>
                <w:rFonts w:ascii="Times New Roman"/>
                <w:spacing w:val="-1"/>
                <w:sz w:val="14"/>
              </w:rPr>
              <w:t>3,471,953.83</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郑州同方神火科技有限公司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50.00%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10,000,000.00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10,588,748.88</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-94,606.05</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10,494,142.83</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北京中录同方文化传播有限公司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50.00%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19,000,000.00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5"/>
              <w:jc w:val="right"/>
              <w:rPr>
                <w:rFonts w:ascii="Times New Roman" w:hAnsi="Times New Roman" w:cs="Times New Roman" w:eastAsia="Times New Roman" w:hint="default"/>
                <w:sz w:val="14"/>
                <w:szCs w:val="14"/>
              </w:rPr>
            </w:pPr>
            <w:r>
              <w:rPr>
                <w:rFonts w:ascii="Times New Roman"/>
                <w:spacing w:val="-1"/>
                <w:sz w:val="14"/>
              </w:rPr>
              <w:t>10,000,000.00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嘉融投资有限公司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50.00%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99,000,000.00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2,000,000.00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320,359,464.84</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-187,070,971.59</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14"/>
                <w:szCs w:val="14"/>
              </w:rPr>
            </w:pPr>
            <w:r>
              <w:rPr>
                <w:rFonts w:ascii="Times New Roman"/>
                <w:spacing w:val="-1"/>
                <w:sz w:val="14"/>
              </w:rPr>
              <w:t>133,288,493.25</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云南云电同方科技有限公司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37.50%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30,000,000.00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2"/>
                <w:sz w:val="14"/>
              </w:rPr>
              <w:t>11,302,927.30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856,743.75</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12,159,671.05</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同方环境股份有限公司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31.50%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35,000,000.00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104,535,476.70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104,535,476.70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同方投资有限公司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45.45%</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250,000,000.00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894,505,817.82</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-381,105,057.50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14"/>
                <w:szCs w:val="14"/>
              </w:rPr>
            </w:pPr>
            <w:r>
              <w:rPr>
                <w:rFonts w:ascii="Times New Roman"/>
                <w:spacing w:val="-1"/>
                <w:sz w:val="14"/>
              </w:rPr>
              <w:t>513,400,760.32</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北京同方易豪科技有限公司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48.37%</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10,000,000.00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4,662,000.00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5"/>
              <w:jc w:val="right"/>
              <w:rPr>
                <w:rFonts w:ascii="Times New Roman" w:hAnsi="Times New Roman" w:cs="Times New Roman" w:eastAsia="Times New Roman" w:hint="default"/>
                <w:sz w:val="14"/>
                <w:szCs w:val="14"/>
              </w:rPr>
            </w:pPr>
            <w:r>
              <w:rPr>
                <w:rFonts w:ascii="Times New Roman"/>
                <w:spacing w:val="-1"/>
                <w:sz w:val="14"/>
              </w:rPr>
              <w:t>16,589,103.14</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16,589,103.14</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北京亚仕同方科技有限公司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19" w:right="0"/>
              <w:jc w:val="left"/>
              <w:rPr>
                <w:rFonts w:ascii="Times New Roman" w:hAnsi="Times New Roman" w:cs="Times New Roman" w:eastAsia="Times New Roman" w:hint="default"/>
                <w:sz w:val="14"/>
                <w:szCs w:val="14"/>
              </w:rPr>
            </w:pPr>
            <w:r>
              <w:rPr>
                <w:rFonts w:ascii="Times New Roman"/>
                <w:sz w:val="14"/>
              </w:rPr>
              <w:t>49.9999%</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9"/>
              <w:jc w:val="right"/>
              <w:rPr>
                <w:rFonts w:ascii="Times New Roman" w:hAnsi="Times New Roman" w:cs="Times New Roman" w:eastAsia="Times New Roman" w:hint="default"/>
                <w:sz w:val="14"/>
                <w:szCs w:val="14"/>
              </w:rPr>
            </w:pPr>
            <w:r>
              <w:rPr>
                <w:rFonts w:ascii="Times New Roman"/>
                <w:spacing w:val="-1"/>
                <w:sz w:val="14"/>
              </w:rPr>
              <w:t>2,149,600.70</w:t>
            </w:r>
            <w:r>
              <w:rPr>
                <w:rFonts w:ascii="Times New Roman"/>
                <w:sz w:val="14"/>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7"/>
              <w:jc w:val="right"/>
              <w:rPr>
                <w:rFonts w:ascii="Times New Roman" w:hAnsi="Times New Roman" w:cs="Times New Roman" w:eastAsia="Times New Roman" w:hint="default"/>
                <w:sz w:val="14"/>
                <w:szCs w:val="14"/>
              </w:rPr>
            </w:pPr>
            <w:r>
              <w:rPr>
                <w:rFonts w:ascii="Times New Roman"/>
                <w:spacing w:val="-1"/>
                <w:sz w:val="14"/>
              </w:rPr>
              <w:t>7,788,812.50</w:t>
            </w:r>
            <w:r>
              <w:rPr>
                <w:rFonts w:ascii="Times New Roman"/>
                <w:sz w:val="14"/>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4"/>
              <w:jc w:val="right"/>
              <w:rPr>
                <w:rFonts w:ascii="Times New Roman" w:hAnsi="Times New Roman" w:cs="Times New Roman" w:eastAsia="Times New Roman" w:hint="default"/>
                <w:sz w:val="14"/>
                <w:szCs w:val="14"/>
              </w:rPr>
            </w:pPr>
            <w:r>
              <w:rPr>
                <w:rFonts w:ascii="Times New Roman"/>
                <w:spacing w:val="-1"/>
                <w:sz w:val="14"/>
              </w:rPr>
              <w:t>3,140,992.43</w:t>
            </w:r>
            <w:r>
              <w:rPr>
                <w:rFonts w:ascii="Times New Roman"/>
                <w:sz w:val="14"/>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Times New Roman" w:hAnsi="Times New Roman" w:cs="Times New Roman" w:eastAsia="Times New Roman" w:hint="default"/>
                <w:sz w:val="14"/>
                <w:szCs w:val="14"/>
              </w:rPr>
            </w:pPr>
            <w:r>
              <w:rPr>
                <w:rFonts w:ascii="Times New Roman"/>
                <w:spacing w:val="-1"/>
                <w:sz w:val="14"/>
              </w:rPr>
              <w:t>4,582,885.26</w:t>
            </w:r>
            <w:r>
              <w:rPr>
                <w:rFonts w:ascii="Times New Roman"/>
                <w:sz w:val="14"/>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1"/>
              <w:jc w:val="right"/>
              <w:rPr>
                <w:rFonts w:ascii="Times New Roman" w:hAnsi="Times New Roman" w:cs="Times New Roman" w:eastAsia="Times New Roman" w:hint="default"/>
                <w:sz w:val="14"/>
                <w:szCs w:val="14"/>
              </w:rPr>
            </w:pPr>
            <w:r>
              <w:rPr>
                <w:rFonts w:ascii="Times New Roman"/>
                <w:spacing w:val="-1"/>
                <w:sz w:val="14"/>
              </w:rPr>
              <w:t>7,723,877.69</w:t>
            </w:r>
            <w:r>
              <w:rPr>
                <w:rFonts w:ascii="Times New Roman"/>
                <w:sz w:val="14"/>
              </w:rPr>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上海百视通电视传媒有限公司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40.00%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5,920,000.00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6,465,285.90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6,465,285.90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百视通网络电视技术发展有限责任公司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40.00%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144,080,000.00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149,438,152.29</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149,438,152.29</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南昌</w:t>
            </w:r>
            <w:r>
              <w:rPr>
                <w:rFonts w:ascii="楷体" w:hAnsi="楷体" w:cs="楷体" w:eastAsia="楷体" w:hint="default"/>
                <w:spacing w:val="-37"/>
                <w:sz w:val="14"/>
                <w:szCs w:val="14"/>
              </w:rPr>
              <w:t> </w:t>
            </w:r>
            <w:r>
              <w:rPr>
                <w:rFonts w:ascii="Times New Roman" w:hAnsi="Times New Roman" w:cs="Times New Roman" w:eastAsia="Times New Roman" w:hint="default"/>
                <w:sz w:val="14"/>
                <w:szCs w:val="14"/>
              </w:rPr>
              <w:t>ABB</w:t>
            </w:r>
            <w:r>
              <w:rPr>
                <w:rFonts w:ascii="Times New Roman" w:hAnsi="Times New Roman" w:cs="Times New Roman" w:eastAsia="Times New Roman" w:hint="default"/>
                <w:spacing w:val="-4"/>
                <w:sz w:val="14"/>
                <w:szCs w:val="14"/>
              </w:rPr>
              <w:t> </w:t>
            </w:r>
            <w:r>
              <w:rPr>
                <w:rFonts w:ascii="楷体" w:hAnsi="楷体" w:cs="楷体" w:eastAsia="楷体" w:hint="default"/>
                <w:sz w:val="14"/>
                <w:szCs w:val="14"/>
              </w:rPr>
              <w:t>泰豪发电机有限公司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49.00%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18,810,806.00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14,330,918.61</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5"/>
              <w:jc w:val="right"/>
              <w:rPr>
                <w:rFonts w:ascii="Times New Roman" w:hAnsi="Times New Roman" w:cs="Times New Roman" w:eastAsia="Times New Roman" w:hint="default"/>
                <w:sz w:val="14"/>
                <w:szCs w:val="14"/>
              </w:rPr>
            </w:pPr>
            <w:r>
              <w:rPr>
                <w:rFonts w:ascii="Times New Roman"/>
                <w:spacing w:val="-1"/>
                <w:sz w:val="14"/>
              </w:rPr>
              <w:t>-13,893,982.76</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436,935.85</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北京同方洁净技术有限公司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20.00%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2,000,000.00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3,810,000.00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6,453,086.38</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542,010.14</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6,995,096.52</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无锡同方控制技术有限公司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23.75%</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721,500.00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南昌创业投资有限公司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25.00%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30,000,000.00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29,900,631.08</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5"/>
              <w:jc w:val="right"/>
              <w:rPr>
                <w:rFonts w:ascii="Times New Roman" w:hAnsi="Times New Roman" w:cs="Times New Roman" w:eastAsia="Times New Roman" w:hint="default"/>
                <w:sz w:val="14"/>
                <w:szCs w:val="14"/>
              </w:rPr>
            </w:pPr>
            <w:r>
              <w:rPr>
                <w:rFonts w:ascii="Times New Roman"/>
                <w:spacing w:val="-1"/>
                <w:sz w:val="14"/>
              </w:rPr>
              <w:t>-149,358.43</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29,751,272.65</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上海信业智能科技股份有限公司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50.00%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1,500,000.00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2"/>
                <w:sz w:val="14"/>
              </w:rPr>
              <w:t>1,119,589.11</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2,982,098.39</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5"/>
              <w:jc w:val="right"/>
              <w:rPr>
                <w:rFonts w:ascii="Times New Roman" w:hAnsi="Times New Roman" w:cs="Times New Roman" w:eastAsia="Times New Roman" w:hint="default"/>
                <w:sz w:val="14"/>
                <w:szCs w:val="14"/>
              </w:rPr>
            </w:pPr>
            <w:r>
              <w:rPr>
                <w:rFonts w:ascii="Times New Roman"/>
                <w:spacing w:val="-1"/>
                <w:sz w:val="14"/>
              </w:rPr>
              <w:t>89,425.42</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3,071,523.81</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天津清华泰豪智能科技有限公司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40.00%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2,000,000.00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2,000,000.00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159,800.13</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2,159,800.13</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济南吉美乐工程复印设备有限公司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35.00%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525,000.00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62,404.02</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-62,404.02</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北京文录激光科技有限公司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20.00%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6,000,000.00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山西左云晋能新能源发电有限公司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35.00%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3,500,000.00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5"/>
              <w:jc w:val="right"/>
              <w:rPr>
                <w:rFonts w:ascii="Times New Roman" w:hAnsi="Times New Roman" w:cs="Times New Roman" w:eastAsia="Times New Roman" w:hint="default"/>
                <w:sz w:val="14"/>
                <w:szCs w:val="14"/>
              </w:rPr>
            </w:pPr>
            <w:r>
              <w:rPr>
                <w:rFonts w:ascii="Times New Roman"/>
                <w:spacing w:val="-1"/>
                <w:sz w:val="14"/>
              </w:rPr>
              <w:t>17,653,563.00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21,153,563.00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21,153,563.00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北京牡丹视源电子有限责任公司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35.48%</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2,200,000.00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5"/>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1,887,681.30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4"/>
              <w:jc w:val="right"/>
              <w:rPr>
                <w:rFonts w:ascii="Times New Roman" w:hAnsi="Times New Roman" w:cs="Times New Roman" w:eastAsia="Times New Roman" w:hint="default"/>
                <w:sz w:val="14"/>
                <w:szCs w:val="14"/>
              </w:rPr>
            </w:pPr>
            <w:r>
              <w:rPr>
                <w:rFonts w:ascii="Times New Roman"/>
                <w:spacing w:val="-1"/>
                <w:sz w:val="14"/>
              </w:rPr>
              <w:t>-405,913.40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14"/>
                <w:szCs w:val="14"/>
              </w:rPr>
            </w:pPr>
            <w:r>
              <w:rPr>
                <w:rFonts w:ascii="Times New Roman"/>
                <w:spacing w:val="-1"/>
                <w:sz w:val="14"/>
              </w:rPr>
              <w:t>1,481,767.90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北京天语同声信息技术有限公司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12.00%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5,600,000.00</w:t>
            </w:r>
            <w:r>
              <w:rPr>
                <w:rFonts w:ascii="Times New Roman"/>
                <w:sz w:val="14"/>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4,900,000.00</w:t>
            </w:r>
            <w:r>
              <w:rPr>
                <w:rFonts w:ascii="Times New Roman"/>
                <w:sz w:val="14"/>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4,427,001.47</w:t>
            </w:r>
            <w:r>
              <w:rPr>
                <w:rFonts w:ascii="Times New Roman"/>
                <w:sz w:val="14"/>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-4,427,001.47</w:t>
            </w:r>
            <w:r>
              <w:rPr>
                <w:rFonts w:ascii="Times New Roman"/>
                <w:sz w:val="14"/>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北京九州同映国产数字电影院线有限公司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40.00%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2,000,000.00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3"/>
              <w:jc w:val="right"/>
              <w:rPr>
                <w:rFonts w:ascii="Times New Roman" w:hAnsi="Times New Roman" w:cs="Times New Roman" w:eastAsia="Times New Roman" w:hint="default"/>
                <w:sz w:val="14"/>
                <w:szCs w:val="14"/>
              </w:rPr>
            </w:pPr>
            <w:r>
              <w:rPr>
                <w:rFonts w:ascii="Times New Roman"/>
                <w:spacing w:val="-1"/>
                <w:sz w:val="14"/>
              </w:rPr>
              <w:t>1,952,520.20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-51,373.42</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14"/>
                <w:szCs w:val="14"/>
              </w:rPr>
            </w:pPr>
            <w:r>
              <w:rPr>
                <w:rFonts w:ascii="Times New Roman"/>
                <w:spacing w:val="-1"/>
                <w:sz w:val="14"/>
              </w:rPr>
              <w:t>1,901,146.78</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上海同方友友电视购物有限公司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20.00%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1,600,000.00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北京三祥科创高新技术有限公司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7" w:right="0"/>
              <w:jc w:val="left"/>
              <w:rPr>
                <w:rFonts w:ascii="Times New Roman" w:hAnsi="Times New Roman" w:cs="Times New Roman" w:eastAsia="Times New Roman" w:hint="default"/>
                <w:sz w:val="14"/>
                <w:szCs w:val="14"/>
              </w:rPr>
            </w:pPr>
            <w:r>
              <w:rPr>
                <w:rFonts w:ascii="Times New Roman"/>
                <w:sz w:val="14"/>
              </w:rPr>
              <w:t>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9"/>
              <w:jc w:val="right"/>
              <w:rPr>
                <w:rFonts w:ascii="Times New Roman" w:hAnsi="Times New Roman" w:cs="Times New Roman" w:eastAsia="Times New Roman" w:hint="default"/>
                <w:sz w:val="14"/>
                <w:szCs w:val="14"/>
              </w:rPr>
            </w:pPr>
            <w:r>
              <w:rPr>
                <w:rFonts w:ascii="Times New Roman"/>
                <w:spacing w:val="-1"/>
                <w:sz w:val="14"/>
              </w:rPr>
              <w:t>1,750,000.00</w:t>
            </w:r>
            <w:r>
              <w:rPr>
                <w:rFonts w:ascii="Times New Roman"/>
                <w:sz w:val="14"/>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2,000,452.55</w:t>
            </w:r>
            <w:r>
              <w:rPr>
                <w:rFonts w:ascii="Times New Roman"/>
                <w:sz w:val="14"/>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-2,000,452.55</w:t>
            </w:r>
            <w:r>
              <w:rPr>
                <w:rFonts w:ascii="Times New Roman"/>
                <w:sz w:val="14"/>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同方华清投资管理有限公司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50.00%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25,000,000.00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3"/>
              <w:jc w:val="right"/>
              <w:rPr>
                <w:rFonts w:ascii="Times New Roman" w:hAnsi="Times New Roman" w:cs="Times New Roman" w:eastAsia="Times New Roman" w:hint="default"/>
                <w:sz w:val="14"/>
                <w:szCs w:val="14"/>
              </w:rPr>
            </w:pPr>
            <w:r>
              <w:rPr>
                <w:rFonts w:ascii="Times New Roman"/>
                <w:spacing w:val="-2"/>
                <w:sz w:val="14"/>
              </w:rPr>
              <w:t>25,117,066.15</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-25,117,066.15</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14"/>
                <w:szCs w:val="14"/>
              </w:rPr>
            </w:pPr>
            <w:r>
              <w:rPr>
                <w:rFonts w:ascii="Times New Roman"/>
                <w:spacing w:val="-1"/>
                <w:sz w:val="14"/>
              </w:rPr>
              <w:t>0.00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北京威视科技发展有限公司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45.00%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5,000,000.00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4,000,000.00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12,660,675.14</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5"/>
              <w:jc w:val="right"/>
              <w:rPr>
                <w:rFonts w:ascii="Times New Roman" w:hAnsi="Times New Roman" w:cs="Times New Roman" w:eastAsia="Times New Roman" w:hint="default"/>
                <w:sz w:val="14"/>
                <w:szCs w:val="14"/>
              </w:rPr>
            </w:pPr>
            <w:r>
              <w:rPr>
                <w:rFonts w:ascii="Times New Roman"/>
                <w:spacing w:val="-2"/>
                <w:sz w:val="14"/>
              </w:rPr>
              <w:t>110,533.34</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12,771,208.48</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北京卓凯生物技术有限公司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20.00%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900,000.00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900,000.00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501,701.24</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259,196.60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14"/>
                <w:szCs w:val="14"/>
              </w:rPr>
            </w:pPr>
            <w:r>
              <w:rPr>
                <w:rFonts w:ascii="Times New Roman"/>
                <w:spacing w:val="-1"/>
                <w:sz w:val="14"/>
              </w:rPr>
              <w:t>760,897.84</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易程科技股份有限公司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35.00%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21,000,000.00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1"/>
              <w:jc w:val="right"/>
              <w:rPr>
                <w:rFonts w:ascii="Times New Roman" w:hAnsi="Times New Roman" w:cs="Times New Roman" w:eastAsia="Times New Roman" w:hint="default"/>
                <w:sz w:val="14"/>
                <w:szCs w:val="14"/>
              </w:rPr>
            </w:pPr>
            <w:r>
              <w:rPr>
                <w:rFonts w:ascii="Times New Roman"/>
                <w:spacing w:val="-1"/>
                <w:sz w:val="14"/>
              </w:rPr>
              <w:t>13,186,810.22</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5,929,772.68</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2"/>
                <w:sz w:val="14"/>
              </w:rPr>
              <w:t>19,116,582.90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内蒙古大唐国际再生资源开发有限公司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25.00%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2,500,000.00</w:t>
            </w:r>
            <w:r>
              <w:rPr>
                <w:rFonts w:ascii="Times New Roman"/>
                <w:sz w:val="14"/>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2,500,000.00</w:t>
            </w:r>
            <w:r>
              <w:rPr>
                <w:rFonts w:ascii="Times New Roman"/>
                <w:sz w:val="14"/>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-2,500,000.00</w:t>
            </w:r>
            <w:r>
              <w:rPr>
                <w:rFonts w:ascii="Times New Roman"/>
                <w:sz w:val="14"/>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0"/>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内蒙古大唐同方硅铝科技有限公司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25.00%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2,500,000.00</w:t>
            </w:r>
            <w:r>
              <w:rPr>
                <w:rFonts w:ascii="Times New Roman"/>
                <w:sz w:val="14"/>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2,500,779.75</w:t>
            </w:r>
            <w:r>
              <w:rPr>
                <w:rFonts w:ascii="Times New Roman"/>
                <w:sz w:val="14"/>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-2,500,779.75</w:t>
            </w:r>
            <w:r>
              <w:rPr>
                <w:rFonts w:ascii="Times New Roman"/>
                <w:sz w:val="14"/>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开封广电同方数字电视有限公司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49.00%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9,000,000.00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8,969,072.26</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8,969,072.26</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商丘同方恒泰数字电视有限公司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49.00%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9"/>
              <w:jc w:val="right"/>
              <w:rPr>
                <w:rFonts w:ascii="Times New Roman" w:hAnsi="Times New Roman" w:cs="Times New Roman" w:eastAsia="Times New Roman" w:hint="default"/>
                <w:sz w:val="14"/>
                <w:szCs w:val="14"/>
              </w:rPr>
            </w:pPr>
            <w:r>
              <w:rPr>
                <w:rFonts w:ascii="Times New Roman"/>
                <w:spacing w:val="-2"/>
                <w:sz w:val="14"/>
              </w:rPr>
              <w:t>11,000,000.00</w:t>
            </w:r>
            <w:r>
              <w:rPr>
                <w:rFonts w:ascii="Times New Roman"/>
                <w:sz w:val="14"/>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7"/>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3"/>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7"/>
              <w:jc w:val="right"/>
              <w:rPr>
                <w:rFonts w:ascii="Times New Roman" w:hAnsi="Times New Roman" w:cs="Times New Roman" w:eastAsia="Times New Roman" w:hint="default"/>
                <w:sz w:val="14"/>
                <w:szCs w:val="14"/>
              </w:rPr>
            </w:pPr>
            <w:r>
              <w:rPr>
                <w:rFonts w:ascii="Times New Roman"/>
                <w:spacing w:val="-2"/>
                <w:sz w:val="14"/>
              </w:rPr>
              <w:t>11,000,000.00</w:t>
            </w:r>
            <w:r>
              <w:rPr>
                <w:rFonts w:ascii="Times New Roman"/>
                <w:sz w:val="14"/>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1"/>
              <w:jc w:val="right"/>
              <w:rPr>
                <w:rFonts w:ascii="Times New Roman" w:hAnsi="Times New Roman" w:cs="Times New Roman" w:eastAsia="Times New Roman" w:hint="default"/>
                <w:sz w:val="14"/>
                <w:szCs w:val="14"/>
              </w:rPr>
            </w:pPr>
            <w:r>
              <w:rPr>
                <w:rFonts w:ascii="Times New Roman"/>
                <w:spacing w:val="-2"/>
                <w:sz w:val="14"/>
              </w:rPr>
              <w:t>11,000,000.00</w:t>
            </w:r>
            <w:r>
              <w:rPr>
                <w:rFonts w:ascii="Times New Roman"/>
                <w:sz w:val="14"/>
              </w:rPr>
            </w:r>
          </w:p>
        </w:tc>
      </w:tr>
      <w:tr>
        <w:trPr>
          <w:trHeight w:val="259"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泉州广电同方数字电视公司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0" w:right="0"/>
              <w:jc w:val="left"/>
              <w:rPr>
                <w:rFonts w:ascii="Times New Roman" w:hAnsi="Times New Roman" w:cs="Times New Roman" w:eastAsia="Times New Roman" w:hint="default"/>
                <w:sz w:val="14"/>
                <w:szCs w:val="14"/>
              </w:rPr>
            </w:pPr>
            <w:r>
              <w:rPr>
                <w:rFonts w:ascii="Times New Roman"/>
                <w:sz w:val="14"/>
              </w:rPr>
              <w:t>49.00%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3,000,000.00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3,000,000.00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3,000,000.00</w:t>
            </w:r>
          </w:p>
        </w:tc>
      </w:tr>
      <w:tr>
        <w:trPr>
          <w:trHeight w:val="251"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7" w:right="0"/>
              <w:jc w:val="left"/>
              <w:rPr>
                <w:rFonts w:ascii="Times New Roman" w:hAnsi="Times New Roman" w:cs="Times New Roman" w:eastAsia="Times New Roman" w:hint="default"/>
                <w:sz w:val="14"/>
                <w:szCs w:val="14"/>
              </w:rPr>
            </w:pPr>
            <w:r>
              <w:rPr>
                <w:rFonts w:ascii="Times New Roman"/>
                <w:sz w:val="14"/>
              </w:rPr>
              <w:t>Technovator</w:t>
            </w:r>
            <w:r>
              <w:rPr>
                <w:rFonts w:ascii="Times New Roman"/>
                <w:spacing w:val="-15"/>
                <w:sz w:val="14"/>
              </w:rPr>
              <w:t> </w:t>
            </w:r>
            <w:r>
              <w:rPr>
                <w:rFonts w:ascii="Times New Roman"/>
                <w:sz w:val="14"/>
              </w:rPr>
              <w:t>Qatar</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97" w:right="0"/>
              <w:jc w:val="left"/>
              <w:rPr>
                <w:rFonts w:ascii="Times New Roman" w:hAnsi="Times New Roman" w:cs="Times New Roman" w:eastAsia="Times New Roman" w:hint="default"/>
                <w:sz w:val="14"/>
                <w:szCs w:val="14"/>
              </w:rPr>
            </w:pPr>
            <w:r>
              <w:rPr>
                <w:rFonts w:ascii="Times New Roman"/>
                <w:sz w:val="14"/>
              </w:rPr>
              <w:t>49.00%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14"/>
                <w:szCs w:val="14"/>
              </w:rPr>
            </w:pPr>
            <w:r>
              <w:rPr>
                <w:rFonts w:ascii="Times New Roman"/>
                <w:spacing w:val="-1"/>
                <w:sz w:val="14"/>
              </w:rPr>
              <w:t>209,628.69</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5"/>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2"/>
              <w:jc w:val="right"/>
              <w:rPr>
                <w:rFonts w:ascii="Times New Roman" w:hAnsi="Times New Roman" w:cs="Times New Roman" w:eastAsia="Times New Roman" w:hint="default"/>
                <w:sz w:val="14"/>
                <w:szCs w:val="14"/>
              </w:rPr>
            </w:pPr>
            <w:r>
              <w:rPr>
                <w:rFonts w:ascii="Times New Roman"/>
                <w:spacing w:val="-1"/>
                <w:sz w:val="14"/>
              </w:rPr>
              <w:t>196,128.51</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5"/>
              <w:jc w:val="right"/>
              <w:rPr>
                <w:rFonts w:ascii="Times New Roman" w:hAnsi="Times New Roman" w:cs="Times New Roman" w:eastAsia="Times New Roman" w:hint="default"/>
                <w:sz w:val="14"/>
                <w:szCs w:val="14"/>
              </w:rPr>
            </w:pPr>
            <w:r>
              <w:rPr>
                <w:rFonts w:ascii="Times New Roman"/>
                <w:spacing w:val="-2"/>
                <w:sz w:val="14"/>
              </w:rPr>
              <w:t>-11,594.31</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9"/>
              <w:jc w:val="right"/>
              <w:rPr>
                <w:rFonts w:ascii="Times New Roman" w:hAnsi="Times New Roman" w:cs="Times New Roman" w:eastAsia="Times New Roman" w:hint="default"/>
                <w:sz w:val="14"/>
                <w:szCs w:val="14"/>
              </w:rPr>
            </w:pPr>
            <w:r>
              <w:rPr>
                <w:rFonts w:ascii="Times New Roman"/>
                <w:spacing w:val="-1"/>
                <w:sz w:val="14"/>
              </w:rPr>
              <w:t>184,534.20</w:t>
            </w:r>
          </w:p>
        </w:tc>
      </w:tr>
      <w:tr>
        <w:trPr>
          <w:trHeight w:val="259"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北京同方创信科技有限公司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95" w:right="0"/>
              <w:jc w:val="left"/>
              <w:rPr>
                <w:rFonts w:ascii="Times New Roman" w:hAnsi="Times New Roman" w:cs="Times New Roman" w:eastAsia="Times New Roman" w:hint="default"/>
                <w:sz w:val="14"/>
                <w:szCs w:val="14"/>
              </w:rPr>
            </w:pPr>
            <w:r>
              <w:rPr>
                <w:rFonts w:ascii="Times New Roman"/>
                <w:sz w:val="14"/>
              </w:rPr>
              <w:t>33.15%</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3,500,000.00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6,890,524.75</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5"/>
              <w:jc w:val="right"/>
              <w:rPr>
                <w:rFonts w:ascii="Times New Roman" w:hAnsi="Times New Roman" w:cs="Times New Roman" w:eastAsia="Times New Roman" w:hint="default"/>
                <w:sz w:val="14"/>
                <w:szCs w:val="14"/>
              </w:rPr>
            </w:pPr>
            <w:r>
              <w:rPr>
                <w:rFonts w:ascii="Times New Roman"/>
                <w:spacing w:val="-1"/>
                <w:sz w:val="14"/>
              </w:rPr>
              <w:t>12,303.41</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6,902,828.16</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7" w:right="0"/>
              <w:jc w:val="left"/>
              <w:rPr>
                <w:rFonts w:ascii="Times New Roman" w:hAnsi="Times New Roman" w:cs="Times New Roman" w:eastAsia="Times New Roman" w:hint="default"/>
                <w:sz w:val="14"/>
                <w:szCs w:val="14"/>
              </w:rPr>
            </w:pPr>
            <w:r>
              <w:rPr>
                <w:rFonts w:ascii="Times New Roman"/>
                <w:sz w:val="14"/>
              </w:rPr>
              <w:t>Zebra Media</w:t>
            </w:r>
            <w:r>
              <w:rPr>
                <w:rFonts w:ascii="Times New Roman"/>
                <w:spacing w:val="-3"/>
                <w:sz w:val="14"/>
              </w:rPr>
              <w:t> </w:t>
            </w:r>
            <w:r>
              <w:rPr>
                <w:rFonts w:ascii="Times New Roman"/>
                <w:sz w:val="14"/>
              </w:rPr>
              <w:t>Inc.</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97" w:right="0"/>
              <w:jc w:val="left"/>
              <w:rPr>
                <w:rFonts w:ascii="Times New Roman" w:hAnsi="Times New Roman" w:cs="Times New Roman" w:eastAsia="Times New Roman" w:hint="default"/>
                <w:sz w:val="14"/>
                <w:szCs w:val="14"/>
              </w:rPr>
            </w:pPr>
            <w:r>
              <w:rPr>
                <w:rFonts w:ascii="Times New Roman"/>
                <w:sz w:val="14"/>
              </w:rPr>
              <w:t>31.79%</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14"/>
                <w:szCs w:val="14"/>
              </w:rPr>
            </w:pPr>
            <w:r>
              <w:rPr>
                <w:rFonts w:ascii="Times New Roman"/>
                <w:spacing w:val="-1"/>
                <w:sz w:val="14"/>
              </w:rPr>
              <w:t>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5"/>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1"/>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51"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7" w:right="0"/>
              <w:jc w:val="left"/>
              <w:rPr>
                <w:rFonts w:ascii="Times New Roman" w:hAnsi="Times New Roman" w:cs="Times New Roman" w:eastAsia="Times New Roman" w:hint="default"/>
                <w:sz w:val="14"/>
                <w:szCs w:val="14"/>
              </w:rPr>
            </w:pPr>
            <w:r>
              <w:rPr>
                <w:rFonts w:ascii="Times New Roman"/>
                <w:sz w:val="14"/>
              </w:rPr>
              <w:t>TFY Holding</w:t>
            </w:r>
            <w:r>
              <w:rPr>
                <w:rFonts w:ascii="Times New Roman"/>
                <w:spacing w:val="-11"/>
                <w:sz w:val="14"/>
              </w:rPr>
              <w:t> </w:t>
            </w:r>
            <w:r>
              <w:rPr>
                <w:rFonts w:ascii="Times New Roman"/>
                <w:sz w:val="14"/>
              </w:rPr>
              <w:t>Ltd.</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95" w:right="0"/>
              <w:jc w:val="left"/>
              <w:rPr>
                <w:rFonts w:ascii="Times New Roman" w:hAnsi="Times New Roman" w:cs="Times New Roman" w:eastAsia="Times New Roman" w:hint="default"/>
                <w:sz w:val="14"/>
                <w:szCs w:val="14"/>
              </w:rPr>
            </w:pPr>
            <w:r>
              <w:rPr>
                <w:rFonts w:ascii="Times New Roman"/>
                <w:sz w:val="14"/>
              </w:rPr>
              <w:t>16.00%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8"/>
              <w:jc w:val="right"/>
              <w:rPr>
                <w:rFonts w:ascii="Times New Roman" w:hAnsi="Times New Roman" w:cs="Times New Roman" w:eastAsia="Times New Roman" w:hint="default"/>
                <w:sz w:val="14"/>
                <w:szCs w:val="14"/>
              </w:rPr>
            </w:pPr>
            <w:r>
              <w:rPr>
                <w:rFonts w:ascii="Times New Roman"/>
                <w:spacing w:val="-1"/>
                <w:sz w:val="14"/>
              </w:rPr>
              <w:t>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Times New Roman" w:hAnsi="Times New Roman" w:cs="Times New Roman" w:eastAsia="Times New Roman" w:hint="default"/>
                <w:sz w:val="14"/>
                <w:szCs w:val="14"/>
              </w:rPr>
            </w:pPr>
            <w:r>
              <w:rPr>
                <w:rFonts w:ascii="Times New Roman"/>
                <w:spacing w:val="-1"/>
                <w:sz w:val="14"/>
              </w:rPr>
              <w:t>0.00</w:t>
            </w:r>
          </w:p>
        </w:tc>
      </w:tr>
      <w:tr>
        <w:trPr>
          <w:trHeight w:val="25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4"/>
                <w:szCs w:val="14"/>
              </w:rPr>
            </w:pPr>
            <w:r>
              <w:rPr>
                <w:rFonts w:ascii="楷体" w:hAnsi="楷体" w:cs="楷体" w:eastAsia="楷体" w:hint="default"/>
                <w:sz w:val="14"/>
                <w:szCs w:val="14"/>
              </w:rPr>
              <w:t>泰盛国际</w:t>
            </w:r>
            <w:r>
              <w:rPr>
                <w:rFonts w:ascii="Times New Roman" w:hAnsi="Times New Roman" w:cs="Times New Roman" w:eastAsia="Times New Roman" w:hint="default"/>
                <w:sz w:val="14"/>
                <w:szCs w:val="14"/>
              </w:rPr>
              <w:t>(</w:t>
            </w:r>
            <w:r>
              <w:rPr>
                <w:rFonts w:ascii="楷体" w:hAnsi="楷体" w:cs="楷体" w:eastAsia="楷体" w:hint="default"/>
                <w:sz w:val="14"/>
                <w:szCs w:val="14"/>
              </w:rPr>
              <w:t>控股</w:t>
            </w:r>
            <w:r>
              <w:rPr>
                <w:rFonts w:ascii="Times New Roman" w:hAnsi="Times New Roman" w:cs="Times New Roman" w:eastAsia="Times New Roman" w:hint="default"/>
                <w:sz w:val="14"/>
                <w:szCs w:val="14"/>
              </w:rPr>
              <w:t>)</w:t>
            </w:r>
            <w:r>
              <w:rPr>
                <w:rFonts w:ascii="楷体" w:hAnsi="楷体" w:cs="楷体" w:eastAsia="楷体" w:hint="default"/>
                <w:sz w:val="14"/>
                <w:szCs w:val="14"/>
              </w:rPr>
              <w:t>有限公司</w:t>
            </w:r>
            <w:r>
              <w:rPr>
                <w:rFonts w:ascii="宋体" w:hAnsi="宋体" w:cs="宋体" w:eastAsia="宋体" w:hint="default"/>
                <w:sz w:val="14"/>
                <w:szCs w:val="14"/>
              </w:rPr>
              <w:t>(</w:t>
            </w:r>
            <w:r>
              <w:rPr>
                <w:rFonts w:ascii="Times New Roman" w:hAnsi="Times New Roman" w:cs="Times New Roman" w:eastAsia="Times New Roman" w:hint="default"/>
                <w:sz w:val="14"/>
                <w:szCs w:val="14"/>
              </w:rPr>
              <w:t>HK08103</w:t>
            </w:r>
            <w:r>
              <w:rPr>
                <w:rFonts w:ascii="宋体" w:hAnsi="宋体" w:cs="宋体" w:eastAsia="宋体" w:hint="default"/>
                <w:sz w:val="14"/>
                <w:szCs w:val="14"/>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95" w:right="0"/>
              <w:jc w:val="left"/>
              <w:rPr>
                <w:rFonts w:ascii="Times New Roman" w:hAnsi="Times New Roman" w:cs="Times New Roman" w:eastAsia="Times New Roman" w:hint="default"/>
                <w:sz w:val="14"/>
                <w:szCs w:val="14"/>
              </w:rPr>
            </w:pPr>
            <w:r>
              <w:rPr>
                <w:rFonts w:ascii="Times New Roman"/>
                <w:sz w:val="14"/>
              </w:rPr>
              <w:t>14.55%</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8,634,442.58</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6,417,400.54</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-5,846,417.28</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1"/>
              <w:jc w:val="right"/>
              <w:rPr>
                <w:rFonts w:ascii="Times New Roman" w:hAnsi="Times New Roman" w:cs="Times New Roman" w:eastAsia="Times New Roman" w:hint="default"/>
                <w:sz w:val="14"/>
                <w:szCs w:val="14"/>
              </w:rPr>
            </w:pPr>
            <w:r>
              <w:rPr>
                <w:rFonts w:ascii="Times New Roman"/>
                <w:spacing w:val="-1"/>
                <w:sz w:val="14"/>
              </w:rPr>
              <w:t>570,983.26</w:t>
            </w:r>
          </w:p>
        </w:tc>
      </w:tr>
      <w:tr>
        <w:trPr>
          <w:trHeight w:val="247" w:hRule="exact"/>
        </w:trPr>
        <w:tc>
          <w:tcPr>
            <w:tcW w:w="282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同方佰宜科技</w:t>
            </w:r>
            <w:r>
              <w:rPr>
                <w:rFonts w:ascii="宋体" w:hAnsi="宋体" w:cs="宋体" w:eastAsia="宋体" w:hint="default"/>
                <w:sz w:val="14"/>
                <w:szCs w:val="14"/>
              </w:rPr>
              <w:t>(</w:t>
            </w:r>
            <w:r>
              <w:rPr>
                <w:rFonts w:ascii="楷体" w:hAnsi="楷体" w:cs="楷体" w:eastAsia="楷体" w:hint="default"/>
                <w:sz w:val="14"/>
                <w:szCs w:val="14"/>
              </w:rPr>
              <w:t>北京</w:t>
            </w:r>
            <w:r>
              <w:rPr>
                <w:rFonts w:ascii="宋体" w:hAnsi="宋体" w:cs="宋体" w:eastAsia="宋体" w:hint="default"/>
                <w:sz w:val="14"/>
                <w:szCs w:val="14"/>
              </w:rPr>
              <w:t>)</w:t>
            </w:r>
            <w:r>
              <w:rPr>
                <w:rFonts w:ascii="楷体" w:hAnsi="楷体" w:cs="楷体" w:eastAsia="楷体" w:hint="default"/>
                <w:sz w:val="14"/>
                <w:szCs w:val="14"/>
              </w:rPr>
              <w:t>有限公司</w:t>
            </w:r>
          </w:p>
        </w:tc>
        <w:tc>
          <w:tcPr>
            <w:tcW w:w="94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95" w:right="0"/>
              <w:jc w:val="left"/>
              <w:rPr>
                <w:rFonts w:ascii="Times New Roman" w:hAnsi="Times New Roman" w:cs="Times New Roman" w:eastAsia="Times New Roman" w:hint="default"/>
                <w:sz w:val="14"/>
                <w:szCs w:val="14"/>
              </w:rPr>
            </w:pPr>
            <w:r>
              <w:rPr>
                <w:rFonts w:ascii="Times New Roman"/>
                <w:sz w:val="14"/>
              </w:rPr>
              <w:t>30.00%</w:t>
            </w: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38"/>
              <w:jc w:val="right"/>
              <w:rPr>
                <w:rFonts w:ascii="Times New Roman" w:hAnsi="Times New Roman" w:cs="Times New Roman" w:eastAsia="Times New Roman" w:hint="default"/>
                <w:sz w:val="14"/>
                <w:szCs w:val="14"/>
              </w:rPr>
            </w:pPr>
            <w:r>
              <w:rPr>
                <w:rFonts w:ascii="Times New Roman"/>
                <w:spacing w:val="-1"/>
                <w:sz w:val="14"/>
              </w:rPr>
              <w:t>3,000,000.00</w:t>
            </w:r>
          </w:p>
        </w:tc>
        <w:tc>
          <w:tcPr>
            <w:tcW w:w="114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0.00</w:t>
            </w: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42"/>
              <w:jc w:val="right"/>
              <w:rPr>
                <w:rFonts w:ascii="Times New Roman" w:hAnsi="Times New Roman" w:cs="Times New Roman" w:eastAsia="Times New Roman" w:hint="default"/>
                <w:sz w:val="14"/>
                <w:szCs w:val="14"/>
              </w:rPr>
            </w:pPr>
            <w:r>
              <w:rPr>
                <w:rFonts w:ascii="Times New Roman"/>
                <w:spacing w:val="-1"/>
                <w:sz w:val="14"/>
              </w:rPr>
              <w:t>0.00</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96"/>
              <w:jc w:val="right"/>
              <w:rPr>
                <w:rFonts w:ascii="Times New Roman" w:hAnsi="Times New Roman" w:cs="Times New Roman" w:eastAsia="Times New Roman" w:hint="default"/>
                <w:sz w:val="14"/>
                <w:szCs w:val="14"/>
              </w:rPr>
            </w:pPr>
            <w:r>
              <w:rPr>
                <w:rFonts w:ascii="Times New Roman"/>
                <w:spacing w:val="-1"/>
                <w:sz w:val="14"/>
              </w:rPr>
              <w:t>2,659,152.40</w:t>
            </w:r>
          </w:p>
        </w:tc>
        <w:tc>
          <w:tcPr>
            <w:tcW w:w="117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4"/>
                <w:szCs w:val="14"/>
              </w:rPr>
            </w:pPr>
            <w:r>
              <w:rPr>
                <w:rFonts w:ascii="Times New Roman"/>
                <w:spacing w:val="-1"/>
                <w:sz w:val="14"/>
              </w:rPr>
              <w:t>2,659,152.40</w:t>
            </w:r>
          </w:p>
        </w:tc>
      </w:tr>
    </w:tbl>
    <w:p>
      <w:pPr>
        <w:spacing w:after="0" w:line="240" w:lineRule="auto"/>
        <w:jc w:val="right"/>
        <w:rPr>
          <w:rFonts w:ascii="Times New Roman" w:hAnsi="Times New Roman" w:cs="Times New Roman" w:eastAsia="Times New Roman" w:hint="default"/>
          <w:sz w:val="14"/>
          <w:szCs w:val="14"/>
        </w:rPr>
        <w:sectPr>
          <w:type w:val="continuous"/>
          <w:pgSz w:w="11910" w:h="16840"/>
          <w:pgMar w:top="1600" w:bottom="280" w:left="860" w:right="7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4"/>
          <w:szCs w:val="14"/>
        </w:rPr>
      </w:pPr>
    </w:p>
    <w:p>
      <w:pPr>
        <w:spacing w:line="30" w:lineRule="exact"/>
        <w:ind w:left="129"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488.55pt;height:1.5pt;mso-position-horizontal-relative:char;mso-position-vertical-relative:line" coordorigin="0,0" coordsize="9771,30">
            <v:group style="position:absolute;left:15;top:15;width:9741;height:2" coordorigin="15,15" coordsize="9741,2">
              <v:shape style="position:absolute;left:15;top:15;width:9741;height:2" coordorigin="15,15" coordsize="9741,0" path="m15,15l9755,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after="0" w:line="30" w:lineRule="exact"/>
        <w:rPr>
          <w:rFonts w:ascii="Microsoft JhengHei" w:hAnsi="Microsoft JhengHei" w:cs="Microsoft JhengHei" w:eastAsia="Microsoft JhengHei" w:hint="default"/>
          <w:sz w:val="3"/>
          <w:szCs w:val="3"/>
        </w:rPr>
        <w:sectPr>
          <w:pgSz w:w="11910" w:h="16840"/>
          <w:pgMar w:header="610" w:footer="784" w:top="1080" w:bottom="980" w:left="1000" w:right="880"/>
        </w:sectPr>
      </w:pPr>
    </w:p>
    <w:p>
      <w:pPr>
        <w:tabs>
          <w:tab w:pos="3312" w:val="left" w:leader="none"/>
          <w:tab w:pos="4312" w:val="left" w:leader="none"/>
          <w:tab w:pos="5435" w:val="left" w:leader="none"/>
        </w:tabs>
        <w:spacing w:line="127" w:lineRule="auto" w:before="80"/>
        <w:ind w:left="3312" w:right="0" w:hanging="3060"/>
        <w:jc w:val="left"/>
        <w:rPr>
          <w:rFonts w:ascii="Microsoft JhengHei" w:hAnsi="Microsoft JhengHei" w:cs="Microsoft JhengHei" w:eastAsia="Microsoft JhengHei" w:hint="default"/>
          <w:sz w:val="16"/>
          <w:szCs w:val="16"/>
        </w:rPr>
      </w:pPr>
      <w:r>
        <w:rPr/>
        <w:pict>
          <v:group style="position:absolute;margin-left:57.240002pt;margin-top:20.21155pt;width:487.05pt;height:.1pt;mso-position-horizontal-relative:page;mso-position-vertical-relative:paragraph;z-index:-898480" coordorigin="1145,404" coordsize="9741,2">
            <v:shape style="position:absolute;left:1145;top:404;width:9741;height:2" coordorigin="1145,404" coordsize="9741,0" path="m1145,404l10885,404e" filled="false" stroked="true" strokeweight=".48pt" strokecolor="#000000">
              <v:path arrowok="t"/>
            </v:shape>
            <w10:wrap type="none"/>
          </v:group>
        </w:pict>
      </w:r>
      <w:r>
        <w:rPr>
          <w:rFonts w:ascii="Microsoft JhengHei" w:hAnsi="Microsoft JhengHei" w:cs="Microsoft JhengHei" w:eastAsia="Microsoft JhengHei" w:hint="default"/>
          <w:b/>
          <w:bCs/>
          <w:sz w:val="16"/>
          <w:szCs w:val="16"/>
        </w:rPr>
        <w:t>被投资单位名称</w:t>
        <w:tab/>
      </w:r>
      <w:r>
        <w:rPr>
          <w:rFonts w:ascii="Microsoft JhengHei" w:hAnsi="Microsoft JhengHei" w:cs="Microsoft JhengHei" w:eastAsia="Microsoft JhengHei" w:hint="default"/>
          <w:b/>
          <w:bCs/>
          <w:position w:val="10"/>
          <w:sz w:val="16"/>
          <w:szCs w:val="16"/>
        </w:rPr>
        <w:t>持股</w:t>
        <w:tab/>
        <w:t>初始</w:t>
        <w:tab/>
        <w:t>追加</w:t>
      </w:r>
      <w:r>
        <w:rPr>
          <w:rFonts w:ascii="Microsoft JhengHei" w:hAnsi="Microsoft JhengHei" w:cs="Microsoft JhengHei" w:eastAsia="Microsoft JhengHei" w:hint="default"/>
          <w:b/>
          <w:bCs/>
          <w:spacing w:val="1"/>
          <w:w w:val="99"/>
          <w:position w:val="10"/>
          <w:sz w:val="16"/>
          <w:szCs w:val="16"/>
        </w:rPr>
        <w:t> </w:t>
      </w:r>
      <w:r>
        <w:rPr>
          <w:rFonts w:ascii="Microsoft JhengHei" w:hAnsi="Microsoft JhengHei" w:cs="Microsoft JhengHei" w:eastAsia="Microsoft JhengHei" w:hint="default"/>
          <w:b/>
          <w:bCs/>
          <w:sz w:val="16"/>
          <w:szCs w:val="16"/>
        </w:rPr>
        <w:t>比例</w:t>
        <w:tab/>
        <w:t>金额</w:t>
        <w:tab/>
        <w:t>金额</w:t>
      </w:r>
      <w:r>
        <w:rPr>
          <w:rFonts w:ascii="Microsoft JhengHei" w:hAnsi="Microsoft JhengHei" w:cs="Microsoft JhengHei" w:eastAsia="Microsoft JhengHei" w:hint="default"/>
          <w:sz w:val="16"/>
          <w:szCs w:val="16"/>
        </w:rPr>
      </w:r>
    </w:p>
    <w:p>
      <w:pPr>
        <w:tabs>
          <w:tab w:pos="1493" w:val="left" w:leader="none"/>
          <w:tab w:pos="2734" w:val="left" w:leader="none"/>
        </w:tabs>
        <w:spacing w:line="161" w:lineRule="exact" w:before="0"/>
        <w:ind w:left="252" w:right="0" w:firstLine="0"/>
        <w:jc w:val="left"/>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年初</w:t>
        <w:tab/>
        <w:t>本年</w:t>
        <w:tab/>
        <w:t>年末</w:t>
      </w:r>
      <w:r>
        <w:rPr>
          <w:rFonts w:ascii="Microsoft JhengHei" w:hAnsi="Microsoft JhengHei" w:cs="Microsoft JhengHei" w:eastAsia="Microsoft JhengHei" w:hint="default"/>
          <w:sz w:val="16"/>
          <w:szCs w:val="16"/>
        </w:rPr>
      </w:r>
    </w:p>
    <w:p>
      <w:pPr>
        <w:tabs>
          <w:tab w:pos="1332" w:val="left" w:leader="none"/>
          <w:tab w:pos="2734" w:val="left" w:leader="none"/>
        </w:tabs>
        <w:spacing w:line="239" w:lineRule="exact" w:before="0"/>
        <w:ind w:left="252"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权益增减</w:t>
        <w:tab/>
        <w:t>金额</w:t>
      </w:r>
      <w:r>
        <w:rPr>
          <w:rFonts w:ascii="Microsoft JhengHei" w:hAnsi="Microsoft JhengHei" w:cs="Microsoft JhengHei" w:eastAsia="Microsoft JhengHei" w:hint="default"/>
          <w:sz w:val="16"/>
          <w:szCs w:val="16"/>
        </w:rPr>
      </w:r>
    </w:p>
    <w:p>
      <w:pPr>
        <w:spacing w:after="0" w:line="239" w:lineRule="exact"/>
        <w:jc w:val="left"/>
        <w:rPr>
          <w:rFonts w:ascii="Microsoft JhengHei" w:hAnsi="Microsoft JhengHei" w:cs="Microsoft JhengHei" w:eastAsia="Microsoft JhengHei" w:hint="default"/>
          <w:sz w:val="16"/>
          <w:szCs w:val="16"/>
        </w:rPr>
        <w:sectPr>
          <w:type w:val="continuous"/>
          <w:pgSz w:w="11910" w:h="16840"/>
          <w:pgMar w:top="1600" w:bottom="280" w:left="1000" w:right="880"/>
          <w:cols w:num="2" w:equalWidth="0">
            <w:col w:w="5758" w:space="604"/>
            <w:col w:w="3668"/>
          </w:cols>
        </w:sectPr>
      </w:pPr>
    </w:p>
    <w:p>
      <w:pPr>
        <w:tabs>
          <w:tab w:pos="4001" w:val="left" w:leader="none"/>
          <w:tab w:pos="5161" w:val="left" w:leader="none"/>
          <w:tab w:pos="6247" w:val="left" w:leader="none"/>
          <w:tab w:pos="7517" w:val="left" w:leader="none"/>
          <w:tab w:pos="8728" w:val="left" w:leader="none"/>
        </w:tabs>
        <w:spacing w:line="233" w:lineRule="exact" w:before="0"/>
        <w:ind w:left="252" w:right="0" w:firstLine="0"/>
        <w:jc w:val="left"/>
        <w:rPr>
          <w:rFonts w:ascii="Times New Roman" w:hAnsi="Times New Roman" w:cs="Times New Roman" w:eastAsia="Times New Roman" w:hint="default"/>
          <w:sz w:val="14"/>
          <w:szCs w:val="14"/>
        </w:rPr>
      </w:pPr>
      <w:r>
        <w:rPr/>
        <w:pict>
          <v:group style="position:absolute;margin-left:85.199997pt;margin-top:695.369995pt;width:431.55pt;height:.1pt;mso-position-horizontal-relative:page;mso-position-vertical-relative:page;z-index:-898432" coordorigin="1704,13907" coordsize="8631,2">
            <v:shape style="position:absolute;left:1704;top:13907;width:8631;height:2" coordorigin="1704,13907" coordsize="8631,0" path="m1704,13907l10334,13907e" filled="false" stroked="true" strokeweight="1.5pt" strokecolor="#000000">
              <v:path arrowok="t"/>
            </v:shape>
            <w10:wrap type="none"/>
          </v:group>
        </w:pict>
      </w:r>
      <w:r>
        <w:rPr/>
        <w:pict>
          <v:shape style="position:absolute;margin-left:84.839996pt;margin-top:709.140015pt;width:431.9pt;height:58.75pt;mso-position-horizontal-relative:page;mso-position-vertical-relative:page;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0"/>
                    <w:gridCol w:w="1627"/>
                    <w:gridCol w:w="1205"/>
                    <w:gridCol w:w="851"/>
                    <w:gridCol w:w="522"/>
                    <w:gridCol w:w="1168"/>
                    <w:gridCol w:w="1426"/>
                  </w:tblGrid>
                  <w:tr>
                    <w:trPr>
                      <w:trHeight w:val="265" w:hRule="exact"/>
                    </w:trPr>
                    <w:tc>
                      <w:tcPr>
                        <w:tcW w:w="4672" w:type="dxa"/>
                        <w:gridSpan w:val="3"/>
                        <w:tcBorders>
                          <w:top w:val="nil" w:sz="6" w:space="0" w:color="auto"/>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Style w:val="TableParagraph"/>
                          <w:spacing w:line="233" w:lineRule="exact"/>
                          <w:ind w:left="4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r>
                        <w:r>
                          <w:rPr>
                            <w:rFonts w:ascii="Microsoft JhengHei" w:hAnsi="Microsoft JhengHei" w:cs="Microsoft JhengHei" w:eastAsia="Microsoft JhengHei" w:hint="default"/>
                            <w:sz w:val="18"/>
                            <w:szCs w:val="18"/>
                          </w:rPr>
                        </w:r>
                      </w:p>
                    </w:tc>
                    <w:tc>
                      <w:tcPr>
                        <w:tcW w:w="522" w:type="dxa"/>
                        <w:tcBorders>
                          <w:top w:val="single" w:sz="4" w:space="0" w:color="000000"/>
                          <w:left w:val="nil" w:sz="6" w:space="0" w:color="auto"/>
                          <w:bottom w:val="single" w:sz="4" w:space="0" w:color="000000"/>
                          <w:right w:val="nil" w:sz="6" w:space="0" w:color="auto"/>
                        </w:tcBorders>
                      </w:tcPr>
                      <w:p>
                        <w:pP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33" w:lineRule="exact"/>
                          <w:ind w:left="1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其他转出</w:t>
                        </w:r>
                        <w:r>
                          <w:rPr>
                            <w:rFonts w:ascii="Microsoft JhengHei" w:hAnsi="Microsoft JhengHei" w:cs="Microsoft JhengHei" w:eastAsia="Microsoft JhengHei" w:hint="default"/>
                            <w:sz w:val="18"/>
                            <w:szCs w:val="18"/>
                          </w:rPr>
                        </w:r>
                      </w:p>
                    </w:tc>
                    <w:tc>
                      <w:tcPr>
                        <w:tcW w:w="1426" w:type="dxa"/>
                        <w:tcBorders>
                          <w:top w:val="nil" w:sz="6" w:space="0" w:color="auto"/>
                          <w:left w:val="nil" w:sz="6" w:space="0" w:color="auto"/>
                          <w:bottom w:val="single" w:sz="4" w:space="0" w:color="000000"/>
                          <w:right w:val="nil" w:sz="6" w:space="0" w:color="auto"/>
                        </w:tcBorders>
                      </w:tcPr>
                      <w:p>
                        <w:pPr/>
                      </w:p>
                    </w:tc>
                  </w:tr>
                  <w:tr>
                    <w:trPr>
                      <w:trHeight w:val="292" w:hRule="exact"/>
                    </w:trPr>
                    <w:tc>
                      <w:tcPr>
                        <w:tcW w:w="184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万德福磁带公司</w:t>
                        </w:r>
                      </w:p>
                    </w:tc>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89"/>
                          <w:jc w:val="right"/>
                          <w:rPr>
                            <w:rFonts w:ascii="Times New Roman" w:hAnsi="Times New Roman" w:cs="Times New Roman" w:eastAsia="Times New Roman" w:hint="default"/>
                            <w:sz w:val="18"/>
                            <w:szCs w:val="18"/>
                          </w:rPr>
                        </w:pPr>
                        <w:r>
                          <w:rPr>
                            <w:rFonts w:ascii="Times New Roman"/>
                            <w:spacing w:val="-1"/>
                            <w:sz w:val="18"/>
                          </w:rPr>
                          <w:t>2,741,550.00</w:t>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nil" w:sz="6" w:space="0" w:color="auto"/>
                          <w:bottom w:val="nil" w:sz="6" w:space="0" w:color="auto"/>
                          <w:right w:val="nil" w:sz="6" w:space="0" w:color="auto"/>
                        </w:tcBorders>
                      </w:tcPr>
                      <w:p>
                        <w:pPr/>
                      </w:p>
                    </w:tc>
                    <w:tc>
                      <w:tcPr>
                        <w:tcW w:w="52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9" w:right="0"/>
                          <w:jc w:val="lef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0.00</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2,741,550.00</w:t>
                        </w:r>
                      </w:p>
                    </w:tc>
                  </w:tr>
                  <w:tr>
                    <w:trPr>
                      <w:trHeight w:val="284" w:hRule="exact"/>
                    </w:trPr>
                    <w:tc>
                      <w:tcPr>
                        <w:tcW w:w="184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Times New Roman" w:hAnsi="Times New Roman" w:cs="Times New Roman" w:eastAsia="Times New Roman" w:hint="default"/>
                            <w:sz w:val="18"/>
                            <w:szCs w:val="18"/>
                          </w:rPr>
                        </w:pPr>
                        <w:r>
                          <w:rPr>
                            <w:rFonts w:ascii="Times New Roman"/>
                            <w:sz w:val="18"/>
                          </w:rPr>
                          <w:t>Technovator</w:t>
                        </w:r>
                        <w:r>
                          <w:rPr>
                            <w:rFonts w:ascii="Times New Roman"/>
                            <w:spacing w:val="-15"/>
                            <w:sz w:val="18"/>
                          </w:rPr>
                          <w:t> </w:t>
                        </w:r>
                        <w:r>
                          <w:rPr>
                            <w:rFonts w:ascii="Times New Roman"/>
                            <w:sz w:val="18"/>
                          </w:rPr>
                          <w:t>Qatar</w:t>
                        </w:r>
                      </w:p>
                    </w:tc>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89"/>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184,534.20</w:t>
                        </w:r>
                      </w:p>
                    </w:tc>
                    <w:tc>
                      <w:tcPr>
                        <w:tcW w:w="851" w:type="dxa"/>
                        <w:tcBorders>
                          <w:top w:val="nil" w:sz="6" w:space="0" w:color="auto"/>
                          <w:left w:val="nil" w:sz="6" w:space="0" w:color="auto"/>
                          <w:bottom w:val="single" w:sz="4" w:space="0" w:color="000000"/>
                          <w:right w:val="nil" w:sz="6" w:space="0" w:color="auto"/>
                        </w:tcBorders>
                      </w:tcPr>
                      <w:p>
                        <w:pPr/>
                      </w:p>
                    </w:tc>
                    <w:tc>
                      <w:tcPr>
                        <w:tcW w:w="52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9" w:right="0"/>
                          <w:jc w:val="left"/>
                          <w:rPr>
                            <w:rFonts w:ascii="Times New Roman" w:hAnsi="Times New Roman" w:cs="Times New Roman" w:eastAsia="Times New Roman" w:hint="default"/>
                            <w:sz w:val="18"/>
                            <w:szCs w:val="18"/>
                          </w:rPr>
                        </w:pPr>
                        <w:r>
                          <w:rPr>
                            <w:rFonts w:ascii="Times New Roman"/>
                            <w:sz w:val="18"/>
                          </w:rPr>
                          <w:t>0.00</w:t>
                        </w: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0.00</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184,534.20</w:t>
                        </w:r>
                      </w:p>
                    </w:tc>
                  </w:tr>
                  <w:tr>
                    <w:trPr>
                      <w:trHeight w:val="303" w:hRule="exact"/>
                    </w:trPr>
                    <w:tc>
                      <w:tcPr>
                        <w:tcW w:w="1840"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89"/>
                          <w:jc w:val="right"/>
                          <w:rPr>
                            <w:rFonts w:ascii="Times New Roman" w:hAnsi="Times New Roman" w:cs="Times New Roman" w:eastAsia="Times New Roman" w:hint="default"/>
                            <w:sz w:val="18"/>
                            <w:szCs w:val="18"/>
                          </w:rPr>
                        </w:pPr>
                        <w:r>
                          <w:rPr>
                            <w:rFonts w:ascii="Times New Roman"/>
                            <w:b/>
                            <w:spacing w:val="-1"/>
                            <w:sz w:val="18"/>
                          </w:rPr>
                          <w:t>2,741,550.00</w:t>
                        </w:r>
                        <w:r>
                          <w:rPr>
                            <w:rFonts w:ascii="Times New Roman"/>
                            <w:spacing w:val="-1"/>
                            <w:sz w:val="18"/>
                          </w:rPr>
                        </w:r>
                      </w:p>
                    </w:tc>
                    <w:tc>
                      <w:tcPr>
                        <w:tcW w:w="120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z w:val="18"/>
                          </w:rPr>
                          <w:t>184,534.20</w:t>
                        </w:r>
                        <w:r>
                          <w:rPr>
                            <w:rFonts w:ascii="Times New Roman"/>
                            <w:sz w:val="18"/>
                          </w:rPr>
                        </w:r>
                      </w:p>
                    </w:tc>
                    <w:tc>
                      <w:tcPr>
                        <w:tcW w:w="851" w:type="dxa"/>
                        <w:tcBorders>
                          <w:top w:val="single" w:sz="4" w:space="0" w:color="000000"/>
                          <w:left w:val="nil" w:sz="6" w:space="0" w:color="auto"/>
                          <w:bottom w:val="single" w:sz="12" w:space="0" w:color="000000"/>
                          <w:right w:val="nil" w:sz="6" w:space="0" w:color="auto"/>
                        </w:tcBorders>
                      </w:tcPr>
                      <w:p>
                        <w:pPr/>
                      </w:p>
                    </w:tc>
                    <w:tc>
                      <w:tcPr>
                        <w:tcW w:w="5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9"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6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2,926,084.20</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4"/>
          <w:szCs w:val="14"/>
        </w:rPr>
        <w:t>合计</w:t>
        <w:tab/>
      </w:r>
      <w:r>
        <w:rPr>
          <w:rFonts w:ascii="Times New Roman" w:hAnsi="Times New Roman" w:cs="Times New Roman" w:eastAsia="Times New Roman" w:hint="default"/>
          <w:b/>
          <w:bCs/>
          <w:spacing w:val="-1"/>
          <w:sz w:val="14"/>
          <w:szCs w:val="14"/>
        </w:rPr>
        <w:t>780,200,977.97</w:t>
        <w:tab/>
        <w:t>58,913,964.61</w:t>
        <w:tab/>
        <w:t>1,401,190,933.49</w:t>
        <w:tab/>
        <w:t>-310,737,650.35</w:t>
        <w:tab/>
        <w:t>1,090,453,283.14</w:t>
      </w:r>
      <w:r>
        <w:rPr>
          <w:rFonts w:ascii="Times New Roman" w:hAnsi="Times New Roman" w:cs="Times New Roman" w:eastAsia="Times New Roman" w:hint="default"/>
          <w:spacing w:val="-1"/>
          <w:sz w:val="14"/>
          <w:szCs w:val="14"/>
        </w:rPr>
      </w:r>
    </w:p>
    <w:p>
      <w:pPr>
        <w:spacing w:line="240" w:lineRule="auto" w:before="10"/>
        <w:rPr>
          <w:rFonts w:ascii="Times New Roman" w:hAnsi="Times New Roman" w:cs="Times New Roman" w:eastAsia="Times New Roman" w:hint="default"/>
          <w:b/>
          <w:bCs/>
          <w:sz w:val="2"/>
          <w:szCs w:val="2"/>
        </w:rPr>
      </w:pPr>
    </w:p>
    <w:p>
      <w:pPr>
        <w:spacing w:line="30" w:lineRule="exact"/>
        <w:ind w:left="115"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9.6pt;height:1.5pt;mso-position-horizontal-relative:char;mso-position-vertical-relative:line" coordorigin="0,0" coordsize="9792,30">
            <v:group style="position:absolute;left:15;top:15;width:2926;height:2" coordorigin="15,15" coordsize="2926,2">
              <v:shape style="position:absolute;left:15;top:15;width:2926;height:2" coordorigin="15,15" coordsize="2926,0" path="m15,15l2941,15e" filled="false" stroked="true" strokeweight="1.5pt" strokecolor="#000000">
                <v:path arrowok="t"/>
              </v:shape>
            </v:group>
            <v:group style="position:absolute;left:2926;top:15;width:852;height:2" coordorigin="2926,15" coordsize="852,2">
              <v:shape style="position:absolute;left:2926;top:15;width:852;height:2" coordorigin="2926,15" coordsize="852,0" path="m2926,15l3778,15e" filled="false" stroked="true" strokeweight="1.5pt" strokecolor="#000000">
                <v:path arrowok="t"/>
              </v:shape>
            </v:group>
            <v:group style="position:absolute;left:3764;top:15;width:1175;height:2" coordorigin="3764,15" coordsize="1175,2">
              <v:shape style="position:absolute;left:3764;top:15;width:1175;height:2" coordorigin="3764,15" coordsize="1175,0" path="m3764,15l4939,15e" filled="false" stroked="true" strokeweight="1.5pt" strokecolor="#000000">
                <v:path arrowok="t"/>
              </v:shape>
            </v:group>
            <v:group style="position:absolute;left:4924;top:15;width:1101;height:2" coordorigin="4924,15" coordsize="1101,2">
              <v:shape style="position:absolute;left:4924;top:15;width:1101;height:2" coordorigin="4924,15" coordsize="1101,0" path="m4924,15l6025,15e" filled="false" stroked="true" strokeweight="1.5pt" strokecolor="#000000">
                <v:path arrowok="t"/>
              </v:shape>
            </v:group>
            <v:group style="position:absolute;left:6010;top:15;width:30;height:2" coordorigin="6010,15" coordsize="30,2">
              <v:shape style="position:absolute;left:6010;top:15;width:30;height:2" coordorigin="6010,15" coordsize="30,0" path="m6010,15l6040,15e" filled="false" stroked="true" strokeweight="1.5pt" strokecolor="#000000">
                <v:path arrowok="t"/>
              </v:shape>
            </v:group>
            <v:group style="position:absolute;left:6040;top:15;width:1256;height:2" coordorigin="6040,15" coordsize="1256,2">
              <v:shape style="position:absolute;left:6040;top:15;width:1256;height:2" coordorigin="6040,15" coordsize="1256,0" path="m6040,15l7295,15e" filled="false" stroked="true" strokeweight="1.5pt" strokecolor="#000000">
                <v:path arrowok="t"/>
              </v:shape>
            </v:group>
            <v:group style="position:absolute;left:7281;top:15;width:1226;height:2" coordorigin="7281,15" coordsize="1226,2">
              <v:shape style="position:absolute;left:7281;top:15;width:1226;height:2" coordorigin="7281,15" coordsize="1226,0" path="m7281,15l8506,15e" filled="false" stroked="true" strokeweight="1.5pt" strokecolor="#000000">
                <v:path arrowok="t"/>
              </v:shape>
            </v:group>
            <v:group style="position:absolute;left:8492;top:15;width:1286;height:2" coordorigin="8492,15" coordsize="1286,2">
              <v:shape style="position:absolute;left:8492;top:15;width:1286;height:2" coordorigin="8492,15" coordsize="1286,0" path="m8492,15l9777,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line="240" w:lineRule="auto" w:before="5"/>
        <w:rPr>
          <w:rFonts w:ascii="Times New Roman" w:hAnsi="Times New Roman" w:cs="Times New Roman" w:eastAsia="Times New Roman" w:hint="default"/>
          <w:b/>
          <w:bCs/>
          <w:sz w:val="5"/>
          <w:szCs w:val="5"/>
        </w:rPr>
      </w:pPr>
    </w:p>
    <w:p>
      <w:pPr>
        <w:spacing w:before="31"/>
        <w:ind w:left="871" w:right="0" w:firstLine="0"/>
        <w:jc w:val="left"/>
        <w:rPr>
          <w:rFonts w:ascii="楷体" w:hAnsi="楷体" w:cs="楷体" w:eastAsia="楷体" w:hint="default"/>
          <w:sz w:val="22"/>
          <w:szCs w:val="22"/>
        </w:rPr>
      </w:pPr>
      <w:r>
        <w:rPr/>
        <w:pict>
          <v:group style="position:absolute;margin-left:84.839996pt;margin-top:24.867937pt;width:431.9pt;height:.1pt;mso-position-horizontal-relative:page;mso-position-vertical-relative:paragraph;z-index:-898456" coordorigin="1697,497" coordsize="8638,2">
            <v:shape style="position:absolute;left:1697;top:497;width:8638;height:2" coordorigin="1697,497" coordsize="8638,0" path="m1697,497l10334,497e" filled="false" stroked="true" strokeweight="1.5pt" strokecolor="#000000">
              <v:path arrowok="t"/>
            </v:shape>
            <w10:wrap type="none"/>
          </v:group>
        </w:pict>
      </w: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对联营企业的投资</w:t>
      </w:r>
    </w:p>
    <w:p>
      <w:pPr>
        <w:spacing w:line="240" w:lineRule="auto" w:before="8"/>
        <w:rPr>
          <w:rFonts w:ascii="楷体" w:hAnsi="楷体" w:cs="楷体" w:eastAsia="楷体" w:hint="default"/>
          <w:sz w:val="7"/>
          <w:szCs w:val="7"/>
        </w:rPr>
      </w:pPr>
    </w:p>
    <w:tbl>
      <w:tblPr>
        <w:tblW w:w="0" w:type="auto"/>
        <w:jc w:val="left"/>
        <w:tblInd w:w="696" w:type="dxa"/>
        <w:tblLayout w:type="fixed"/>
        <w:tblCellMar>
          <w:top w:w="0" w:type="dxa"/>
          <w:left w:w="0" w:type="dxa"/>
          <w:bottom w:w="0" w:type="dxa"/>
          <w:right w:w="0" w:type="dxa"/>
        </w:tblCellMar>
        <w:tblLook w:val="01E0"/>
      </w:tblPr>
      <w:tblGrid>
        <w:gridCol w:w="3193"/>
        <w:gridCol w:w="969"/>
        <w:gridCol w:w="3496"/>
        <w:gridCol w:w="980"/>
      </w:tblGrid>
      <w:tr>
        <w:trPr>
          <w:trHeight w:val="482" w:hRule="exact"/>
        </w:trPr>
        <w:tc>
          <w:tcPr>
            <w:tcW w:w="3193"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10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被投资单位名称</w:t>
            </w:r>
            <w:r>
              <w:rPr>
                <w:rFonts w:ascii="Microsoft JhengHei" w:hAnsi="Microsoft JhengHei" w:cs="Microsoft JhengHei" w:eastAsia="Microsoft JhengHei" w:hint="default"/>
                <w:sz w:val="16"/>
                <w:szCs w:val="16"/>
              </w:rPr>
            </w:r>
          </w:p>
        </w:tc>
        <w:tc>
          <w:tcPr>
            <w:tcW w:w="969"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84"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注册地</w:t>
            </w:r>
            <w:r>
              <w:rPr>
                <w:rFonts w:ascii="Microsoft JhengHei" w:hAnsi="Microsoft JhengHei" w:cs="Microsoft JhengHei" w:eastAsia="Microsoft JhengHei" w:hint="default"/>
                <w:sz w:val="16"/>
                <w:szCs w:val="16"/>
              </w:rPr>
            </w:r>
          </w:p>
        </w:tc>
        <w:tc>
          <w:tcPr>
            <w:tcW w:w="3496"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3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主营业务</w:t>
            </w:r>
            <w:r>
              <w:rPr>
                <w:rFonts w:ascii="Microsoft JhengHei" w:hAnsi="Microsoft JhengHei" w:cs="Microsoft JhengHei" w:eastAsia="Microsoft JhengHei" w:hint="default"/>
                <w:sz w:val="16"/>
                <w:szCs w:val="16"/>
              </w:rPr>
            </w:r>
          </w:p>
        </w:tc>
        <w:tc>
          <w:tcPr>
            <w:tcW w:w="980" w:type="dxa"/>
            <w:tcBorders>
              <w:top w:val="nil" w:sz="6" w:space="0" w:color="auto"/>
              <w:left w:val="nil" w:sz="6" w:space="0" w:color="auto"/>
              <w:bottom w:val="single" w:sz="4" w:space="0" w:color="000000"/>
              <w:right w:val="nil" w:sz="6" w:space="0" w:color="auto"/>
            </w:tcBorders>
          </w:tcPr>
          <w:p>
            <w:pPr>
              <w:pStyle w:val="TableParagraph"/>
              <w:spacing w:line="172" w:lineRule="auto" w:before="66"/>
              <w:ind w:left="340" w:right="316"/>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持股</w:t>
            </w:r>
            <w:r>
              <w:rPr>
                <w:rFonts w:ascii="Microsoft JhengHei" w:hAnsi="Microsoft JhengHei" w:cs="Microsoft JhengHei" w:eastAsia="Microsoft JhengHei" w:hint="default"/>
                <w:b/>
                <w:bCs/>
                <w:spacing w:val="1"/>
                <w:w w:val="99"/>
                <w:sz w:val="16"/>
                <w:szCs w:val="16"/>
              </w:rPr>
              <w:t> </w:t>
            </w:r>
            <w:r>
              <w:rPr>
                <w:rFonts w:ascii="Microsoft JhengHei" w:hAnsi="Microsoft JhengHei" w:cs="Microsoft JhengHei" w:eastAsia="Microsoft JhengHei" w:hint="default"/>
                <w:b/>
                <w:bCs/>
                <w:sz w:val="16"/>
                <w:szCs w:val="16"/>
              </w:rPr>
              <w:t>比例</w:t>
            </w:r>
            <w:r>
              <w:rPr>
                <w:rFonts w:ascii="Microsoft JhengHei" w:hAnsi="Microsoft JhengHei" w:cs="Microsoft JhengHei" w:eastAsia="Microsoft JhengHei" w:hint="default"/>
                <w:sz w:val="16"/>
                <w:szCs w:val="16"/>
              </w:rPr>
            </w:r>
          </w:p>
        </w:tc>
      </w:tr>
      <w:tr>
        <w:trPr>
          <w:trHeight w:val="294" w:hRule="exact"/>
        </w:trPr>
        <w:tc>
          <w:tcPr>
            <w:tcW w:w="319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7" w:right="0"/>
              <w:jc w:val="left"/>
              <w:rPr>
                <w:rFonts w:ascii="楷体" w:hAnsi="楷体" w:cs="楷体" w:eastAsia="楷体" w:hint="default"/>
                <w:sz w:val="16"/>
                <w:szCs w:val="16"/>
              </w:rPr>
            </w:pPr>
            <w:r>
              <w:rPr>
                <w:rFonts w:ascii="楷体" w:hAnsi="楷体" w:cs="楷体" w:eastAsia="楷体" w:hint="default"/>
                <w:sz w:val="16"/>
                <w:szCs w:val="16"/>
              </w:rPr>
              <w:t>郑州同方神火科技有限公司</w:t>
            </w:r>
          </w:p>
        </w:tc>
        <w:tc>
          <w:tcPr>
            <w:tcW w:w="96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85" w:right="0"/>
              <w:jc w:val="center"/>
              <w:rPr>
                <w:rFonts w:ascii="楷体" w:hAnsi="楷体" w:cs="楷体" w:eastAsia="楷体" w:hint="default"/>
                <w:sz w:val="16"/>
                <w:szCs w:val="16"/>
              </w:rPr>
            </w:pPr>
            <w:r>
              <w:rPr>
                <w:rFonts w:ascii="楷体" w:hAnsi="楷体" w:cs="楷体" w:eastAsia="楷体" w:hint="default"/>
                <w:sz w:val="16"/>
                <w:szCs w:val="16"/>
              </w:rPr>
              <w:t>河南郑州</w:t>
            </w:r>
          </w:p>
        </w:tc>
        <w:tc>
          <w:tcPr>
            <w:tcW w:w="349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22" w:right="0"/>
              <w:jc w:val="left"/>
              <w:rPr>
                <w:rFonts w:ascii="楷体" w:hAnsi="楷体" w:cs="楷体" w:eastAsia="楷体" w:hint="default"/>
                <w:sz w:val="16"/>
                <w:szCs w:val="16"/>
              </w:rPr>
            </w:pPr>
            <w:r>
              <w:rPr>
                <w:rFonts w:ascii="楷体" w:hAnsi="楷体" w:cs="楷体" w:eastAsia="楷体" w:hint="default"/>
                <w:sz w:val="16"/>
                <w:szCs w:val="16"/>
              </w:rPr>
              <w:t>电子、通信、计算机软硬件，医疗仪器</w:t>
            </w:r>
          </w:p>
        </w:tc>
        <w:tc>
          <w:tcPr>
            <w:tcW w:w="9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2" w:right="0"/>
              <w:jc w:val="center"/>
              <w:rPr>
                <w:rFonts w:ascii="Times New Roman" w:hAnsi="Times New Roman" w:cs="Times New Roman" w:eastAsia="Times New Roman" w:hint="default"/>
                <w:sz w:val="16"/>
                <w:szCs w:val="16"/>
              </w:rPr>
            </w:pPr>
            <w:r>
              <w:rPr>
                <w:rFonts w:ascii="Times New Roman"/>
                <w:sz w:val="16"/>
              </w:rPr>
              <w:t>50.00%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北京中录同方文化传播有限公司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5" w:right="0"/>
              <w:jc w:val="center"/>
              <w:rPr>
                <w:rFonts w:ascii="楷体" w:hAnsi="楷体" w:cs="楷体" w:eastAsia="楷体" w:hint="default"/>
                <w:sz w:val="16"/>
                <w:szCs w:val="16"/>
              </w:rPr>
            </w:pPr>
            <w:r>
              <w:rPr>
                <w:rFonts w:ascii="楷体" w:hAnsi="楷体" w:cs="楷体" w:eastAsia="楷体" w:hint="default"/>
                <w:sz w:val="16"/>
                <w:szCs w:val="16"/>
              </w:rPr>
              <w:t>北京昌平</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音像制品、数字多媒体、宽频网络多媒体</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50.00%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嘉融投资有限公司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上海浦东</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实业投资、创业投资、投资咨询与管理</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50.00%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上海信业智能科技股份有限公司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上海卢湾</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智能建筑工程施工，计算机网络通讯设备经销</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50.00%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吉林同方科贸有限责任公司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吉林长春</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计算机及信息产品、人环控制设备、仪器仪表</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46.00%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云南云电同方科技有限公司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云南昆明</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Times New Roman" w:hAnsi="Times New Roman" w:cs="Times New Roman" w:eastAsia="Times New Roman" w:hint="default"/>
                <w:sz w:val="16"/>
                <w:szCs w:val="16"/>
              </w:rPr>
              <w:t>IT</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与电力高科技产品</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 w:right="0"/>
              <w:jc w:val="center"/>
              <w:rPr>
                <w:rFonts w:ascii="Times New Roman" w:hAnsi="Times New Roman" w:cs="Times New Roman" w:eastAsia="Times New Roman" w:hint="default"/>
                <w:sz w:val="16"/>
                <w:szCs w:val="16"/>
              </w:rPr>
            </w:pPr>
            <w:r>
              <w:rPr>
                <w:rFonts w:ascii="Times New Roman"/>
                <w:sz w:val="16"/>
              </w:rPr>
              <w:t>37.50%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同方环境股份有限公司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北京海淀</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环保工程、新能源发电、垃圾处理</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31.50%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同方投资有限公司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山东潍坊</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项目投资及管理、咨询服务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45.45%</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北京同方易豪科技有限公司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北京海淀</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酒店宽带互联网与互动数字电视系统解决方案</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48.37%</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北京亚仕同方科技有限公司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北京海淀</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Times New Roman" w:hAnsi="Times New Roman" w:cs="Times New Roman" w:eastAsia="Times New Roman" w:hint="default"/>
                <w:sz w:val="16"/>
                <w:szCs w:val="16"/>
              </w:rPr>
              <w:t>RFID</w:t>
            </w:r>
            <w:r>
              <w:rPr>
                <w:rFonts w:ascii="Times New Roman" w:hAnsi="Times New Roman" w:cs="Times New Roman" w:eastAsia="Times New Roman" w:hint="default"/>
                <w:spacing w:val="-7"/>
                <w:sz w:val="16"/>
                <w:szCs w:val="16"/>
              </w:rPr>
              <w:t> </w:t>
            </w:r>
            <w:r>
              <w:rPr>
                <w:rFonts w:ascii="楷体" w:hAnsi="楷体" w:cs="楷体" w:eastAsia="楷体" w:hint="default"/>
                <w:sz w:val="16"/>
                <w:szCs w:val="16"/>
              </w:rPr>
              <w:t>电子标签识别技术产品</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 w:right="0"/>
              <w:jc w:val="center"/>
              <w:rPr>
                <w:rFonts w:ascii="Times New Roman" w:hAnsi="Times New Roman" w:cs="Times New Roman" w:eastAsia="Times New Roman" w:hint="default"/>
                <w:sz w:val="16"/>
                <w:szCs w:val="16"/>
              </w:rPr>
            </w:pPr>
            <w:r>
              <w:rPr>
                <w:rFonts w:ascii="Times New Roman"/>
                <w:sz w:val="16"/>
              </w:rPr>
              <w:t>49.9999%</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上海百视通电视传媒有限公司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上海虹口</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Times New Roman" w:hAnsi="Times New Roman" w:cs="Times New Roman" w:eastAsia="Times New Roman" w:hint="default"/>
                <w:sz w:val="16"/>
                <w:szCs w:val="16"/>
              </w:rPr>
              <w:t>IPTV</w:t>
            </w:r>
            <w:r>
              <w:rPr>
                <w:rFonts w:ascii="Times New Roman" w:hAnsi="Times New Roman" w:cs="Times New Roman" w:eastAsia="Times New Roman" w:hint="default"/>
                <w:spacing w:val="-6"/>
                <w:sz w:val="16"/>
                <w:szCs w:val="16"/>
              </w:rPr>
              <w:t> </w:t>
            </w:r>
            <w:r>
              <w:rPr>
                <w:rFonts w:ascii="楷体" w:hAnsi="楷体" w:cs="楷体" w:eastAsia="楷体" w:hint="default"/>
                <w:sz w:val="16"/>
                <w:szCs w:val="16"/>
              </w:rPr>
              <w:t>视听节目、广告及相关“四技”业务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40.00%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百视通网络电视技术发展有限责任公司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上海长宁</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Times New Roman" w:hAnsi="Times New Roman" w:cs="Times New Roman" w:eastAsia="Times New Roman" w:hint="default"/>
                <w:sz w:val="16"/>
                <w:szCs w:val="16"/>
              </w:rPr>
              <w:t>IPTV</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信息、网络及应用技术服务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 w:right="0"/>
              <w:jc w:val="center"/>
              <w:rPr>
                <w:rFonts w:ascii="Times New Roman" w:hAnsi="Times New Roman" w:cs="Times New Roman" w:eastAsia="Times New Roman" w:hint="default"/>
                <w:sz w:val="16"/>
                <w:szCs w:val="16"/>
              </w:rPr>
            </w:pPr>
            <w:r>
              <w:rPr>
                <w:rFonts w:ascii="Times New Roman"/>
                <w:sz w:val="16"/>
              </w:rPr>
              <w:t>40.00%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南昌</w:t>
            </w:r>
            <w:r>
              <w:rPr>
                <w:rFonts w:ascii="楷体" w:hAnsi="楷体" w:cs="楷体" w:eastAsia="楷体" w:hint="default"/>
                <w:spacing w:val="-42"/>
                <w:sz w:val="16"/>
                <w:szCs w:val="16"/>
              </w:rPr>
              <w:t> </w:t>
            </w:r>
            <w:r>
              <w:rPr>
                <w:rFonts w:ascii="Times New Roman" w:hAnsi="Times New Roman" w:cs="Times New Roman" w:eastAsia="Times New Roman" w:hint="default"/>
                <w:sz w:val="16"/>
                <w:szCs w:val="16"/>
              </w:rPr>
              <w:t>ABB</w:t>
            </w:r>
            <w:r>
              <w:rPr>
                <w:rFonts w:ascii="Times New Roman" w:hAnsi="Times New Roman" w:cs="Times New Roman" w:eastAsia="Times New Roman" w:hint="default"/>
                <w:spacing w:val="-3"/>
                <w:sz w:val="16"/>
                <w:szCs w:val="16"/>
              </w:rPr>
              <w:t> </w:t>
            </w:r>
            <w:r>
              <w:rPr>
                <w:rFonts w:ascii="楷体" w:hAnsi="楷体" w:cs="楷体" w:eastAsia="楷体" w:hint="default"/>
                <w:sz w:val="16"/>
                <w:szCs w:val="16"/>
              </w:rPr>
              <w:t>泰豪发电机有限公司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江西南昌</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发电机产品的开发、设计、制造和销售</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49.00%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北京同方洁净技术有限公司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center"/>
              <w:rPr>
                <w:rFonts w:ascii="楷体" w:hAnsi="楷体" w:cs="楷体" w:eastAsia="楷体" w:hint="default"/>
                <w:sz w:val="16"/>
                <w:szCs w:val="16"/>
              </w:rPr>
            </w:pPr>
            <w:r>
              <w:rPr>
                <w:rFonts w:ascii="楷体" w:hAnsi="楷体" w:cs="楷体" w:eastAsia="楷体" w:hint="default"/>
                <w:sz w:val="16"/>
                <w:szCs w:val="16"/>
              </w:rPr>
              <w:t>北京海淀</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空气和水净化系统</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20.00%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无锡同方控制技术有限公司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center"/>
              <w:rPr>
                <w:rFonts w:ascii="楷体" w:hAnsi="楷体" w:cs="楷体" w:eastAsia="楷体" w:hint="default"/>
                <w:sz w:val="16"/>
                <w:szCs w:val="16"/>
              </w:rPr>
            </w:pPr>
            <w:r>
              <w:rPr>
                <w:rFonts w:ascii="楷体" w:hAnsi="楷体" w:cs="楷体" w:eastAsia="楷体" w:hint="default"/>
                <w:sz w:val="16"/>
                <w:szCs w:val="16"/>
              </w:rPr>
              <w:t>江苏无锡</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控制器及控制软件</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23.75%</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南昌创业投资有限公司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center"/>
              <w:rPr>
                <w:rFonts w:ascii="楷体" w:hAnsi="楷体" w:cs="楷体" w:eastAsia="楷体" w:hint="default"/>
                <w:sz w:val="16"/>
                <w:szCs w:val="16"/>
              </w:rPr>
            </w:pPr>
            <w:r>
              <w:rPr>
                <w:rFonts w:ascii="楷体" w:hAnsi="楷体" w:cs="楷体" w:eastAsia="楷体" w:hint="default"/>
                <w:sz w:val="16"/>
                <w:szCs w:val="16"/>
              </w:rPr>
              <w:t>江西南昌</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项目投资及相关管理和咨询服务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25.00%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天津泰豪智能科技有限公司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天津</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智能建筑技术产品销售、计算机系统咨询开发</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40.00%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济南吉美乐工程复印机设备有限公司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center"/>
              <w:rPr>
                <w:rFonts w:ascii="楷体" w:hAnsi="楷体" w:cs="楷体" w:eastAsia="楷体" w:hint="default"/>
                <w:sz w:val="16"/>
                <w:szCs w:val="16"/>
              </w:rPr>
            </w:pPr>
            <w:r>
              <w:rPr>
                <w:rFonts w:ascii="楷体" w:hAnsi="楷体" w:cs="楷体" w:eastAsia="楷体" w:hint="default"/>
                <w:sz w:val="16"/>
                <w:szCs w:val="16"/>
              </w:rPr>
              <w:t>山东济南</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工程机及办公自动化设备产销</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 w:right="0"/>
              <w:jc w:val="center"/>
              <w:rPr>
                <w:rFonts w:ascii="Times New Roman" w:hAnsi="Times New Roman" w:cs="Times New Roman" w:eastAsia="Times New Roman" w:hint="default"/>
                <w:sz w:val="16"/>
                <w:szCs w:val="16"/>
              </w:rPr>
            </w:pPr>
            <w:r>
              <w:rPr>
                <w:rFonts w:ascii="Times New Roman"/>
                <w:sz w:val="16"/>
              </w:rPr>
              <w:t>35.00%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北京文录激光科技有限公司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center"/>
              <w:rPr>
                <w:rFonts w:ascii="楷体" w:hAnsi="楷体" w:cs="楷体" w:eastAsia="楷体" w:hint="default"/>
                <w:sz w:val="16"/>
                <w:szCs w:val="16"/>
              </w:rPr>
            </w:pPr>
            <w:r>
              <w:rPr>
                <w:rFonts w:ascii="楷体" w:hAnsi="楷体" w:cs="楷体" w:eastAsia="楷体" w:hint="default"/>
                <w:sz w:val="16"/>
                <w:szCs w:val="16"/>
              </w:rPr>
              <w:t>北京海淀</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激光数码储存电子盘复制</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20.00%</w:t>
            </w:r>
          </w:p>
        </w:tc>
      </w:tr>
      <w:tr>
        <w:trPr>
          <w:trHeight w:val="284"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山西左云晋能发电有限公司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center"/>
              <w:rPr>
                <w:rFonts w:ascii="楷体" w:hAnsi="楷体" w:cs="楷体" w:eastAsia="楷体" w:hint="default"/>
                <w:sz w:val="16"/>
                <w:szCs w:val="16"/>
              </w:rPr>
            </w:pPr>
            <w:r>
              <w:rPr>
                <w:rFonts w:ascii="楷体" w:hAnsi="楷体" w:cs="楷体" w:eastAsia="楷体" w:hint="default"/>
                <w:sz w:val="16"/>
                <w:szCs w:val="16"/>
              </w:rPr>
              <w:t>山西左云</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1" w:right="0"/>
              <w:jc w:val="left"/>
              <w:rPr>
                <w:rFonts w:ascii="楷体" w:hAnsi="楷体" w:cs="楷体" w:eastAsia="楷体" w:hint="default"/>
                <w:sz w:val="16"/>
                <w:szCs w:val="16"/>
              </w:rPr>
            </w:pPr>
            <w:r>
              <w:rPr>
                <w:rFonts w:ascii="楷体" w:hAnsi="楷体" w:cs="楷体" w:eastAsia="楷体" w:hint="default"/>
                <w:sz w:val="16"/>
                <w:szCs w:val="16"/>
              </w:rPr>
              <w:t>煤矸石发电</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2" w:right="0"/>
              <w:jc w:val="center"/>
              <w:rPr>
                <w:rFonts w:ascii="Times New Roman" w:hAnsi="Times New Roman" w:cs="Times New Roman" w:eastAsia="Times New Roman" w:hint="default"/>
                <w:sz w:val="16"/>
                <w:szCs w:val="16"/>
              </w:rPr>
            </w:pPr>
            <w:r>
              <w:rPr>
                <w:rFonts w:ascii="Times New Roman"/>
                <w:sz w:val="16"/>
              </w:rPr>
              <w:t>35.00%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北京牡丹视源电子有限责任公司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5" w:right="0"/>
              <w:jc w:val="center"/>
              <w:rPr>
                <w:rFonts w:ascii="楷体" w:hAnsi="楷体" w:cs="楷体" w:eastAsia="楷体" w:hint="default"/>
                <w:sz w:val="16"/>
                <w:szCs w:val="16"/>
              </w:rPr>
            </w:pPr>
            <w:r>
              <w:rPr>
                <w:rFonts w:ascii="楷体" w:hAnsi="楷体" w:cs="楷体" w:eastAsia="楷体" w:hint="default"/>
                <w:sz w:val="16"/>
                <w:szCs w:val="16"/>
              </w:rPr>
              <w:t>北京海淀</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自营或代理种类商品和技术进出口</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35.48%</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北京九州同映国产数字电影院线有限公司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5" w:right="0"/>
              <w:jc w:val="center"/>
              <w:rPr>
                <w:rFonts w:ascii="楷体" w:hAnsi="楷体" w:cs="楷体" w:eastAsia="楷体" w:hint="default"/>
                <w:sz w:val="16"/>
                <w:szCs w:val="16"/>
              </w:rPr>
            </w:pPr>
            <w:r>
              <w:rPr>
                <w:rFonts w:ascii="楷体" w:hAnsi="楷体" w:cs="楷体" w:eastAsia="楷体" w:hint="default"/>
                <w:sz w:val="16"/>
                <w:szCs w:val="16"/>
              </w:rPr>
              <w:t>北京西城</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数字电影发行推广</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40.00%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上海同方友友电视购物有限公司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5" w:right="0"/>
              <w:jc w:val="center"/>
              <w:rPr>
                <w:rFonts w:ascii="楷体" w:hAnsi="楷体" w:cs="楷体" w:eastAsia="楷体" w:hint="default"/>
                <w:sz w:val="16"/>
                <w:szCs w:val="16"/>
              </w:rPr>
            </w:pPr>
            <w:r>
              <w:rPr>
                <w:rFonts w:ascii="楷体" w:hAnsi="楷体" w:cs="楷体" w:eastAsia="楷体" w:hint="default"/>
                <w:sz w:val="16"/>
                <w:szCs w:val="16"/>
              </w:rPr>
              <w:t>上海普陀</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电视购物及相关广告代理</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20.00%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北京威视科技发展有限公司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5" w:right="0"/>
              <w:jc w:val="center"/>
              <w:rPr>
                <w:rFonts w:ascii="楷体" w:hAnsi="楷体" w:cs="楷体" w:eastAsia="楷体" w:hint="default"/>
                <w:sz w:val="16"/>
                <w:szCs w:val="16"/>
              </w:rPr>
            </w:pPr>
            <w:r>
              <w:rPr>
                <w:rFonts w:ascii="楷体" w:hAnsi="楷体" w:cs="楷体" w:eastAsia="楷体" w:hint="default"/>
                <w:sz w:val="16"/>
                <w:szCs w:val="16"/>
              </w:rPr>
              <w:t>北京海淀</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网络安全产品与解决方案</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 w:right="0"/>
              <w:jc w:val="center"/>
              <w:rPr>
                <w:rFonts w:ascii="Times New Roman" w:hAnsi="Times New Roman" w:cs="Times New Roman" w:eastAsia="Times New Roman" w:hint="default"/>
                <w:sz w:val="16"/>
                <w:szCs w:val="16"/>
              </w:rPr>
            </w:pPr>
            <w:r>
              <w:rPr>
                <w:rFonts w:ascii="Times New Roman"/>
                <w:sz w:val="16"/>
              </w:rPr>
              <w:t>45.00%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北京卓凯生物技术有限公司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5" w:right="0"/>
              <w:jc w:val="center"/>
              <w:rPr>
                <w:rFonts w:ascii="楷体" w:hAnsi="楷体" w:cs="楷体" w:eastAsia="楷体" w:hint="default"/>
                <w:sz w:val="16"/>
                <w:szCs w:val="16"/>
              </w:rPr>
            </w:pPr>
            <w:r>
              <w:rPr>
                <w:rFonts w:ascii="楷体" w:hAnsi="楷体" w:cs="楷体" w:eastAsia="楷体" w:hint="default"/>
                <w:sz w:val="16"/>
                <w:szCs w:val="16"/>
              </w:rPr>
              <w:t>北京海淀</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生物科技</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20.00%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易程科技股份有限公司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5" w:right="0"/>
              <w:jc w:val="center"/>
              <w:rPr>
                <w:rFonts w:ascii="楷体" w:hAnsi="楷体" w:cs="楷体" w:eastAsia="楷体" w:hint="default"/>
                <w:sz w:val="16"/>
                <w:szCs w:val="16"/>
              </w:rPr>
            </w:pPr>
            <w:r>
              <w:rPr>
                <w:rFonts w:ascii="楷体" w:hAnsi="楷体" w:cs="楷体" w:eastAsia="楷体" w:hint="default"/>
                <w:sz w:val="16"/>
                <w:szCs w:val="16"/>
              </w:rPr>
              <w:t>北京海淀</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铁路客运专线信息服务系统、票务系统</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35.00%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开封广电同方数字电视有限公司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河南开封</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广播电视节目无线传输覆盖业务运营</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49.00%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商丘同方恒泰数字电视有限公司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河南商丘</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广播电视节目无线传输覆盖业务运营</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 w:right="0"/>
              <w:jc w:val="center"/>
              <w:rPr>
                <w:rFonts w:ascii="Times New Roman" w:hAnsi="Times New Roman" w:cs="Times New Roman" w:eastAsia="Times New Roman" w:hint="default"/>
                <w:sz w:val="16"/>
                <w:szCs w:val="16"/>
              </w:rPr>
            </w:pPr>
            <w:r>
              <w:rPr>
                <w:rFonts w:ascii="Times New Roman"/>
                <w:sz w:val="16"/>
              </w:rPr>
              <w:t>49.00%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泉州广电同方数字电视有限公司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center"/>
              <w:rPr>
                <w:rFonts w:ascii="楷体" w:hAnsi="楷体" w:cs="楷体" w:eastAsia="楷体" w:hint="default"/>
                <w:sz w:val="16"/>
                <w:szCs w:val="16"/>
              </w:rPr>
            </w:pPr>
            <w:r>
              <w:rPr>
                <w:rFonts w:ascii="楷体" w:hAnsi="楷体" w:cs="楷体" w:eastAsia="楷体" w:hint="default"/>
                <w:sz w:val="16"/>
                <w:szCs w:val="16"/>
              </w:rPr>
              <w:t>福建泉州</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广播电视节目无线传输覆盖业务运营</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49.00%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Times New Roman" w:hAnsi="Times New Roman" w:cs="Times New Roman" w:eastAsia="Times New Roman" w:hint="default"/>
                <w:sz w:val="16"/>
                <w:szCs w:val="16"/>
              </w:rPr>
            </w:pPr>
            <w:r>
              <w:rPr>
                <w:rFonts w:ascii="Times New Roman"/>
                <w:sz w:val="16"/>
              </w:rPr>
              <w:t>Technovator</w:t>
            </w:r>
            <w:r>
              <w:rPr>
                <w:rFonts w:ascii="Times New Roman"/>
                <w:spacing w:val="-15"/>
                <w:sz w:val="16"/>
              </w:rPr>
              <w:t> </w:t>
            </w:r>
            <w:r>
              <w:rPr>
                <w:rFonts w:ascii="Times New Roman"/>
                <w:sz w:val="16"/>
              </w:rPr>
              <w:t>Qatar</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2" w:right="0"/>
              <w:jc w:val="center"/>
              <w:rPr>
                <w:rFonts w:ascii="楷体" w:hAnsi="楷体" w:cs="楷体" w:eastAsia="楷体" w:hint="default"/>
                <w:sz w:val="16"/>
                <w:szCs w:val="16"/>
              </w:rPr>
            </w:pPr>
            <w:r>
              <w:rPr>
                <w:rFonts w:ascii="楷体" w:hAnsi="楷体" w:cs="楷体" w:eastAsia="楷体" w:hint="default"/>
                <w:sz w:val="16"/>
                <w:szCs w:val="16"/>
              </w:rPr>
              <w:t>卡塔尔</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智能建筑控制产品及相关服务</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 w:right="0"/>
              <w:jc w:val="center"/>
              <w:rPr>
                <w:rFonts w:ascii="Times New Roman" w:hAnsi="Times New Roman" w:cs="Times New Roman" w:eastAsia="Times New Roman" w:hint="default"/>
                <w:sz w:val="16"/>
                <w:szCs w:val="16"/>
              </w:rPr>
            </w:pPr>
            <w:r>
              <w:rPr>
                <w:rFonts w:ascii="Times New Roman"/>
                <w:sz w:val="16"/>
              </w:rPr>
              <w:t>49.00%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同方创信科技有限公司</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center"/>
              <w:rPr>
                <w:rFonts w:ascii="楷体" w:hAnsi="楷体" w:cs="楷体" w:eastAsia="楷体" w:hint="default"/>
                <w:sz w:val="16"/>
                <w:szCs w:val="16"/>
              </w:rPr>
            </w:pPr>
            <w:r>
              <w:rPr>
                <w:rFonts w:ascii="楷体" w:hAnsi="楷体" w:cs="楷体" w:eastAsia="楷体" w:hint="default"/>
                <w:sz w:val="16"/>
                <w:szCs w:val="16"/>
              </w:rPr>
              <w:t>北京海淀</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网络教育</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33.15%</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Times New Roman" w:hAnsi="Times New Roman" w:cs="Times New Roman" w:eastAsia="Times New Roman" w:hint="default"/>
                <w:sz w:val="16"/>
                <w:szCs w:val="16"/>
              </w:rPr>
            </w:pPr>
            <w:r>
              <w:rPr>
                <w:rFonts w:ascii="Times New Roman"/>
                <w:sz w:val="16"/>
              </w:rPr>
              <w:t>Zebra Media</w:t>
            </w:r>
            <w:r>
              <w:rPr>
                <w:rFonts w:ascii="Times New Roman"/>
                <w:spacing w:val="-6"/>
                <w:sz w:val="16"/>
              </w:rPr>
              <w:t> </w:t>
            </w:r>
            <w:r>
              <w:rPr>
                <w:rFonts w:ascii="Times New Roman"/>
                <w:sz w:val="16"/>
              </w:rPr>
              <w:t>Inc.</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center"/>
              <w:rPr>
                <w:rFonts w:ascii="楷体" w:hAnsi="楷体" w:cs="楷体" w:eastAsia="楷体" w:hint="default"/>
                <w:sz w:val="16"/>
                <w:szCs w:val="16"/>
              </w:rPr>
            </w:pPr>
            <w:r>
              <w:rPr>
                <w:rFonts w:ascii="楷体" w:hAnsi="楷体" w:cs="楷体" w:eastAsia="楷体" w:hint="default"/>
                <w:sz w:val="16"/>
                <w:szCs w:val="16"/>
              </w:rPr>
              <w:t>开曼群岛</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科技项目投资与管理</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31.79%</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Times New Roman" w:hAnsi="Times New Roman" w:cs="Times New Roman" w:eastAsia="Times New Roman" w:hint="default"/>
                <w:sz w:val="16"/>
                <w:szCs w:val="16"/>
              </w:rPr>
            </w:pPr>
            <w:r>
              <w:rPr>
                <w:rFonts w:ascii="Times New Roman"/>
                <w:sz w:val="16"/>
              </w:rPr>
              <w:t>TFY Holding</w:t>
            </w:r>
            <w:r>
              <w:rPr>
                <w:rFonts w:ascii="Times New Roman"/>
                <w:spacing w:val="-12"/>
                <w:sz w:val="16"/>
              </w:rPr>
              <w:t> </w:t>
            </w:r>
            <w:r>
              <w:rPr>
                <w:rFonts w:ascii="Times New Roman"/>
                <w:sz w:val="16"/>
              </w:rPr>
              <w:t>Ltd.</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center"/>
              <w:rPr>
                <w:rFonts w:ascii="楷体" w:hAnsi="楷体" w:cs="楷体" w:eastAsia="楷体" w:hint="default"/>
                <w:sz w:val="16"/>
                <w:szCs w:val="16"/>
              </w:rPr>
            </w:pPr>
            <w:r>
              <w:rPr>
                <w:rFonts w:ascii="楷体" w:hAnsi="楷体" w:cs="楷体" w:eastAsia="楷体" w:hint="default"/>
                <w:sz w:val="16"/>
                <w:szCs w:val="16"/>
              </w:rPr>
              <w:t>开曼群岛</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科技项目投资与管理</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16.00%</w:t>
            </w:r>
          </w:p>
        </w:tc>
      </w:tr>
      <w:tr>
        <w:trPr>
          <w:trHeight w:val="28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楷体" w:hAnsi="楷体" w:cs="楷体" w:eastAsia="楷体" w:hint="default"/>
                <w:sz w:val="16"/>
                <w:szCs w:val="16"/>
              </w:rPr>
              <w:t>泰盛国际</w:t>
            </w:r>
            <w:r>
              <w:rPr>
                <w:rFonts w:ascii="Times New Roman" w:hAnsi="Times New Roman" w:cs="Times New Roman" w:eastAsia="Times New Roman" w:hint="default"/>
                <w:sz w:val="16"/>
                <w:szCs w:val="16"/>
              </w:rPr>
              <w:t>(</w:t>
            </w:r>
            <w:r>
              <w:rPr>
                <w:rFonts w:ascii="楷体" w:hAnsi="楷体" w:cs="楷体" w:eastAsia="楷体" w:hint="default"/>
                <w:sz w:val="16"/>
                <w:szCs w:val="16"/>
              </w:rPr>
              <w:t>控股</w:t>
            </w:r>
            <w:r>
              <w:rPr>
                <w:rFonts w:ascii="Times New Roman" w:hAnsi="Times New Roman" w:cs="Times New Roman" w:eastAsia="Times New Roman" w:hint="default"/>
                <w:sz w:val="16"/>
                <w:szCs w:val="16"/>
              </w:rPr>
              <w:t>)</w:t>
            </w:r>
            <w:r>
              <w:rPr>
                <w:rFonts w:ascii="楷体" w:hAnsi="楷体" w:cs="楷体" w:eastAsia="楷体" w:hint="default"/>
                <w:sz w:val="16"/>
                <w:szCs w:val="16"/>
              </w:rPr>
              <w:t>有限公司</w:t>
            </w:r>
            <w:r>
              <w:rPr>
                <w:rFonts w:ascii="宋体" w:hAnsi="宋体" w:cs="宋体" w:eastAsia="宋体" w:hint="default"/>
                <w:sz w:val="16"/>
                <w:szCs w:val="16"/>
              </w:rPr>
              <w:t>(</w:t>
            </w:r>
            <w:r>
              <w:rPr>
                <w:rFonts w:ascii="Times New Roman" w:hAnsi="Times New Roman" w:cs="Times New Roman" w:eastAsia="Times New Roman" w:hint="default"/>
                <w:sz w:val="16"/>
                <w:szCs w:val="16"/>
              </w:rPr>
              <w:t>HK08103</w:t>
            </w:r>
            <w:r>
              <w:rPr>
                <w:rFonts w:ascii="宋体" w:hAnsi="宋体" w:cs="宋体" w:eastAsia="宋体" w:hint="default"/>
                <w:sz w:val="16"/>
                <w:szCs w:val="16"/>
              </w:rPr>
              <w:t>)</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center"/>
              <w:rPr>
                <w:rFonts w:ascii="楷体" w:hAnsi="楷体" w:cs="楷体" w:eastAsia="楷体" w:hint="default"/>
                <w:sz w:val="16"/>
                <w:szCs w:val="16"/>
              </w:rPr>
            </w:pPr>
            <w:r>
              <w:rPr>
                <w:rFonts w:ascii="楷体" w:hAnsi="楷体" w:cs="楷体" w:eastAsia="楷体" w:hint="default"/>
                <w:sz w:val="16"/>
                <w:szCs w:val="16"/>
              </w:rPr>
              <w:t>中国香港</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科技项目投资与管理</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14.55%</w:t>
            </w:r>
          </w:p>
        </w:tc>
      </w:tr>
      <w:tr>
        <w:trPr>
          <w:trHeight w:val="292" w:hRule="exact"/>
        </w:trPr>
        <w:tc>
          <w:tcPr>
            <w:tcW w:w="3193"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left="107" w:right="0"/>
              <w:jc w:val="left"/>
              <w:rPr>
                <w:rFonts w:ascii="楷体" w:hAnsi="楷体" w:cs="楷体" w:eastAsia="楷体" w:hint="default"/>
                <w:sz w:val="16"/>
                <w:szCs w:val="16"/>
              </w:rPr>
            </w:pPr>
            <w:r>
              <w:rPr>
                <w:rFonts w:ascii="楷体" w:hAnsi="楷体" w:cs="楷体" w:eastAsia="楷体" w:hint="default"/>
                <w:sz w:val="16"/>
                <w:szCs w:val="16"/>
              </w:rPr>
              <w:t>同方佰宜科技</w:t>
            </w:r>
            <w:r>
              <w:rPr>
                <w:rFonts w:ascii="宋体" w:hAnsi="宋体" w:cs="宋体" w:eastAsia="宋体" w:hint="default"/>
                <w:sz w:val="16"/>
                <w:szCs w:val="16"/>
              </w:rPr>
              <w:t>(</w:t>
            </w:r>
            <w:r>
              <w:rPr>
                <w:rFonts w:ascii="楷体" w:hAnsi="楷体" w:cs="楷体" w:eastAsia="楷体" w:hint="default"/>
                <w:sz w:val="16"/>
                <w:szCs w:val="16"/>
              </w:rPr>
              <w:t>北京</w:t>
            </w:r>
            <w:r>
              <w:rPr>
                <w:rFonts w:ascii="宋体" w:hAnsi="宋体" w:cs="宋体" w:eastAsia="宋体" w:hint="default"/>
                <w:sz w:val="16"/>
                <w:szCs w:val="16"/>
              </w:rPr>
              <w:t>)</w:t>
            </w:r>
            <w:r>
              <w:rPr>
                <w:rFonts w:ascii="楷体" w:hAnsi="楷体" w:cs="楷体" w:eastAsia="楷体" w:hint="default"/>
                <w:sz w:val="16"/>
                <w:szCs w:val="16"/>
              </w:rPr>
              <w:t>有限公司</w:t>
            </w:r>
          </w:p>
        </w:tc>
        <w:tc>
          <w:tcPr>
            <w:tcW w:w="969"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left="83" w:right="0"/>
              <w:jc w:val="center"/>
              <w:rPr>
                <w:rFonts w:ascii="楷体" w:hAnsi="楷体" w:cs="楷体" w:eastAsia="楷体" w:hint="default"/>
                <w:sz w:val="16"/>
                <w:szCs w:val="16"/>
              </w:rPr>
            </w:pPr>
            <w:r>
              <w:rPr>
                <w:rFonts w:ascii="楷体" w:hAnsi="楷体" w:cs="楷体" w:eastAsia="楷体" w:hint="default"/>
                <w:sz w:val="16"/>
                <w:szCs w:val="16"/>
              </w:rPr>
              <w:t>北京海淀</w:t>
            </w:r>
          </w:p>
        </w:tc>
        <w:tc>
          <w:tcPr>
            <w:tcW w:w="3496"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left="122" w:right="0"/>
              <w:jc w:val="left"/>
              <w:rPr>
                <w:rFonts w:ascii="楷体" w:hAnsi="楷体" w:cs="楷体" w:eastAsia="楷体" w:hint="default"/>
                <w:sz w:val="16"/>
                <w:szCs w:val="16"/>
              </w:rPr>
            </w:pPr>
            <w:r>
              <w:rPr>
                <w:rFonts w:ascii="楷体" w:hAnsi="楷体" w:cs="楷体" w:eastAsia="楷体" w:hint="default"/>
                <w:sz w:val="16"/>
                <w:szCs w:val="16"/>
              </w:rPr>
              <w:t>控制系统软件开发</w:t>
            </w:r>
          </w:p>
        </w:tc>
        <w:tc>
          <w:tcPr>
            <w:tcW w:w="980"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left="21" w:right="0"/>
              <w:jc w:val="center"/>
              <w:rPr>
                <w:rFonts w:ascii="Times New Roman" w:hAnsi="Times New Roman" w:cs="Times New Roman" w:eastAsia="Times New Roman" w:hint="default"/>
                <w:sz w:val="16"/>
                <w:szCs w:val="16"/>
              </w:rPr>
            </w:pPr>
            <w:r>
              <w:rPr>
                <w:rFonts w:ascii="Times New Roman"/>
                <w:sz w:val="16"/>
              </w:rPr>
              <w:t>30.00%</w:t>
            </w:r>
          </w:p>
        </w:tc>
      </w:tr>
      <w:tr>
        <w:trPr>
          <w:trHeight w:val="409" w:hRule="exact"/>
        </w:trPr>
        <w:tc>
          <w:tcPr>
            <w:tcW w:w="3193"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长期股权投资减值准备</w:t>
            </w:r>
          </w:p>
        </w:tc>
        <w:tc>
          <w:tcPr>
            <w:tcW w:w="969" w:type="dxa"/>
            <w:tcBorders>
              <w:top w:val="single" w:sz="12" w:space="0" w:color="000000"/>
              <w:left w:val="nil" w:sz="6" w:space="0" w:color="auto"/>
              <w:bottom w:val="nil" w:sz="6" w:space="0" w:color="auto"/>
              <w:right w:val="nil" w:sz="6" w:space="0" w:color="auto"/>
            </w:tcBorders>
          </w:tcPr>
          <w:p>
            <w:pPr/>
          </w:p>
        </w:tc>
        <w:tc>
          <w:tcPr>
            <w:tcW w:w="3496" w:type="dxa"/>
            <w:tcBorders>
              <w:top w:val="single" w:sz="12" w:space="0" w:color="000000"/>
              <w:left w:val="nil" w:sz="6" w:space="0" w:color="auto"/>
              <w:bottom w:val="nil" w:sz="6" w:space="0" w:color="auto"/>
              <w:right w:val="nil" w:sz="6" w:space="0" w:color="auto"/>
            </w:tcBorders>
          </w:tcPr>
          <w:p>
            <w:pPr/>
          </w:p>
        </w:tc>
        <w:tc>
          <w:tcPr>
            <w:tcW w:w="980" w:type="dxa"/>
            <w:tcBorders>
              <w:top w:val="single" w:sz="12" w:space="0" w:color="000000"/>
              <w:left w:val="nil" w:sz="6" w:space="0" w:color="auto"/>
              <w:bottom w:val="nil" w:sz="6" w:space="0" w:color="auto"/>
              <w:right w:val="nil" w:sz="6" w:space="0" w:color="auto"/>
            </w:tcBorders>
          </w:tcPr>
          <w:p>
            <w:pPr/>
          </w:p>
        </w:tc>
      </w:tr>
      <w:tr>
        <w:trPr>
          <w:trHeight w:val="510" w:hRule="exact"/>
        </w:trPr>
        <w:tc>
          <w:tcPr>
            <w:tcW w:w="8638" w:type="dxa"/>
            <w:gridSpan w:val="4"/>
            <w:tcBorders>
              <w:top w:val="nil" w:sz="6" w:space="0" w:color="auto"/>
              <w:left w:val="nil" w:sz="6" w:space="0" w:color="auto"/>
              <w:bottom w:val="nil" w:sz="6" w:space="0" w:color="auto"/>
              <w:right w:val="nil" w:sz="6" w:space="0" w:color="auto"/>
            </w:tcBorders>
          </w:tcPr>
          <w:p>
            <w:pPr>
              <w:pStyle w:val="TableParagraph"/>
              <w:tabs>
                <w:tab w:pos="2202" w:val="left" w:leader="none"/>
                <w:tab w:pos="3618" w:val="left" w:leader="none"/>
                <w:tab w:pos="5587" w:val="left" w:leader="none"/>
                <w:tab w:pos="7569" w:val="left" w:leader="none"/>
              </w:tabs>
              <w:spacing w:line="240" w:lineRule="auto" w:before="97"/>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被投资单位名称</w:t>
              <w:tab/>
              <w:t>年初金额</w:t>
              <w:tab/>
              <w:t>本年增加</w:t>
              <w:tab/>
            </w:r>
            <w:r>
              <w:rPr>
                <w:rFonts w:ascii="Microsoft JhengHei" w:hAnsi="Microsoft JhengHei" w:cs="Microsoft JhengHei" w:eastAsia="Microsoft JhengHei" w:hint="default"/>
                <w:b/>
                <w:bCs/>
                <w:position w:val="12"/>
                <w:sz w:val="18"/>
                <w:szCs w:val="18"/>
              </w:rPr>
              <w:t>本年减少</w:t>
              <w:tab/>
            </w: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bl>
    <w:p>
      <w:pPr>
        <w:spacing w:after="0" w:line="240" w:lineRule="auto"/>
        <w:jc w:val="left"/>
        <w:rPr>
          <w:rFonts w:ascii="Microsoft JhengHei" w:hAnsi="Microsoft JhengHei" w:cs="Microsoft JhengHei" w:eastAsia="Microsoft JhengHei" w:hint="default"/>
          <w:sz w:val="18"/>
          <w:szCs w:val="18"/>
        </w:rPr>
        <w:sectPr>
          <w:type w:val="continuous"/>
          <w:pgSz w:w="11910" w:h="16840"/>
          <w:pgMar w:top="1600" w:bottom="280" w:left="1000" w:right="88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tbl>
      <w:tblPr>
        <w:tblW w:w="0" w:type="auto"/>
        <w:jc w:val="left"/>
        <w:tblInd w:w="416" w:type="dxa"/>
        <w:tblLayout w:type="fixed"/>
        <w:tblCellMar>
          <w:top w:w="0" w:type="dxa"/>
          <w:left w:w="0" w:type="dxa"/>
          <w:bottom w:w="0" w:type="dxa"/>
          <w:right w:w="0" w:type="dxa"/>
        </w:tblCellMar>
        <w:tblLook w:val="01E0"/>
      </w:tblPr>
      <w:tblGrid>
        <w:gridCol w:w="7276"/>
        <w:gridCol w:w="1361"/>
      </w:tblGrid>
      <w:tr>
        <w:trPr>
          <w:trHeight w:val="887" w:hRule="exact"/>
        </w:trPr>
        <w:tc>
          <w:tcPr>
            <w:tcW w:w="7276" w:type="dxa"/>
            <w:tcBorders>
              <w:top w:val="nil" w:sz="6" w:space="0" w:color="auto"/>
              <w:left w:val="nil" w:sz="6" w:space="0" w:color="auto"/>
              <w:bottom w:val="single" w:sz="12" w:space="0" w:color="000000"/>
              <w:right w:val="nil" w:sz="6" w:space="0" w:color="auto"/>
            </w:tcBorders>
          </w:tcPr>
          <w:p>
            <w:pPr>
              <w:pStyle w:val="TableParagraph"/>
              <w:spacing w:line="367" w:lineRule="auto" w:before="31"/>
              <w:ind w:left="161" w:right="3811"/>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13.</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投资性房地产</w:t>
            </w:r>
            <w:r>
              <w:rPr>
                <w:rFonts w:ascii="楷体" w:hAnsi="楷体" w:cs="楷体" w:eastAsia="楷体" w:hint="default"/>
                <w:w w:val="99"/>
                <w:sz w:val="22"/>
                <w:szCs w:val="22"/>
              </w:rPr>
              <w:t> </w:t>
            </w:r>
            <w:r>
              <w:rPr>
                <w:rFonts w:ascii="楷体" w:hAnsi="楷体" w:cs="楷体" w:eastAsia="楷体" w:hint="default"/>
                <w:sz w:val="22"/>
                <w:szCs w:val="22"/>
              </w:rPr>
              <w:t>采用成本模式计量的投资性房地产</w:t>
            </w:r>
          </w:p>
        </w:tc>
        <w:tc>
          <w:tcPr>
            <w:tcW w:w="1361"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7276" w:type="dxa"/>
            <w:tcBorders>
              <w:top w:val="single" w:sz="12" w:space="0" w:color="000000"/>
              <w:left w:val="nil" w:sz="6" w:space="0" w:color="auto"/>
              <w:bottom w:val="single" w:sz="4" w:space="0" w:color="000000"/>
              <w:right w:val="nil" w:sz="6" w:space="0" w:color="auto"/>
            </w:tcBorders>
          </w:tcPr>
          <w:p>
            <w:pPr>
              <w:pStyle w:val="TableParagraph"/>
              <w:tabs>
                <w:tab w:pos="3770" w:val="left" w:leader="none"/>
                <w:tab w:pos="5107" w:val="left" w:leader="none"/>
                <w:tab w:pos="6395"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tab/>
              <w:t>本年减少</w:t>
            </w:r>
            <w:r>
              <w:rPr>
                <w:rFonts w:ascii="Microsoft JhengHei" w:hAnsi="Microsoft JhengHei" w:cs="Microsoft JhengHei" w:eastAsia="Microsoft JhengHei" w:hint="default"/>
                <w:sz w:val="18"/>
                <w:szCs w:val="18"/>
              </w:rPr>
            </w:r>
          </w:p>
        </w:tc>
        <w:tc>
          <w:tcPr>
            <w:tcW w:w="136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7276" w:type="dxa"/>
            <w:tcBorders>
              <w:top w:val="single" w:sz="4" w:space="0" w:color="000000"/>
              <w:left w:val="nil" w:sz="6" w:space="0" w:color="auto"/>
              <w:bottom w:val="nil" w:sz="6" w:space="0" w:color="auto"/>
              <w:right w:val="nil" w:sz="6" w:space="0" w:color="auto"/>
            </w:tcBorders>
          </w:tcPr>
          <w:p>
            <w:pPr>
              <w:pStyle w:val="TableParagraph"/>
              <w:tabs>
                <w:tab w:pos="3665" w:val="left" w:leader="none"/>
                <w:tab w:pos="5706" w:val="left" w:leader="none"/>
                <w:tab w:pos="6961" w:val="left" w:leader="none"/>
              </w:tabs>
              <w:spacing w:line="246" w:lineRule="exact"/>
              <w:ind w:left="107" w:right="-1"/>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原价</w:t>
              <w:tab/>
            </w:r>
            <w:r>
              <w:rPr>
                <w:rFonts w:ascii="Times New Roman" w:hAnsi="Times New Roman" w:cs="Times New Roman" w:eastAsia="Times New Roman" w:hint="default"/>
                <w:b/>
                <w:bCs/>
                <w:spacing w:val="-1"/>
                <w:sz w:val="18"/>
                <w:szCs w:val="18"/>
              </w:rPr>
              <w:t>61,320,342.36</w:t>
              <w:tab/>
            </w:r>
            <w:r>
              <w:rPr>
                <w:rFonts w:ascii="Times New Roman" w:hAnsi="Times New Roman" w:cs="Times New Roman" w:eastAsia="Times New Roman" w:hint="default"/>
                <w:b/>
                <w:bCs/>
                <w:sz w:val="18"/>
                <w:szCs w:val="18"/>
              </w:rPr>
              <w:t>0.00</w:t>
              <w:tab/>
              <w:t>0.00</w:t>
            </w:r>
            <w:r>
              <w:rPr>
                <w:rFonts w:ascii="Times New Roman" w:hAnsi="Times New Roman" w:cs="Times New Roman" w:eastAsia="Times New Roman" w:hint="default"/>
                <w:sz w:val="18"/>
                <w:szCs w:val="18"/>
              </w:rPr>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61,320,342.36</w:t>
            </w:r>
            <w:r>
              <w:rPr>
                <w:rFonts w:ascii="Times New Roman"/>
                <w:spacing w:val="-1"/>
                <w:sz w:val="18"/>
              </w:rPr>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3665" w:val="left" w:leader="none"/>
                <w:tab w:pos="5707" w:val="left" w:leader="none"/>
                <w:tab w:pos="6960" w:val="left" w:leader="none"/>
              </w:tabs>
              <w:spacing w:line="240" w:lineRule="exact"/>
              <w:ind w:left="107" w:right="-1"/>
              <w:jc w:val="left"/>
              <w:rPr>
                <w:rFonts w:ascii="Times New Roman" w:hAnsi="Times New Roman" w:cs="Times New Roman" w:eastAsia="Times New Roman" w:hint="default"/>
                <w:sz w:val="18"/>
                <w:szCs w:val="18"/>
              </w:rPr>
            </w:pPr>
            <w:r>
              <w:rPr>
                <w:rFonts w:ascii="楷体" w:hAnsi="楷体" w:cs="楷体" w:eastAsia="楷体" w:hint="default"/>
                <w:sz w:val="18"/>
                <w:szCs w:val="18"/>
              </w:rPr>
              <w:t>房屋、建筑物</w:t>
              <w:tab/>
            </w:r>
            <w:r>
              <w:rPr>
                <w:rFonts w:ascii="Times New Roman" w:hAnsi="Times New Roman" w:cs="Times New Roman" w:eastAsia="Times New Roman" w:hint="default"/>
                <w:spacing w:val="-1"/>
                <w:sz w:val="18"/>
                <w:szCs w:val="18"/>
              </w:rPr>
              <w:t>61,320,342.36</w:t>
              <w:tab/>
            </w:r>
            <w:r>
              <w:rPr>
                <w:rFonts w:ascii="Times New Roman" w:hAnsi="Times New Roman" w:cs="Times New Roman" w:eastAsia="Times New Roman" w:hint="default"/>
                <w:sz w:val="18"/>
                <w:szCs w:val="18"/>
              </w:rPr>
              <w:t>0.00</w:t>
              <w:tab/>
              <w:t>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61,320,342.36</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3665" w:val="left" w:leader="none"/>
                <w:tab w:pos="5077" w:val="left" w:leader="none"/>
                <w:tab w:pos="6961" w:val="left" w:leader="none"/>
              </w:tabs>
              <w:spacing w:line="247" w:lineRule="exact"/>
              <w:ind w:left="108" w:right="-1"/>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累计折旧和累计摊销</w:t>
              <w:tab/>
            </w:r>
            <w:r>
              <w:rPr>
                <w:rFonts w:ascii="Times New Roman" w:hAnsi="Times New Roman" w:cs="Times New Roman" w:eastAsia="Times New Roman" w:hint="default"/>
                <w:b/>
                <w:bCs/>
                <w:spacing w:val="-1"/>
                <w:sz w:val="18"/>
                <w:szCs w:val="18"/>
              </w:rPr>
              <w:t>12,957,340.31</w:t>
              <w:tab/>
              <w:t>1,664,420.01</w:t>
              <w:tab/>
            </w:r>
            <w:r>
              <w:rPr>
                <w:rFonts w:ascii="Times New Roman" w:hAnsi="Times New Roman" w:cs="Times New Roman" w:eastAsia="Times New Roman" w:hint="default"/>
                <w:b/>
                <w:bCs/>
                <w:sz w:val="18"/>
                <w:szCs w:val="18"/>
              </w:rPr>
              <w:t>0.00</w:t>
            </w:r>
            <w:r>
              <w:rPr>
                <w:rFonts w:ascii="Times New Roman" w:hAnsi="Times New Roman" w:cs="Times New Roman" w:eastAsia="Times New Roman" w:hint="default"/>
                <w:sz w:val="18"/>
                <w:szCs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14,621,760.32</w:t>
            </w:r>
            <w:r>
              <w:rPr>
                <w:rFonts w:ascii="Times New Roman"/>
                <w:spacing w:val="-1"/>
                <w:sz w:val="18"/>
              </w:rPr>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3666" w:val="left" w:leader="none"/>
                <w:tab w:pos="5077" w:val="left" w:leader="none"/>
                <w:tab w:pos="6960" w:val="left" w:leader="none"/>
              </w:tabs>
              <w:spacing w:line="240" w:lineRule="exact"/>
              <w:ind w:left="108" w:right="-1"/>
              <w:jc w:val="left"/>
              <w:rPr>
                <w:rFonts w:ascii="Times New Roman" w:hAnsi="Times New Roman" w:cs="Times New Roman" w:eastAsia="Times New Roman" w:hint="default"/>
                <w:sz w:val="18"/>
                <w:szCs w:val="18"/>
              </w:rPr>
            </w:pPr>
            <w:r>
              <w:rPr>
                <w:rFonts w:ascii="楷体" w:hAnsi="楷体" w:cs="楷体" w:eastAsia="楷体" w:hint="default"/>
                <w:sz w:val="18"/>
                <w:szCs w:val="18"/>
              </w:rPr>
              <w:t>房屋、建筑物</w:t>
              <w:tab/>
            </w:r>
            <w:r>
              <w:rPr>
                <w:rFonts w:ascii="Times New Roman" w:hAnsi="Times New Roman" w:cs="Times New Roman" w:eastAsia="Times New Roman" w:hint="default"/>
                <w:spacing w:val="-1"/>
                <w:sz w:val="18"/>
                <w:szCs w:val="18"/>
              </w:rPr>
              <w:t>12,957,340.31</w:t>
              <w:tab/>
              <w:t>1,664,420.01</w:t>
              <w:tab/>
            </w:r>
            <w:r>
              <w:rPr>
                <w:rFonts w:ascii="Times New Roman" w:hAnsi="Times New Roman" w:cs="Times New Roman" w:eastAsia="Times New Roman" w:hint="default"/>
                <w:sz w:val="18"/>
                <w:szCs w:val="18"/>
              </w:rPr>
              <w:t>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14,621,760.32</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4386" w:val="left" w:leader="none"/>
                <w:tab w:pos="5707" w:val="left" w:leader="none"/>
                <w:tab w:pos="6961" w:val="left" w:leader="none"/>
              </w:tabs>
              <w:spacing w:line="247" w:lineRule="exact"/>
              <w:ind w:left="108" w:right="-1"/>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减值准备</w:t>
              <w:tab/>
            </w:r>
            <w:r>
              <w:rPr>
                <w:rFonts w:ascii="Times New Roman" w:hAnsi="Times New Roman" w:cs="Times New Roman" w:eastAsia="Times New Roman" w:hint="default"/>
                <w:b/>
                <w:bCs/>
                <w:sz w:val="18"/>
                <w:szCs w:val="18"/>
              </w:rPr>
              <w:t>0.00</w:t>
              <w:tab/>
              <w:t>0.00</w:t>
              <w:tab/>
              <w:t>0.00</w:t>
            </w:r>
            <w:r>
              <w:rPr>
                <w:rFonts w:ascii="Times New Roman" w:hAnsi="Times New Roman" w:cs="Times New Roman" w:eastAsia="Times New Roman" w:hint="default"/>
                <w:sz w:val="18"/>
                <w:szCs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4386" w:val="left" w:leader="none"/>
                <w:tab w:pos="5707" w:val="left" w:leader="none"/>
                <w:tab w:pos="6961" w:val="left" w:leader="none"/>
              </w:tabs>
              <w:spacing w:line="240" w:lineRule="exact"/>
              <w:ind w:left="108" w:right="-1"/>
              <w:jc w:val="left"/>
              <w:rPr>
                <w:rFonts w:ascii="Times New Roman" w:hAnsi="Times New Roman" w:cs="Times New Roman" w:eastAsia="Times New Roman" w:hint="default"/>
                <w:sz w:val="18"/>
                <w:szCs w:val="18"/>
              </w:rPr>
            </w:pPr>
            <w:r>
              <w:rPr>
                <w:rFonts w:ascii="楷体" w:hAnsi="楷体" w:cs="楷体" w:eastAsia="楷体" w:hint="default"/>
                <w:sz w:val="18"/>
                <w:szCs w:val="18"/>
              </w:rPr>
              <w:t>房屋、建筑物</w:t>
              <w:tab/>
            </w:r>
            <w:r>
              <w:rPr>
                <w:rFonts w:ascii="Times New Roman" w:hAnsi="Times New Roman" w:cs="Times New Roman" w:eastAsia="Times New Roman" w:hint="default"/>
                <w:sz w:val="18"/>
                <w:szCs w:val="18"/>
              </w:rPr>
              <w:t>0.00</w:t>
              <w:tab/>
              <w:t>0.00</w:t>
              <w:tab/>
              <w:t>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3666" w:val="left" w:leader="none"/>
              </w:tabs>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账面价值</w:t>
              <w:tab/>
            </w:r>
            <w:r>
              <w:rPr>
                <w:rFonts w:ascii="Times New Roman" w:hAnsi="Times New Roman" w:cs="Times New Roman" w:eastAsia="Times New Roman" w:hint="default"/>
                <w:b/>
                <w:bCs/>
                <w:sz w:val="18"/>
                <w:szCs w:val="18"/>
              </w:rPr>
              <w:t>48,363,002.05</w:t>
            </w:r>
            <w:r>
              <w:rPr>
                <w:rFonts w:ascii="Times New Roman" w:hAnsi="Times New Roman" w:cs="Times New Roman" w:eastAsia="Times New Roman" w:hint="default"/>
                <w:sz w:val="18"/>
                <w:szCs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46,698,582.04</w:t>
            </w:r>
            <w:r>
              <w:rPr>
                <w:rFonts w:ascii="Times New Roman"/>
                <w:spacing w:val="-1"/>
                <w:sz w:val="18"/>
              </w:rPr>
            </w:r>
          </w:p>
        </w:tc>
      </w:tr>
      <w:tr>
        <w:trPr>
          <w:trHeight w:val="299" w:hRule="exact"/>
        </w:trPr>
        <w:tc>
          <w:tcPr>
            <w:tcW w:w="7276" w:type="dxa"/>
            <w:tcBorders>
              <w:top w:val="nil" w:sz="6" w:space="0" w:color="auto"/>
              <w:left w:val="nil" w:sz="6" w:space="0" w:color="auto"/>
              <w:bottom w:val="single" w:sz="12" w:space="0" w:color="000000"/>
              <w:right w:val="nil" w:sz="6" w:space="0" w:color="auto"/>
            </w:tcBorders>
          </w:tcPr>
          <w:p>
            <w:pPr>
              <w:pStyle w:val="TableParagraph"/>
              <w:tabs>
                <w:tab w:pos="3666" w:val="left" w:leader="none"/>
              </w:tabs>
              <w:spacing w:line="240" w:lineRule="exact"/>
              <w:ind w:left="108"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房屋、建筑物</w:t>
              <w:tab/>
            </w:r>
            <w:r>
              <w:rPr>
                <w:rFonts w:ascii="Times New Roman" w:hAnsi="Times New Roman" w:cs="Times New Roman" w:eastAsia="Times New Roman" w:hint="default"/>
                <w:sz w:val="18"/>
                <w:szCs w:val="18"/>
              </w:rPr>
              <w:t>48,363,002.05</w:t>
            </w:r>
          </w:p>
        </w:tc>
        <w:tc>
          <w:tcPr>
            <w:tcW w:w="1361"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46,698,582.04</w:t>
            </w:r>
          </w:p>
        </w:tc>
      </w:tr>
      <w:tr>
        <w:trPr>
          <w:trHeight w:val="528" w:hRule="exact"/>
        </w:trPr>
        <w:tc>
          <w:tcPr>
            <w:tcW w:w="7276"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14.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固定资产</w:t>
            </w:r>
          </w:p>
        </w:tc>
        <w:tc>
          <w:tcPr>
            <w:tcW w:w="1361" w:type="dxa"/>
            <w:tcBorders>
              <w:top w:val="single" w:sz="12" w:space="0" w:color="000000"/>
              <w:left w:val="nil" w:sz="6" w:space="0" w:color="auto"/>
              <w:bottom w:val="nil" w:sz="6" w:space="0" w:color="auto"/>
              <w:right w:val="nil" w:sz="6" w:space="0" w:color="auto"/>
            </w:tcBorders>
          </w:tcPr>
          <w:p>
            <w:pPr/>
          </w:p>
        </w:tc>
      </w:tr>
      <w:tr>
        <w:trPr>
          <w:trHeight w:val="438" w:hRule="exact"/>
        </w:trPr>
        <w:tc>
          <w:tcPr>
            <w:tcW w:w="727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固定资产明细表</w:t>
            </w:r>
          </w:p>
        </w:tc>
        <w:tc>
          <w:tcPr>
            <w:tcW w:w="1361"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7276" w:type="dxa"/>
            <w:tcBorders>
              <w:top w:val="single" w:sz="12" w:space="0" w:color="000000"/>
              <w:left w:val="nil" w:sz="6" w:space="0" w:color="auto"/>
              <w:bottom w:val="single" w:sz="4" w:space="0" w:color="000000"/>
              <w:right w:val="nil" w:sz="6" w:space="0" w:color="auto"/>
            </w:tcBorders>
          </w:tcPr>
          <w:p>
            <w:pPr>
              <w:pStyle w:val="TableParagraph"/>
              <w:tabs>
                <w:tab w:pos="2961" w:val="left" w:leader="none"/>
                <w:tab w:pos="4592" w:val="left" w:leader="none"/>
                <w:tab w:pos="6110"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tab/>
              <w:t>本年减少</w:t>
            </w:r>
            <w:r>
              <w:rPr>
                <w:rFonts w:ascii="Microsoft JhengHei" w:hAnsi="Microsoft JhengHei" w:cs="Microsoft JhengHei" w:eastAsia="Microsoft JhengHei" w:hint="default"/>
                <w:sz w:val="18"/>
                <w:szCs w:val="18"/>
              </w:rPr>
            </w:r>
          </w:p>
        </w:tc>
        <w:tc>
          <w:tcPr>
            <w:tcW w:w="136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7276" w:type="dxa"/>
            <w:tcBorders>
              <w:top w:val="single" w:sz="4" w:space="0" w:color="000000"/>
              <w:left w:val="nil" w:sz="6" w:space="0" w:color="auto"/>
              <w:bottom w:val="nil" w:sz="6" w:space="0" w:color="auto"/>
              <w:right w:val="nil" w:sz="6" w:space="0" w:color="auto"/>
            </w:tcBorders>
          </w:tcPr>
          <w:p>
            <w:pPr>
              <w:pStyle w:val="TableParagraph"/>
              <w:tabs>
                <w:tab w:pos="2763" w:val="left" w:leader="none"/>
                <w:tab w:pos="4545" w:val="left" w:leader="none"/>
                <w:tab w:pos="5935" w:val="left" w:leader="none"/>
              </w:tabs>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原价</w:t>
              <w:tab/>
            </w:r>
            <w:r>
              <w:rPr>
                <w:rFonts w:ascii="Times New Roman" w:hAnsi="Times New Roman" w:cs="Times New Roman" w:eastAsia="Times New Roman" w:hint="default"/>
                <w:b/>
                <w:bCs/>
                <w:spacing w:val="-1"/>
                <w:sz w:val="18"/>
                <w:szCs w:val="18"/>
              </w:rPr>
              <w:t>3,035,613,058.08</w:t>
              <w:tab/>
              <w:t>546,654,166.19</w:t>
              <w:tab/>
              <w:t>101,158,146.43</w:t>
            </w:r>
            <w:r>
              <w:rPr>
                <w:rFonts w:ascii="Times New Roman" w:hAnsi="Times New Roman" w:cs="Times New Roman" w:eastAsia="Times New Roman" w:hint="default"/>
                <w:spacing w:val="-1"/>
                <w:sz w:val="18"/>
                <w:szCs w:val="18"/>
              </w:rPr>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3,481,109,077.84</w:t>
            </w:r>
            <w:r>
              <w:rPr>
                <w:rFonts w:ascii="Times New Roman"/>
                <w:spacing w:val="-1"/>
                <w:sz w:val="18"/>
              </w:rPr>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763" w:val="left" w:leader="none"/>
                <w:tab w:pos="4545" w:val="left" w:leader="none"/>
                <w:tab w:pos="6023"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房屋建筑物</w:t>
              <w:tab/>
            </w:r>
            <w:r>
              <w:rPr>
                <w:rFonts w:ascii="Times New Roman" w:hAnsi="Times New Roman" w:cs="Times New Roman" w:eastAsia="Times New Roman" w:hint="default"/>
                <w:spacing w:val="-1"/>
                <w:sz w:val="18"/>
                <w:szCs w:val="18"/>
              </w:rPr>
              <w:t>1,716,247,395.23</w:t>
              <w:tab/>
              <w:t>318,291,830.90</w:t>
              <w:tab/>
              <w:t>60,881,188.45</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1,973,658,037.68</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9" w:val="left" w:leader="none"/>
                <w:tab w:pos="4634" w:val="left" w:leader="none"/>
                <w:tab w:pos="6023" w:val="left" w:leader="none"/>
              </w:tabs>
              <w:spacing w:line="240" w:lineRule="exact"/>
              <w:ind w:left="288"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电子设备</w:t>
              <w:tab/>
            </w:r>
            <w:r>
              <w:rPr>
                <w:rFonts w:ascii="Times New Roman" w:hAnsi="Times New Roman" w:cs="Times New Roman" w:eastAsia="Times New Roman" w:hint="default"/>
                <w:spacing w:val="-1"/>
                <w:sz w:val="18"/>
                <w:szCs w:val="18"/>
              </w:rPr>
              <w:t>389,649,635.58</w:t>
              <w:tab/>
              <w:t>34,592,065.25</w:t>
              <w:tab/>
              <w:t>15,233,790.00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409,007,910.83</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9" w:val="left" w:leader="none"/>
                <w:tab w:pos="4634" w:val="left" w:leader="none"/>
                <w:tab w:pos="6113" w:val="left" w:leader="none"/>
              </w:tabs>
              <w:spacing w:line="240" w:lineRule="exact"/>
              <w:ind w:left="288"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专用设备</w:t>
              <w:tab/>
            </w:r>
            <w:r>
              <w:rPr>
                <w:rFonts w:ascii="Times New Roman" w:hAnsi="Times New Roman" w:cs="Times New Roman" w:eastAsia="Times New Roman" w:hint="default"/>
                <w:spacing w:val="-1"/>
                <w:sz w:val="18"/>
                <w:szCs w:val="18"/>
              </w:rPr>
              <w:t>335,336,634.88</w:t>
              <w:tab/>
              <w:t>85,344,813.45</w:t>
              <w:tab/>
              <w:t>1,070,881.68</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419,610,566.65</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9" w:val="left" w:leader="none"/>
                <w:tab w:pos="4634" w:val="left" w:leader="none"/>
                <w:tab w:pos="6023" w:val="left" w:leader="none"/>
              </w:tabs>
              <w:spacing w:line="240" w:lineRule="exact"/>
              <w:ind w:left="288"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通用设备</w:t>
              <w:tab/>
            </w:r>
            <w:r>
              <w:rPr>
                <w:rFonts w:ascii="Times New Roman" w:hAnsi="Times New Roman" w:cs="Times New Roman" w:eastAsia="Times New Roman" w:hint="default"/>
                <w:spacing w:val="-1"/>
                <w:sz w:val="18"/>
                <w:szCs w:val="18"/>
              </w:rPr>
              <w:t>490,796,846.72</w:t>
              <w:tab/>
              <w:t>99,013,591.26</w:t>
              <w:tab/>
              <w:t>15,953,738.80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573,856,699.18</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9" w:val="left" w:leader="none"/>
                <w:tab w:pos="4730" w:val="left" w:leader="none"/>
                <w:tab w:pos="6113" w:val="left" w:leader="none"/>
              </w:tabs>
              <w:spacing w:line="240" w:lineRule="exact"/>
              <w:ind w:left="288"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运输设备</w:t>
              <w:tab/>
            </w:r>
            <w:r>
              <w:rPr>
                <w:rFonts w:ascii="Times New Roman" w:hAnsi="Times New Roman" w:cs="Times New Roman" w:eastAsia="Times New Roman" w:hint="default"/>
                <w:spacing w:val="-1"/>
                <w:sz w:val="18"/>
                <w:szCs w:val="18"/>
              </w:rPr>
              <w:t>103,582,545.67</w:t>
              <w:tab/>
              <w:t>9,411,865.33</w:t>
              <w:tab/>
              <w:t>8,018,547.50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104,975,863.50</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9" w:val="left" w:leader="none"/>
                <w:tab w:pos="4545" w:val="left" w:leader="none"/>
                <w:tab w:pos="6023" w:val="left" w:leader="none"/>
              </w:tabs>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累计折旧</w:t>
              <w:tab/>
            </w:r>
            <w:r>
              <w:rPr>
                <w:rFonts w:ascii="Times New Roman" w:hAnsi="Times New Roman" w:cs="Times New Roman" w:eastAsia="Times New Roman" w:hint="default"/>
                <w:b/>
                <w:bCs/>
                <w:spacing w:val="-1"/>
                <w:sz w:val="18"/>
                <w:szCs w:val="18"/>
              </w:rPr>
              <w:t>801,427,821.28</w:t>
              <w:tab/>
              <w:t>199,343,701.06</w:t>
              <w:tab/>
              <w:t>21,506,374.80</w:t>
            </w:r>
            <w:r>
              <w:rPr>
                <w:rFonts w:ascii="Times New Roman" w:hAnsi="Times New Roman" w:cs="Times New Roman" w:eastAsia="Times New Roman" w:hint="default"/>
                <w:spacing w:val="-1"/>
                <w:sz w:val="18"/>
                <w:szCs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979,265,147.54</w:t>
            </w:r>
            <w:r>
              <w:rPr>
                <w:rFonts w:ascii="Times New Roman"/>
                <w:spacing w:val="-1"/>
                <w:sz w:val="18"/>
              </w:rPr>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8" w:val="left" w:leader="none"/>
                <w:tab w:pos="4634" w:val="left" w:leader="none"/>
                <w:tab w:pos="6113"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房屋建筑物</w:t>
              <w:tab/>
            </w:r>
            <w:r>
              <w:rPr>
                <w:rFonts w:ascii="Times New Roman" w:hAnsi="Times New Roman" w:cs="Times New Roman" w:eastAsia="Times New Roman" w:hint="default"/>
                <w:spacing w:val="-1"/>
                <w:sz w:val="18"/>
                <w:szCs w:val="18"/>
              </w:rPr>
              <w:t>192,076,132.72</w:t>
              <w:tab/>
              <w:t>49,907,832.79</w:t>
              <w:tab/>
              <w:t>1,398,723.56</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240,585,241.95</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8" w:val="left" w:leader="none"/>
                <w:tab w:pos="4634" w:val="left" w:leader="none"/>
                <w:tab w:pos="6023"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电子设备</w:t>
              <w:tab/>
            </w:r>
            <w:r>
              <w:rPr>
                <w:rFonts w:ascii="Times New Roman" w:hAnsi="Times New Roman" w:cs="Times New Roman" w:eastAsia="Times New Roman" w:hint="default"/>
                <w:spacing w:val="-1"/>
                <w:sz w:val="18"/>
                <w:szCs w:val="18"/>
              </w:rPr>
              <w:t>237,270,528.36</w:t>
              <w:tab/>
              <w:t>49,944,367.14</w:t>
              <w:tab/>
              <w:t>10,183,635.08</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277,031,260.42</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8" w:val="left" w:leader="none"/>
                <w:tab w:pos="4634" w:val="left" w:leader="none"/>
                <w:tab w:pos="6248"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专用设备</w:t>
              <w:tab/>
            </w:r>
            <w:r>
              <w:rPr>
                <w:rFonts w:ascii="Times New Roman" w:hAnsi="Times New Roman" w:cs="Times New Roman" w:eastAsia="Times New Roman" w:hint="default"/>
                <w:spacing w:val="-1"/>
                <w:sz w:val="18"/>
                <w:szCs w:val="18"/>
              </w:rPr>
              <w:t>129,284,855.34</w:t>
              <w:tab/>
              <w:t>45,199,494.06</w:t>
              <w:tab/>
            </w:r>
            <w:r>
              <w:rPr>
                <w:rFonts w:ascii="Times New Roman" w:hAnsi="Times New Roman" w:cs="Times New Roman" w:eastAsia="Times New Roman" w:hint="default"/>
                <w:sz w:val="18"/>
                <w:szCs w:val="18"/>
              </w:rPr>
              <w:t>687,418.36</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173,796,931.04</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8" w:val="left" w:leader="none"/>
                <w:tab w:pos="4634" w:val="left" w:leader="none"/>
                <w:tab w:pos="6113"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通用设备</w:t>
              <w:tab/>
            </w:r>
            <w:r>
              <w:rPr>
                <w:rFonts w:ascii="Times New Roman" w:hAnsi="Times New Roman" w:cs="Times New Roman" w:eastAsia="Times New Roman" w:hint="default"/>
                <w:spacing w:val="-1"/>
                <w:sz w:val="18"/>
                <w:szCs w:val="18"/>
              </w:rPr>
              <w:t>197,937,436.33</w:t>
              <w:tab/>
              <w:t>44,368,623.75</w:t>
              <w:tab/>
              <w:t>5,342,632.81</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236,963,427.27</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987" w:val="left" w:leader="none"/>
                <w:tab w:pos="4723" w:val="left" w:leader="none"/>
                <w:tab w:pos="6113"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运输设备</w:t>
              <w:tab/>
            </w:r>
            <w:r>
              <w:rPr>
                <w:rFonts w:ascii="Times New Roman" w:hAnsi="Times New Roman" w:cs="Times New Roman" w:eastAsia="Times New Roman" w:hint="default"/>
                <w:spacing w:val="-1"/>
                <w:sz w:val="18"/>
                <w:szCs w:val="18"/>
              </w:rPr>
              <w:t>44,858,868.53</w:t>
              <w:tab/>
              <w:t>9,923,383.32</w:t>
              <w:tab/>
              <w:t>3,893,964.99</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50,888,286.86</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3077" w:val="left" w:leader="none"/>
                <w:tab w:pos="4634" w:val="left" w:leader="none"/>
                <w:tab w:pos="6743" w:val="left" w:leader="none"/>
              </w:tabs>
              <w:spacing w:line="247"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减值准备</w:t>
              <w:tab/>
            </w:r>
            <w:r>
              <w:rPr>
                <w:rFonts w:ascii="Times New Roman" w:hAnsi="Times New Roman" w:cs="Times New Roman" w:eastAsia="Times New Roman" w:hint="default"/>
                <w:b/>
                <w:bCs/>
                <w:spacing w:val="-1"/>
                <w:sz w:val="18"/>
                <w:szCs w:val="18"/>
              </w:rPr>
              <w:t>9,464,198.64</w:t>
              <w:tab/>
              <w:t>18,516,209.10</w:t>
              <w:tab/>
            </w:r>
            <w:r>
              <w:rPr>
                <w:rFonts w:ascii="Times New Roman" w:hAnsi="Times New Roman" w:cs="Times New Roman" w:eastAsia="Times New Roman" w:hint="default"/>
                <w:b/>
                <w:bCs/>
                <w:sz w:val="18"/>
                <w:szCs w:val="18"/>
              </w:rPr>
              <w:t>0.00</w:t>
            </w:r>
            <w:r>
              <w:rPr>
                <w:rFonts w:ascii="Times New Roman" w:hAnsi="Times New Roman" w:cs="Times New Roman" w:eastAsia="Times New Roman" w:hint="default"/>
                <w:sz w:val="18"/>
                <w:szCs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27,980,407.74</w:t>
            </w:r>
            <w:r>
              <w:rPr>
                <w:rFonts w:ascii="Times New Roman"/>
                <w:spacing w:val="-1"/>
                <w:sz w:val="18"/>
              </w:rPr>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3707" w:val="left" w:leader="none"/>
                <w:tab w:pos="5353" w:val="left" w:leader="none"/>
                <w:tab w:pos="6743"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房屋建筑物</w:t>
              <w:tab/>
            </w:r>
            <w:r>
              <w:rPr>
                <w:rFonts w:ascii="Times New Roman" w:hAnsi="Times New Roman" w:cs="Times New Roman" w:eastAsia="Times New Roman" w:hint="default"/>
                <w:sz w:val="18"/>
                <w:szCs w:val="18"/>
              </w:rPr>
              <w:t>0.00</w:t>
              <w:tab/>
              <w:t>0.00</w:t>
              <w:tab/>
              <w:t>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3077" w:val="left" w:leader="none"/>
                <w:tab w:pos="5353" w:val="left" w:leader="none"/>
                <w:tab w:pos="6743"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电子设备</w:t>
              <w:tab/>
            </w:r>
            <w:r>
              <w:rPr>
                <w:rFonts w:ascii="Times New Roman" w:hAnsi="Times New Roman" w:cs="Times New Roman" w:eastAsia="Times New Roman" w:hint="default"/>
                <w:spacing w:val="-1"/>
                <w:sz w:val="18"/>
                <w:szCs w:val="18"/>
              </w:rPr>
              <w:t>3,486,340.31</w:t>
              <w:tab/>
            </w:r>
            <w:r>
              <w:rPr>
                <w:rFonts w:ascii="Times New Roman" w:hAnsi="Times New Roman" w:cs="Times New Roman" w:eastAsia="Times New Roman" w:hint="default"/>
                <w:sz w:val="18"/>
                <w:szCs w:val="18"/>
              </w:rPr>
              <w:t>0.00</w:t>
              <w:tab/>
              <w:t>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3,486,340.31</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3077" w:val="left" w:leader="none"/>
                <w:tab w:pos="4633" w:val="left" w:leader="none"/>
                <w:tab w:pos="6742"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专用设备</w:t>
              <w:tab/>
            </w:r>
            <w:r>
              <w:rPr>
                <w:rFonts w:ascii="Times New Roman" w:hAnsi="Times New Roman" w:cs="Times New Roman" w:eastAsia="Times New Roman" w:hint="default"/>
                <w:spacing w:val="-1"/>
                <w:sz w:val="18"/>
                <w:szCs w:val="18"/>
              </w:rPr>
              <w:t>2,108,840.59</w:t>
              <w:tab/>
              <w:t>18,516,209.10</w:t>
              <w:tab/>
              <w:t>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20,625,049.69</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3077" w:val="left" w:leader="none"/>
                <w:tab w:pos="5353" w:val="left" w:leader="none"/>
                <w:tab w:pos="6743"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通用设备</w:t>
              <w:tab/>
            </w:r>
            <w:r>
              <w:rPr>
                <w:rFonts w:ascii="Times New Roman" w:hAnsi="Times New Roman" w:cs="Times New Roman" w:eastAsia="Times New Roman" w:hint="default"/>
                <w:spacing w:val="-1"/>
                <w:sz w:val="18"/>
                <w:szCs w:val="18"/>
              </w:rPr>
              <w:t>3,632,091.04</w:t>
              <w:tab/>
            </w:r>
            <w:r>
              <w:rPr>
                <w:rFonts w:ascii="Times New Roman" w:hAnsi="Times New Roman" w:cs="Times New Roman" w:eastAsia="Times New Roman" w:hint="default"/>
                <w:sz w:val="18"/>
                <w:szCs w:val="18"/>
              </w:rPr>
              <w:t>0.00</w:t>
              <w:tab/>
              <w:t>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3,632,091.04</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3212" w:val="left" w:leader="none"/>
                <w:tab w:pos="5354" w:val="left" w:leader="none"/>
                <w:tab w:pos="6743"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运输设备</w:t>
              <w:tab/>
            </w:r>
            <w:r>
              <w:rPr>
                <w:rFonts w:ascii="Times New Roman" w:hAnsi="Times New Roman" w:cs="Times New Roman" w:eastAsia="Times New Roman" w:hint="default"/>
                <w:sz w:val="18"/>
                <w:szCs w:val="18"/>
              </w:rPr>
              <w:t>236,926.70</w:t>
              <w:tab/>
              <w:t>0.00</w:t>
              <w:tab/>
              <w:t>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236,926.70</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763" w:val="left" w:leader="none"/>
              </w:tabs>
              <w:spacing w:line="247"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账面价值</w:t>
              <w:tab/>
            </w:r>
            <w:r>
              <w:rPr>
                <w:rFonts w:ascii="Times New Roman" w:hAnsi="Times New Roman" w:cs="Times New Roman" w:eastAsia="Times New Roman" w:hint="default"/>
                <w:b/>
                <w:bCs/>
                <w:sz w:val="18"/>
                <w:szCs w:val="18"/>
              </w:rPr>
              <w:t>2,224,721,038.16</w:t>
            </w:r>
            <w:r>
              <w:rPr>
                <w:rFonts w:ascii="Times New Roman" w:hAnsi="Times New Roman" w:cs="Times New Roman" w:eastAsia="Times New Roman" w:hint="default"/>
                <w:sz w:val="18"/>
                <w:szCs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2,473,863,522.56</w:t>
            </w:r>
            <w:r>
              <w:rPr>
                <w:rFonts w:ascii="Times New Roman"/>
                <w:spacing w:val="-1"/>
                <w:sz w:val="18"/>
              </w:rPr>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763"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房屋建筑物</w:t>
              <w:tab/>
            </w:r>
            <w:r>
              <w:rPr>
                <w:rFonts w:ascii="Times New Roman" w:hAnsi="Times New Roman" w:cs="Times New Roman" w:eastAsia="Times New Roman" w:hint="default"/>
                <w:sz w:val="18"/>
                <w:szCs w:val="18"/>
              </w:rPr>
              <w:t>1,524,171,262.51</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1,733,072,795.73</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8"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电子设备</w:t>
              <w:tab/>
            </w:r>
            <w:r>
              <w:rPr>
                <w:rFonts w:ascii="Times New Roman" w:hAnsi="Times New Roman" w:cs="Times New Roman" w:eastAsia="Times New Roman" w:hint="default"/>
                <w:sz w:val="18"/>
                <w:szCs w:val="18"/>
              </w:rPr>
              <w:t>148,892,766.91</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128,490,310.10</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8"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专用设备</w:t>
              <w:tab/>
            </w:r>
            <w:r>
              <w:rPr>
                <w:rFonts w:ascii="Times New Roman" w:hAnsi="Times New Roman" w:cs="Times New Roman" w:eastAsia="Times New Roman" w:hint="default"/>
                <w:sz w:val="18"/>
                <w:szCs w:val="18"/>
              </w:rPr>
              <w:t>203,942,938.95</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225,188,585.92</w:t>
            </w:r>
          </w:p>
        </w:tc>
      </w:tr>
      <w:tr>
        <w:trPr>
          <w:trHeight w:val="283" w:hRule="exact"/>
        </w:trPr>
        <w:tc>
          <w:tcPr>
            <w:tcW w:w="7276" w:type="dxa"/>
            <w:tcBorders>
              <w:top w:val="nil" w:sz="6" w:space="0" w:color="auto"/>
              <w:left w:val="nil" w:sz="6" w:space="0" w:color="auto"/>
              <w:bottom w:val="nil" w:sz="6" w:space="0" w:color="auto"/>
              <w:right w:val="nil" w:sz="6" w:space="0" w:color="auto"/>
            </w:tcBorders>
          </w:tcPr>
          <w:p>
            <w:pPr>
              <w:pStyle w:val="TableParagraph"/>
              <w:tabs>
                <w:tab w:pos="2898"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通用设备</w:t>
              <w:tab/>
            </w:r>
            <w:r>
              <w:rPr>
                <w:rFonts w:ascii="Times New Roman" w:hAnsi="Times New Roman" w:cs="Times New Roman" w:eastAsia="Times New Roman" w:hint="default"/>
                <w:sz w:val="18"/>
                <w:szCs w:val="18"/>
              </w:rPr>
              <w:t>289,227,319.35</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333,261,180.87</w:t>
            </w:r>
          </w:p>
        </w:tc>
      </w:tr>
      <w:tr>
        <w:trPr>
          <w:trHeight w:val="299" w:hRule="exact"/>
        </w:trPr>
        <w:tc>
          <w:tcPr>
            <w:tcW w:w="7276" w:type="dxa"/>
            <w:tcBorders>
              <w:top w:val="nil" w:sz="6" w:space="0" w:color="auto"/>
              <w:left w:val="nil" w:sz="6" w:space="0" w:color="auto"/>
              <w:bottom w:val="single" w:sz="12" w:space="0" w:color="000000"/>
              <w:right w:val="nil" w:sz="6" w:space="0" w:color="auto"/>
            </w:tcBorders>
          </w:tcPr>
          <w:p>
            <w:pPr>
              <w:pStyle w:val="TableParagraph"/>
              <w:tabs>
                <w:tab w:pos="2987" w:val="left" w:leader="none"/>
              </w:tabs>
              <w:spacing w:line="240" w:lineRule="exact"/>
              <w:ind w:left="28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运输设备</w:t>
              <w:tab/>
            </w:r>
            <w:r>
              <w:rPr>
                <w:rFonts w:ascii="Times New Roman" w:hAnsi="Times New Roman" w:cs="Times New Roman" w:eastAsia="Times New Roman" w:hint="default"/>
                <w:sz w:val="18"/>
                <w:szCs w:val="18"/>
              </w:rPr>
              <w:t>58,486,750.44</w:t>
            </w:r>
          </w:p>
        </w:tc>
        <w:tc>
          <w:tcPr>
            <w:tcW w:w="1361"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53,850,649.94</w:t>
            </w:r>
          </w:p>
        </w:tc>
      </w:tr>
    </w:tbl>
    <w:p>
      <w:pPr>
        <w:spacing w:before="79"/>
        <w:ind w:left="578" w:right="0" w:firstLine="0"/>
        <w:jc w:val="left"/>
        <w:rPr>
          <w:rFonts w:ascii="楷体" w:hAnsi="楷体" w:cs="楷体" w:eastAsia="楷体" w:hint="default"/>
          <w:sz w:val="22"/>
          <w:szCs w:val="22"/>
        </w:rPr>
      </w:pPr>
      <w:r>
        <w:rPr>
          <w:rFonts w:ascii="楷体" w:hAnsi="楷体" w:cs="楷体" w:eastAsia="楷体" w:hint="default"/>
          <w:sz w:val="22"/>
          <w:szCs w:val="22"/>
        </w:rPr>
        <w:t>本年增加的固定资产中，由在建工程转入的金额为</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365,095,478.86</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元。</w:t>
      </w:r>
    </w:p>
    <w:p>
      <w:pPr>
        <w:spacing w:before="163"/>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截至</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年</w:t>
      </w:r>
      <w:r>
        <w:rPr>
          <w:rFonts w:ascii="楷体" w:hAnsi="楷体" w:cs="楷体" w:eastAsia="楷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月</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日，本公司之控股子公司泰豪科技股份有限公司用于抵押取得借</w:t>
      </w:r>
    </w:p>
    <w:p>
      <w:pPr>
        <w:spacing w:before="85"/>
        <w:ind w:left="138" w:right="2246" w:firstLine="0"/>
        <w:jc w:val="left"/>
        <w:rPr>
          <w:rFonts w:ascii="楷体" w:hAnsi="楷体" w:cs="楷体" w:eastAsia="楷体" w:hint="default"/>
          <w:sz w:val="22"/>
          <w:szCs w:val="22"/>
        </w:rPr>
      </w:pPr>
      <w:r>
        <w:rPr>
          <w:rFonts w:ascii="楷体" w:hAnsi="楷体" w:cs="楷体" w:eastAsia="楷体" w:hint="default"/>
          <w:sz w:val="22"/>
          <w:szCs w:val="22"/>
        </w:rPr>
        <w:t>款的固定资产账面价值为</w:t>
      </w:r>
      <w:r>
        <w:rPr>
          <w:rFonts w:ascii="楷体" w:hAnsi="楷体" w:cs="楷体" w:eastAsia="楷体" w:hint="default"/>
          <w:spacing w:val="-60"/>
          <w:sz w:val="22"/>
          <w:szCs w:val="22"/>
        </w:rPr>
        <w:t> </w:t>
      </w:r>
      <w:r>
        <w:rPr>
          <w:rFonts w:ascii="Times New Roman" w:hAnsi="Times New Roman" w:cs="Times New Roman" w:eastAsia="Times New Roman" w:hint="default"/>
          <w:sz w:val="22"/>
          <w:szCs w:val="22"/>
        </w:rPr>
        <w:t>73,520,866.68</w:t>
      </w:r>
      <w:r>
        <w:rPr>
          <w:rFonts w:ascii="Times New Roman" w:hAnsi="Times New Roman" w:cs="Times New Roman" w:eastAsia="Times New Roman" w:hint="default"/>
          <w:spacing w:val="-7"/>
          <w:sz w:val="22"/>
          <w:szCs w:val="22"/>
        </w:rPr>
        <w:t> </w:t>
      </w:r>
      <w:r>
        <w:rPr>
          <w:rFonts w:ascii="楷体" w:hAnsi="楷体" w:cs="楷体" w:eastAsia="楷体" w:hint="default"/>
          <w:sz w:val="22"/>
          <w:szCs w:val="22"/>
        </w:rPr>
        <w:t>元。</w:t>
      </w:r>
    </w:p>
    <w:p>
      <w:pPr>
        <w:spacing w:before="163"/>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8"/>
          <w:sz w:val="22"/>
          <w:szCs w:val="22"/>
        </w:rPr>
        <w:t> </w:t>
      </w:r>
      <w:r>
        <w:rPr>
          <w:rFonts w:ascii="楷体" w:hAnsi="楷体" w:cs="楷体" w:eastAsia="楷体" w:hint="default"/>
          <w:sz w:val="22"/>
          <w:szCs w:val="22"/>
        </w:rPr>
        <w:t>截至</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日，本公司无融资租入固定资产。</w:t>
      </w:r>
    </w:p>
    <w:p>
      <w:pPr>
        <w:spacing w:after="0"/>
        <w:jc w:val="left"/>
        <w:rPr>
          <w:rFonts w:ascii="楷体" w:hAnsi="楷体" w:cs="楷体" w:eastAsia="楷体" w:hint="default"/>
          <w:sz w:val="22"/>
          <w:szCs w:val="22"/>
        </w:rPr>
        <w:sectPr>
          <w:pgSz w:w="11910" w:h="16840"/>
          <w:pgMar w:header="610" w:footer="784" w:top="1080" w:bottom="9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718"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15.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在建工程</w:t>
      </w:r>
    </w:p>
    <w:p>
      <w:pPr>
        <w:spacing w:before="162"/>
        <w:ind w:left="73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在建工程明细表</w:t>
      </w:r>
    </w:p>
    <w:p>
      <w:pPr>
        <w:spacing w:line="240" w:lineRule="auto" w:before="5"/>
        <w:rPr>
          <w:rFonts w:ascii="楷体" w:hAnsi="楷体" w:cs="楷体" w:eastAsia="楷体" w:hint="default"/>
          <w:sz w:val="17"/>
          <w:szCs w:val="17"/>
        </w:rPr>
      </w:pPr>
    </w:p>
    <w:p>
      <w:pPr>
        <w:spacing w:before="0"/>
        <w:ind w:left="213" w:right="0" w:firstLine="0"/>
        <w:jc w:val="left"/>
        <w:rPr>
          <w:rFonts w:ascii="Microsoft JhengHei" w:hAnsi="Microsoft JhengHei" w:cs="Microsoft JhengHei" w:eastAsia="Microsoft JhengHei" w:hint="default"/>
          <w:sz w:val="14"/>
          <w:szCs w:val="14"/>
        </w:rPr>
      </w:pPr>
      <w:r>
        <w:rPr/>
        <w:pict>
          <v:shape style="position:absolute;margin-left:62.279999pt;margin-top:-3.306762pt;width:476.95pt;height:317.3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6"/>
                    <w:gridCol w:w="808"/>
                    <w:gridCol w:w="1090"/>
                    <w:gridCol w:w="1091"/>
                    <w:gridCol w:w="1095"/>
                    <w:gridCol w:w="1027"/>
                    <w:gridCol w:w="1092"/>
                    <w:gridCol w:w="887"/>
                    <w:gridCol w:w="773"/>
                  </w:tblGrid>
                  <w:tr>
                    <w:trPr>
                      <w:trHeight w:val="421" w:hRule="exact"/>
                    </w:trPr>
                    <w:tc>
                      <w:tcPr>
                        <w:tcW w:w="2485" w:type="dxa"/>
                        <w:gridSpan w:val="2"/>
                        <w:tcBorders>
                          <w:top w:val="single" w:sz="12" w:space="0" w:color="000000"/>
                          <w:left w:val="nil" w:sz="6" w:space="0" w:color="auto"/>
                          <w:bottom w:val="single" w:sz="4" w:space="0" w:color="000000"/>
                          <w:right w:val="nil" w:sz="6" w:space="0" w:color="auto"/>
                        </w:tcBorders>
                      </w:tcPr>
                      <w:p>
                        <w:pPr>
                          <w:pStyle w:val="TableParagraph"/>
                          <w:spacing w:line="174" w:lineRule="exact"/>
                          <w:ind w:right="129"/>
                          <w:jc w:val="righ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工程预</w:t>
                        </w:r>
                        <w:r>
                          <w:rPr>
                            <w:rFonts w:ascii="Microsoft JhengHei" w:hAnsi="Microsoft JhengHei" w:cs="Microsoft JhengHei" w:eastAsia="Microsoft JhengHei" w:hint="default"/>
                            <w:sz w:val="14"/>
                            <w:szCs w:val="14"/>
                          </w:rPr>
                        </w:r>
                      </w:p>
                      <w:p>
                        <w:pPr>
                          <w:pStyle w:val="TableParagraph"/>
                          <w:spacing w:line="222" w:lineRule="exact"/>
                          <w:ind w:right="129"/>
                          <w:jc w:val="right"/>
                          <w:rPr>
                            <w:rFonts w:ascii="Times New Roman" w:hAnsi="Times New Roman" w:cs="Times New Roman" w:eastAsia="Times New Roman" w:hint="default"/>
                            <w:sz w:val="14"/>
                            <w:szCs w:val="14"/>
                          </w:rPr>
                        </w:pPr>
                        <w:r>
                          <w:rPr>
                            <w:rFonts w:ascii="Microsoft JhengHei" w:hAnsi="Microsoft JhengHei" w:cs="Microsoft JhengHei" w:eastAsia="Microsoft JhengHei" w:hint="default"/>
                            <w:b/>
                            <w:bCs/>
                            <w:sz w:val="14"/>
                            <w:szCs w:val="14"/>
                          </w:rPr>
                          <w:t>算</w:t>
                        </w:r>
                        <w:r>
                          <w:rPr>
                            <w:rFonts w:ascii="Times New Roman" w:hAnsi="Times New Roman" w:cs="Times New Roman" w:eastAsia="Times New Roman" w:hint="default"/>
                            <w:b/>
                            <w:bCs/>
                            <w:sz w:val="14"/>
                            <w:szCs w:val="14"/>
                          </w:rPr>
                          <w:t>(</w:t>
                        </w:r>
                        <w:r>
                          <w:rPr>
                            <w:rFonts w:ascii="Microsoft JhengHei" w:hAnsi="Microsoft JhengHei" w:cs="Microsoft JhengHei" w:eastAsia="Microsoft JhengHei" w:hint="default"/>
                            <w:b/>
                            <w:bCs/>
                            <w:sz w:val="14"/>
                            <w:szCs w:val="14"/>
                          </w:rPr>
                          <w:t>万元</w:t>
                        </w:r>
                        <w:r>
                          <w:rPr>
                            <w:rFonts w:ascii="Times New Roman" w:hAnsi="Times New Roman" w:cs="Times New Roman" w:eastAsia="Times New Roman" w:hint="default"/>
                            <w:b/>
                            <w:bCs/>
                            <w:sz w:val="14"/>
                            <w:szCs w:val="14"/>
                          </w:rPr>
                          <w:t>)</w:t>
                        </w:r>
                        <w:r>
                          <w:rPr>
                            <w:rFonts w:ascii="Times New Roman" w:hAnsi="Times New Roman" w:cs="Times New Roman" w:eastAsia="Times New Roman" w:hint="default"/>
                            <w:sz w:val="14"/>
                            <w:szCs w:val="14"/>
                          </w:rPr>
                        </w:r>
                      </w:p>
                    </w:tc>
                    <w:tc>
                      <w:tcPr>
                        <w:tcW w:w="1090" w:type="dxa"/>
                        <w:tcBorders>
                          <w:top w:val="single" w:sz="12" w:space="0" w:color="000000"/>
                          <w:left w:val="nil" w:sz="6" w:space="0" w:color="auto"/>
                          <w:bottom w:val="single" w:sz="4" w:space="0" w:color="000000"/>
                          <w:right w:val="nil" w:sz="6" w:space="0" w:color="auto"/>
                        </w:tcBorders>
                      </w:tcPr>
                      <w:p>
                        <w:pPr>
                          <w:pStyle w:val="TableParagraph"/>
                          <w:spacing w:line="174" w:lineRule="exact"/>
                          <w:ind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年初</w:t>
                        </w:r>
                        <w:r>
                          <w:rPr>
                            <w:rFonts w:ascii="Microsoft JhengHei" w:hAnsi="Microsoft JhengHei" w:cs="Microsoft JhengHei" w:eastAsia="Microsoft JhengHei" w:hint="default"/>
                            <w:sz w:val="14"/>
                            <w:szCs w:val="14"/>
                          </w:rPr>
                        </w:r>
                      </w:p>
                      <w:p>
                        <w:pPr>
                          <w:pStyle w:val="TableParagraph"/>
                          <w:spacing w:line="222" w:lineRule="exact"/>
                          <w:ind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金额</w:t>
                        </w:r>
                        <w:r>
                          <w:rPr>
                            <w:rFonts w:ascii="Microsoft JhengHei" w:hAnsi="Microsoft JhengHei" w:cs="Microsoft JhengHei" w:eastAsia="Microsoft JhengHei" w:hint="default"/>
                            <w:sz w:val="14"/>
                            <w:szCs w:val="14"/>
                          </w:rPr>
                        </w:r>
                      </w:p>
                    </w:tc>
                    <w:tc>
                      <w:tcPr>
                        <w:tcW w:w="1091" w:type="dxa"/>
                        <w:tcBorders>
                          <w:top w:val="single" w:sz="12" w:space="0" w:color="000000"/>
                          <w:left w:val="nil" w:sz="6" w:space="0" w:color="auto"/>
                          <w:bottom w:val="single" w:sz="4" w:space="0" w:color="000000"/>
                          <w:right w:val="nil" w:sz="6" w:space="0" w:color="auto"/>
                        </w:tcBorders>
                      </w:tcPr>
                      <w:p>
                        <w:pPr>
                          <w:pStyle w:val="TableParagraph"/>
                          <w:spacing w:line="174" w:lineRule="exact"/>
                          <w:ind w:right="1"/>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本年</w:t>
                        </w:r>
                        <w:r>
                          <w:rPr>
                            <w:rFonts w:ascii="Microsoft JhengHei" w:hAnsi="Microsoft JhengHei" w:cs="Microsoft JhengHei" w:eastAsia="Microsoft JhengHei" w:hint="default"/>
                            <w:sz w:val="14"/>
                            <w:szCs w:val="14"/>
                          </w:rPr>
                        </w:r>
                      </w:p>
                      <w:p>
                        <w:pPr>
                          <w:pStyle w:val="TableParagraph"/>
                          <w:spacing w:line="222" w:lineRule="exact"/>
                          <w:ind w:right="1"/>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增加</w:t>
                        </w:r>
                        <w:r>
                          <w:rPr>
                            <w:rFonts w:ascii="Microsoft JhengHei" w:hAnsi="Microsoft JhengHei" w:cs="Microsoft JhengHei" w:eastAsia="Microsoft JhengHei" w:hint="default"/>
                            <w:sz w:val="14"/>
                            <w:szCs w:val="14"/>
                          </w:rPr>
                        </w:r>
                      </w:p>
                    </w:tc>
                    <w:tc>
                      <w:tcPr>
                        <w:tcW w:w="1095" w:type="dxa"/>
                        <w:tcBorders>
                          <w:top w:val="single" w:sz="12" w:space="0" w:color="000000"/>
                          <w:left w:val="nil" w:sz="6" w:space="0" w:color="auto"/>
                          <w:bottom w:val="single" w:sz="4" w:space="0" w:color="000000"/>
                          <w:right w:val="nil" w:sz="6" w:space="0" w:color="auto"/>
                        </w:tcBorders>
                      </w:tcPr>
                      <w:p>
                        <w:pPr>
                          <w:pStyle w:val="TableParagraph"/>
                          <w:spacing w:line="174" w:lineRule="exact"/>
                          <w:ind w:right="3"/>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本年</w:t>
                        </w:r>
                        <w:r>
                          <w:rPr>
                            <w:rFonts w:ascii="Microsoft JhengHei" w:hAnsi="Microsoft JhengHei" w:cs="Microsoft JhengHei" w:eastAsia="Microsoft JhengHei" w:hint="default"/>
                            <w:sz w:val="14"/>
                            <w:szCs w:val="14"/>
                          </w:rPr>
                        </w:r>
                      </w:p>
                      <w:p>
                        <w:pPr>
                          <w:pStyle w:val="TableParagraph"/>
                          <w:spacing w:line="222" w:lineRule="exact"/>
                          <w:ind w:right="3"/>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转固</w:t>
                        </w:r>
                        <w:r>
                          <w:rPr>
                            <w:rFonts w:ascii="Microsoft JhengHei" w:hAnsi="Microsoft JhengHei" w:cs="Microsoft JhengHei" w:eastAsia="Microsoft JhengHei" w:hint="default"/>
                            <w:sz w:val="14"/>
                            <w:szCs w:val="14"/>
                          </w:rPr>
                        </w:r>
                      </w:p>
                    </w:tc>
                    <w:tc>
                      <w:tcPr>
                        <w:tcW w:w="1027" w:type="dxa"/>
                        <w:tcBorders>
                          <w:top w:val="single" w:sz="12" w:space="0" w:color="000000"/>
                          <w:left w:val="nil" w:sz="6" w:space="0" w:color="auto"/>
                          <w:bottom w:val="single" w:sz="4" w:space="0" w:color="000000"/>
                          <w:right w:val="nil" w:sz="6" w:space="0" w:color="auto"/>
                        </w:tcBorders>
                      </w:tcPr>
                      <w:p>
                        <w:pPr>
                          <w:pStyle w:val="TableParagraph"/>
                          <w:spacing w:line="174" w:lineRule="exact"/>
                          <w:ind w:right="3"/>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其他</w:t>
                        </w:r>
                        <w:r>
                          <w:rPr>
                            <w:rFonts w:ascii="Microsoft JhengHei" w:hAnsi="Microsoft JhengHei" w:cs="Microsoft JhengHei" w:eastAsia="Microsoft JhengHei" w:hint="default"/>
                            <w:sz w:val="14"/>
                            <w:szCs w:val="14"/>
                          </w:rPr>
                        </w:r>
                      </w:p>
                      <w:p>
                        <w:pPr>
                          <w:pStyle w:val="TableParagraph"/>
                          <w:spacing w:line="222" w:lineRule="exact"/>
                          <w:ind w:right="3"/>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减少</w:t>
                        </w:r>
                        <w:r>
                          <w:rPr>
                            <w:rFonts w:ascii="Microsoft JhengHei" w:hAnsi="Microsoft JhengHei" w:cs="Microsoft JhengHei" w:eastAsia="Microsoft JhengHei" w:hint="default"/>
                            <w:sz w:val="14"/>
                            <w:szCs w:val="14"/>
                          </w:rPr>
                        </w:r>
                      </w:p>
                    </w:tc>
                    <w:tc>
                      <w:tcPr>
                        <w:tcW w:w="1092" w:type="dxa"/>
                        <w:tcBorders>
                          <w:top w:val="single" w:sz="12" w:space="0" w:color="000000"/>
                          <w:left w:val="nil" w:sz="6" w:space="0" w:color="auto"/>
                          <w:bottom w:val="single" w:sz="4" w:space="0" w:color="000000"/>
                          <w:right w:val="nil" w:sz="6" w:space="0" w:color="auto"/>
                        </w:tcBorders>
                      </w:tcPr>
                      <w:p>
                        <w:pPr>
                          <w:pStyle w:val="TableParagraph"/>
                          <w:spacing w:line="174" w:lineRule="exact"/>
                          <w:ind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年末</w:t>
                        </w:r>
                        <w:r>
                          <w:rPr>
                            <w:rFonts w:ascii="Microsoft JhengHei" w:hAnsi="Microsoft JhengHei" w:cs="Microsoft JhengHei" w:eastAsia="Microsoft JhengHei" w:hint="default"/>
                            <w:sz w:val="14"/>
                            <w:szCs w:val="14"/>
                          </w:rPr>
                        </w:r>
                      </w:p>
                      <w:p>
                        <w:pPr>
                          <w:pStyle w:val="TableParagraph"/>
                          <w:spacing w:line="222" w:lineRule="exact"/>
                          <w:ind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金额</w:t>
                        </w:r>
                        <w:r>
                          <w:rPr>
                            <w:rFonts w:ascii="Microsoft JhengHei" w:hAnsi="Microsoft JhengHei" w:cs="Microsoft JhengHei" w:eastAsia="Microsoft JhengHei" w:hint="default"/>
                            <w:sz w:val="14"/>
                            <w:szCs w:val="14"/>
                          </w:rPr>
                        </w:r>
                      </w:p>
                    </w:tc>
                    <w:tc>
                      <w:tcPr>
                        <w:tcW w:w="887" w:type="dxa"/>
                        <w:tcBorders>
                          <w:top w:val="single" w:sz="12" w:space="0" w:color="000000"/>
                          <w:left w:val="nil" w:sz="6" w:space="0" w:color="auto"/>
                          <w:bottom w:val="single" w:sz="4" w:space="0" w:color="000000"/>
                          <w:right w:val="nil" w:sz="6" w:space="0" w:color="auto"/>
                        </w:tcBorders>
                      </w:tcPr>
                      <w:p>
                        <w:pPr>
                          <w:pStyle w:val="TableParagraph"/>
                          <w:spacing w:line="174" w:lineRule="exact"/>
                          <w:ind w:right="1"/>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资金</w:t>
                        </w:r>
                        <w:r>
                          <w:rPr>
                            <w:rFonts w:ascii="Microsoft JhengHei" w:hAnsi="Microsoft JhengHei" w:cs="Microsoft JhengHei" w:eastAsia="Microsoft JhengHei" w:hint="default"/>
                            <w:sz w:val="14"/>
                            <w:szCs w:val="14"/>
                          </w:rPr>
                        </w:r>
                      </w:p>
                      <w:p>
                        <w:pPr>
                          <w:pStyle w:val="TableParagraph"/>
                          <w:spacing w:line="222" w:lineRule="exact"/>
                          <w:ind w:right="1"/>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来源</w:t>
                        </w:r>
                        <w:r>
                          <w:rPr>
                            <w:rFonts w:ascii="Microsoft JhengHei" w:hAnsi="Microsoft JhengHei" w:cs="Microsoft JhengHei" w:eastAsia="Microsoft JhengHei" w:hint="default"/>
                            <w:sz w:val="14"/>
                            <w:szCs w:val="14"/>
                          </w:rPr>
                        </w:r>
                      </w:p>
                    </w:tc>
                    <w:tc>
                      <w:tcPr>
                        <w:tcW w:w="773" w:type="dxa"/>
                        <w:tcBorders>
                          <w:top w:val="single" w:sz="12" w:space="0" w:color="000000"/>
                          <w:left w:val="nil" w:sz="6" w:space="0" w:color="auto"/>
                          <w:bottom w:val="single" w:sz="4" w:space="0" w:color="000000"/>
                          <w:right w:val="nil" w:sz="6" w:space="0" w:color="auto"/>
                        </w:tcBorders>
                      </w:tcPr>
                      <w:p>
                        <w:pPr>
                          <w:pStyle w:val="TableParagraph"/>
                          <w:spacing w:line="174" w:lineRule="exact"/>
                          <w:ind w:left="177" w:right="0" w:hanging="7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投入占预</w:t>
                        </w:r>
                        <w:r>
                          <w:rPr>
                            <w:rFonts w:ascii="Microsoft JhengHei" w:hAnsi="Microsoft JhengHei" w:cs="Microsoft JhengHei" w:eastAsia="Microsoft JhengHei" w:hint="default"/>
                            <w:sz w:val="14"/>
                            <w:szCs w:val="14"/>
                          </w:rPr>
                        </w:r>
                      </w:p>
                      <w:p>
                        <w:pPr>
                          <w:pStyle w:val="TableParagraph"/>
                          <w:spacing w:line="222" w:lineRule="exact"/>
                          <w:ind w:left="177"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算比例</w:t>
                        </w:r>
                        <w:r>
                          <w:rPr>
                            <w:rFonts w:ascii="Microsoft JhengHei" w:hAnsi="Microsoft JhengHei" w:cs="Microsoft JhengHei" w:eastAsia="Microsoft JhengHei" w:hint="default"/>
                            <w:sz w:val="14"/>
                            <w:szCs w:val="14"/>
                          </w:rPr>
                        </w:r>
                      </w:p>
                    </w:tc>
                  </w:tr>
                  <w:tr>
                    <w:trPr>
                      <w:trHeight w:val="273"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楷体" w:hAnsi="楷体" w:cs="楷体" w:eastAsia="楷体" w:hint="default"/>
                            <w:sz w:val="14"/>
                            <w:szCs w:val="14"/>
                          </w:rPr>
                        </w:pPr>
                        <w:r>
                          <w:rPr>
                            <w:rFonts w:ascii="楷体" w:hAnsi="楷体" w:cs="楷体" w:eastAsia="楷体" w:hint="default"/>
                            <w:sz w:val="14"/>
                            <w:szCs w:val="14"/>
                          </w:rPr>
                          <w:t>清华同方科技广场二期</w:t>
                        </w:r>
                      </w:p>
                    </w:tc>
                    <w:tc>
                      <w:tcPr>
                        <w:tcW w:w="8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4"/>
                            <w:szCs w:val="14"/>
                          </w:rPr>
                        </w:pPr>
                        <w:r>
                          <w:rPr>
                            <w:rFonts w:ascii="Times New Roman"/>
                            <w:spacing w:val="-1"/>
                            <w:sz w:val="14"/>
                          </w:rPr>
                          <w:t>99,488,607.79</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4"/>
                            <w:szCs w:val="14"/>
                          </w:rPr>
                        </w:pPr>
                        <w:r>
                          <w:rPr>
                            <w:rFonts w:ascii="Times New Roman"/>
                            <w:spacing w:val="-1"/>
                            <w:sz w:val="14"/>
                          </w:rPr>
                          <w:t>81,188,759.77</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0"/>
                          <w:jc w:val="right"/>
                          <w:rPr>
                            <w:rFonts w:ascii="Times New Roman" w:hAnsi="Times New Roman" w:cs="Times New Roman" w:eastAsia="Times New Roman" w:hint="default"/>
                            <w:sz w:val="14"/>
                            <w:szCs w:val="14"/>
                          </w:rPr>
                        </w:pPr>
                        <w:r>
                          <w:rPr>
                            <w:rFonts w:ascii="Times New Roman"/>
                            <w:spacing w:val="-1"/>
                            <w:sz w:val="14"/>
                          </w:rPr>
                          <w:t>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4"/>
                            <w:szCs w:val="14"/>
                          </w:rPr>
                        </w:pPr>
                        <w:r>
                          <w:rPr>
                            <w:rFonts w:ascii="Times New Roman"/>
                            <w:spacing w:val="-1"/>
                            <w:sz w:val="14"/>
                          </w:rPr>
                          <w:t>180,677,367.56</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楷体" w:hAnsi="楷体" w:cs="楷体" w:eastAsia="楷体" w:hint="default"/>
                            <w:sz w:val="14"/>
                            <w:szCs w:val="14"/>
                          </w:rPr>
                        </w:pPr>
                        <w:r>
                          <w:rPr>
                            <w:rFonts w:ascii="楷体" w:hAnsi="楷体" w:cs="楷体" w:eastAsia="楷体" w:hint="default"/>
                            <w:spacing w:val="-7"/>
                            <w:sz w:val="14"/>
                            <w:szCs w:val="14"/>
                          </w:rPr>
                          <w:t>自筹、贷款</w:t>
                        </w:r>
                      </w:p>
                    </w:tc>
                    <w:tc>
                      <w:tcPr>
                        <w:tcW w:w="773" w:type="dxa"/>
                        <w:tcBorders>
                          <w:top w:val="nil" w:sz="6" w:space="0" w:color="auto"/>
                          <w:left w:val="nil" w:sz="6" w:space="0" w:color="auto"/>
                          <w:bottom w:val="nil" w:sz="6" w:space="0" w:color="auto"/>
                          <w:right w:val="nil" w:sz="6" w:space="0" w:color="auto"/>
                        </w:tcBorders>
                      </w:tcPr>
                      <w:p>
                        <w:pP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楷体" w:hAnsi="楷体" w:cs="楷体" w:eastAsia="楷体" w:hint="default"/>
                            <w:sz w:val="14"/>
                            <w:szCs w:val="14"/>
                          </w:rPr>
                        </w:pPr>
                        <w:r>
                          <w:rPr>
                            <w:rFonts w:ascii="楷体" w:hAnsi="楷体" w:cs="楷体" w:eastAsia="楷体" w:hint="default"/>
                            <w:sz w:val="14"/>
                            <w:szCs w:val="14"/>
                          </w:rPr>
                          <w:t>同方沈阳科技园区建设</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4"/>
                            <w:szCs w:val="14"/>
                          </w:rPr>
                        </w:pPr>
                        <w:r>
                          <w:rPr>
                            <w:rFonts w:ascii="Times New Roman"/>
                            <w:spacing w:val="-1"/>
                            <w:sz w:val="14"/>
                          </w:rPr>
                          <w:t>30,000.00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2"/>
                            <w:sz w:val="14"/>
                          </w:rPr>
                          <w:t>71,611,389.49</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96,368,243.84</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74,719,470.68</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93,260,162.65</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 w:right="0"/>
                          <w:jc w:val="center"/>
                          <w:rPr>
                            <w:rFonts w:ascii="Times New Roman" w:hAnsi="Times New Roman" w:cs="Times New Roman" w:eastAsia="Times New Roman" w:hint="default"/>
                            <w:sz w:val="14"/>
                            <w:szCs w:val="14"/>
                          </w:rPr>
                        </w:pPr>
                        <w:r>
                          <w:rPr>
                            <w:rFonts w:ascii="Times New Roman"/>
                            <w:sz w:val="14"/>
                          </w:rPr>
                          <w:t>56.00%</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楷体" w:hAnsi="楷体" w:cs="楷体" w:eastAsia="楷体" w:hint="default"/>
                            <w:sz w:val="14"/>
                            <w:szCs w:val="14"/>
                          </w:rPr>
                        </w:pPr>
                        <w:r>
                          <w:rPr>
                            <w:rFonts w:ascii="楷体" w:hAnsi="楷体" w:cs="楷体" w:eastAsia="楷体" w:hint="default"/>
                            <w:sz w:val="14"/>
                            <w:szCs w:val="14"/>
                          </w:rPr>
                          <w:t>顺义天竺项目</w:t>
                        </w:r>
                      </w:p>
                    </w:tc>
                    <w:tc>
                      <w:tcPr>
                        <w:tcW w:w="8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56,369,300.00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94,322,614.61</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4"/>
                            <w:szCs w:val="14"/>
                          </w:rPr>
                        </w:pPr>
                        <w:r>
                          <w:rPr>
                            <w:rFonts w:ascii="Times New Roman"/>
                            <w:spacing w:val="-1"/>
                            <w:sz w:val="14"/>
                          </w:rPr>
                          <w:t>150,691,914.61</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楷体" w:hAnsi="楷体" w:cs="楷体" w:eastAsia="楷体" w:hint="default"/>
                            <w:sz w:val="14"/>
                            <w:szCs w:val="14"/>
                          </w:rPr>
                        </w:pPr>
                        <w:r>
                          <w:rPr>
                            <w:rFonts w:ascii="楷体" w:hAnsi="楷体" w:cs="楷体" w:eastAsia="楷体" w:hint="default"/>
                            <w:sz w:val="14"/>
                            <w:szCs w:val="14"/>
                          </w:rPr>
                          <w:t>泰豪家用静音电源项目</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4"/>
                            <w:szCs w:val="14"/>
                          </w:rPr>
                        </w:pPr>
                        <w:r>
                          <w:rPr>
                            <w:rFonts w:ascii="Times New Roman"/>
                            <w:spacing w:val="-1"/>
                            <w:sz w:val="14"/>
                          </w:rPr>
                          <w:t>50,178.00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51,056,502.32</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82,819,820.63</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46,281,744.55</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87,594,578.40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 w:right="0"/>
                          <w:jc w:val="center"/>
                          <w:rPr>
                            <w:rFonts w:ascii="Times New Roman" w:hAnsi="Times New Roman" w:cs="Times New Roman" w:eastAsia="Times New Roman" w:hint="default"/>
                            <w:sz w:val="14"/>
                            <w:szCs w:val="14"/>
                          </w:rPr>
                        </w:pPr>
                        <w:r>
                          <w:rPr>
                            <w:rFonts w:ascii="Times New Roman"/>
                            <w:sz w:val="14"/>
                          </w:rPr>
                          <w:t>26.68%</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楷体" w:hAnsi="楷体" w:cs="楷体" w:eastAsia="楷体" w:hint="default"/>
                            <w:sz w:val="14"/>
                            <w:szCs w:val="14"/>
                          </w:rPr>
                        </w:pPr>
                        <w:r>
                          <w:rPr>
                            <w:rFonts w:ascii="楷体" w:hAnsi="楷体" w:cs="楷体" w:eastAsia="楷体" w:hint="default"/>
                            <w:sz w:val="14"/>
                            <w:szCs w:val="14"/>
                          </w:rPr>
                          <w:t>江新船厂大船台</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4"/>
                            <w:szCs w:val="14"/>
                          </w:rPr>
                        </w:pPr>
                        <w:r>
                          <w:rPr>
                            <w:rFonts w:ascii="Times New Roman"/>
                            <w:spacing w:val="-1"/>
                            <w:sz w:val="14"/>
                          </w:rPr>
                          <w:t>20,000.00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50,160,060.65</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95,288,413.23</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9"/>
                          <w:jc w:val="right"/>
                          <w:rPr>
                            <w:rFonts w:ascii="Times New Roman" w:hAnsi="Times New Roman" w:cs="Times New Roman" w:eastAsia="Times New Roman" w:hint="default"/>
                            <w:sz w:val="14"/>
                            <w:szCs w:val="14"/>
                          </w:rPr>
                        </w:pPr>
                        <w:r>
                          <w:rPr>
                            <w:rFonts w:ascii="Times New Roman"/>
                            <w:spacing w:val="-1"/>
                            <w:sz w:val="14"/>
                          </w:rPr>
                          <w:t>145,448,473.88</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楷体" w:hAnsi="楷体" w:cs="楷体" w:eastAsia="楷体" w:hint="default"/>
                            <w:sz w:val="14"/>
                            <w:szCs w:val="14"/>
                          </w:rPr>
                        </w:pPr>
                        <w:r>
                          <w:rPr>
                            <w:rFonts w:ascii="楷体" w:hAnsi="楷体" w:cs="楷体" w:eastAsia="楷体" w:hint="default"/>
                            <w:spacing w:val="-7"/>
                            <w:sz w:val="14"/>
                            <w:szCs w:val="14"/>
                          </w:rPr>
                          <w:t>自筹、贷款</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 w:right="0"/>
                          <w:jc w:val="center"/>
                          <w:rPr>
                            <w:rFonts w:ascii="Times New Roman" w:hAnsi="Times New Roman" w:cs="Times New Roman" w:eastAsia="Times New Roman" w:hint="default"/>
                            <w:sz w:val="14"/>
                            <w:szCs w:val="14"/>
                          </w:rPr>
                        </w:pPr>
                        <w:r>
                          <w:rPr>
                            <w:rFonts w:ascii="Times New Roman"/>
                            <w:sz w:val="14"/>
                          </w:rPr>
                          <w:t>95.37%</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楷体" w:hAnsi="楷体" w:cs="楷体" w:eastAsia="楷体" w:hint="default"/>
                            <w:sz w:val="14"/>
                            <w:szCs w:val="14"/>
                          </w:rPr>
                        </w:pPr>
                        <w:r>
                          <w:rPr>
                            <w:rFonts w:ascii="楷体" w:hAnsi="楷体" w:cs="楷体" w:eastAsia="楷体" w:hint="default"/>
                            <w:sz w:val="14"/>
                            <w:szCs w:val="14"/>
                          </w:rPr>
                          <w:t>车载通信指挥系统改造</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4"/>
                            <w:szCs w:val="14"/>
                          </w:rPr>
                        </w:pPr>
                        <w:r>
                          <w:rPr>
                            <w:rFonts w:ascii="Times New Roman"/>
                            <w:spacing w:val="-1"/>
                            <w:sz w:val="14"/>
                          </w:rPr>
                          <w:t>15,157.00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24,654,402.88</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321,121.90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2"/>
                          <w:jc w:val="right"/>
                          <w:rPr>
                            <w:rFonts w:ascii="Times New Roman" w:hAnsi="Times New Roman" w:cs="Times New Roman" w:eastAsia="Times New Roman" w:hint="default"/>
                            <w:sz w:val="14"/>
                            <w:szCs w:val="14"/>
                          </w:rPr>
                        </w:pPr>
                        <w:r>
                          <w:rPr>
                            <w:rFonts w:ascii="Times New Roman"/>
                            <w:spacing w:val="-1"/>
                            <w:sz w:val="14"/>
                          </w:rPr>
                          <w:t>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24,975,524.78</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楷体" w:hAnsi="楷体" w:cs="楷体" w:eastAsia="楷体" w:hint="default"/>
                            <w:sz w:val="14"/>
                            <w:szCs w:val="14"/>
                          </w:rPr>
                        </w:pPr>
                        <w:r>
                          <w:rPr>
                            <w:rFonts w:ascii="楷体" w:hAnsi="楷体" w:cs="楷体" w:eastAsia="楷体" w:hint="default"/>
                            <w:spacing w:val="-7"/>
                            <w:sz w:val="14"/>
                            <w:szCs w:val="14"/>
                          </w:rPr>
                          <w:t>自筹、贷款</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 w:right="0"/>
                          <w:jc w:val="center"/>
                          <w:rPr>
                            <w:rFonts w:ascii="Times New Roman" w:hAnsi="Times New Roman" w:cs="Times New Roman" w:eastAsia="Times New Roman" w:hint="default"/>
                            <w:sz w:val="14"/>
                            <w:szCs w:val="14"/>
                          </w:rPr>
                        </w:pPr>
                        <w:r>
                          <w:rPr>
                            <w:rFonts w:ascii="Times New Roman"/>
                            <w:sz w:val="14"/>
                          </w:rPr>
                          <w:t>16.70%</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楷体" w:hAnsi="楷体" w:cs="楷体" w:eastAsia="楷体" w:hint="default"/>
                            <w:sz w:val="14"/>
                            <w:szCs w:val="14"/>
                          </w:rPr>
                        </w:pPr>
                        <w:r>
                          <w:rPr>
                            <w:rFonts w:ascii="楷体" w:hAnsi="楷体" w:cs="楷体" w:eastAsia="楷体" w:hint="default"/>
                            <w:sz w:val="14"/>
                            <w:szCs w:val="14"/>
                          </w:rPr>
                          <w:t>同方炭素一期项目工程</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1,308.00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812,510.05</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13,570,265.69</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10,190.00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14,372,585.74</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 w:right="0"/>
                          <w:jc w:val="center"/>
                          <w:rPr>
                            <w:rFonts w:ascii="Times New Roman" w:hAnsi="Times New Roman" w:cs="Times New Roman" w:eastAsia="Times New Roman" w:hint="default"/>
                            <w:sz w:val="14"/>
                            <w:szCs w:val="14"/>
                          </w:rPr>
                        </w:pPr>
                        <w:r>
                          <w:rPr>
                            <w:rFonts w:ascii="Times New Roman"/>
                            <w:sz w:val="14"/>
                          </w:rPr>
                          <w:t>109.88%</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楷体" w:hAnsi="楷体" w:cs="楷体" w:eastAsia="楷体" w:hint="default"/>
                            <w:sz w:val="13"/>
                            <w:szCs w:val="13"/>
                          </w:rPr>
                        </w:pPr>
                        <w:r>
                          <w:rPr>
                            <w:rFonts w:ascii="楷体" w:hAnsi="楷体" w:cs="楷体" w:eastAsia="楷体" w:hint="default"/>
                            <w:sz w:val="13"/>
                            <w:szCs w:val="13"/>
                          </w:rPr>
                          <w:t>无锡科技园代建伊顿工程</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4,000.00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18,237,385.48</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2,188,089.35</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20,425,474.83</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 w:right="0"/>
                          <w:jc w:val="center"/>
                          <w:rPr>
                            <w:rFonts w:ascii="Times New Roman" w:hAnsi="Times New Roman" w:cs="Times New Roman" w:eastAsia="Times New Roman" w:hint="default"/>
                            <w:sz w:val="14"/>
                            <w:szCs w:val="14"/>
                          </w:rPr>
                        </w:pPr>
                        <w:r>
                          <w:rPr>
                            <w:rFonts w:ascii="Times New Roman"/>
                            <w:sz w:val="14"/>
                          </w:rPr>
                          <w:t>51.06%</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楷体" w:hAnsi="楷体" w:cs="楷体" w:eastAsia="楷体" w:hint="default"/>
                            <w:sz w:val="14"/>
                            <w:szCs w:val="14"/>
                          </w:rPr>
                        </w:pPr>
                        <w:r>
                          <w:rPr>
                            <w:rFonts w:ascii="楷体" w:hAnsi="楷体" w:cs="楷体" w:eastAsia="楷体" w:hint="default"/>
                            <w:sz w:val="14"/>
                            <w:szCs w:val="14"/>
                          </w:rPr>
                          <w:t>天秀花园</w:t>
                        </w:r>
                      </w:p>
                    </w:tc>
                    <w:tc>
                      <w:tcPr>
                        <w:tcW w:w="8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15,662,147.64</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172,937.80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15,489,209.84</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楷体" w:hAnsi="楷体" w:cs="楷体" w:eastAsia="楷体" w:hint="default"/>
                            <w:sz w:val="14"/>
                            <w:szCs w:val="14"/>
                          </w:rPr>
                        </w:pPr>
                        <w:r>
                          <w:rPr>
                            <w:rFonts w:ascii="楷体" w:hAnsi="楷体" w:cs="楷体" w:eastAsia="楷体" w:hint="default"/>
                            <w:sz w:val="14"/>
                            <w:szCs w:val="14"/>
                          </w:rPr>
                          <w:t>特种电机制造技改项目</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2,388.97</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13,372,938.93</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2"/>
                            <w:sz w:val="14"/>
                          </w:rPr>
                          <w:t>11,878,740.11</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21,072,763.04</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4,178,916.00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楷体" w:hAnsi="楷体" w:cs="楷体" w:eastAsia="楷体" w:hint="default"/>
                            <w:sz w:val="14"/>
                            <w:szCs w:val="14"/>
                          </w:rPr>
                        </w:pPr>
                        <w:r>
                          <w:rPr>
                            <w:rFonts w:ascii="楷体" w:hAnsi="楷体" w:cs="楷体" w:eastAsia="楷体" w:hint="default"/>
                            <w:spacing w:val="-7"/>
                            <w:sz w:val="14"/>
                            <w:szCs w:val="14"/>
                          </w:rPr>
                          <w:t>自筹、贷款</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 w:right="0"/>
                          <w:jc w:val="center"/>
                          <w:rPr>
                            <w:rFonts w:ascii="Times New Roman" w:hAnsi="Times New Roman" w:cs="Times New Roman" w:eastAsia="Times New Roman" w:hint="default"/>
                            <w:sz w:val="14"/>
                            <w:szCs w:val="14"/>
                          </w:rPr>
                        </w:pPr>
                        <w:r>
                          <w:rPr>
                            <w:rFonts w:ascii="Times New Roman"/>
                            <w:sz w:val="14"/>
                          </w:rPr>
                          <w:t>108.40%</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职能部人环楼</w:t>
                        </w:r>
                      </w:p>
                    </w:tc>
                    <w:tc>
                      <w:tcPr>
                        <w:tcW w:w="8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9,339,160.21</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9,339,160.21</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无锡科技园办公楼</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930.00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9,305,000.00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9,305,000.00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 w:right="0"/>
                          <w:jc w:val="center"/>
                          <w:rPr>
                            <w:rFonts w:ascii="Times New Roman" w:hAnsi="Times New Roman" w:cs="Times New Roman" w:eastAsia="Times New Roman" w:hint="default"/>
                            <w:sz w:val="14"/>
                            <w:szCs w:val="14"/>
                          </w:rPr>
                        </w:pPr>
                        <w:r>
                          <w:rPr>
                            <w:rFonts w:ascii="Times New Roman"/>
                            <w:sz w:val="14"/>
                          </w:rPr>
                          <w:t>100.05%</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Times New Roman" w:hAnsi="Times New Roman" w:cs="Times New Roman" w:eastAsia="Times New Roman" w:hint="default"/>
                            <w:sz w:val="14"/>
                            <w:szCs w:val="14"/>
                          </w:rPr>
                          <w:t>713</w:t>
                        </w:r>
                        <w:r>
                          <w:rPr>
                            <w:rFonts w:ascii="Times New Roman" w:hAnsi="Times New Roman" w:cs="Times New Roman" w:eastAsia="Times New Roman" w:hint="default"/>
                            <w:spacing w:val="-2"/>
                            <w:sz w:val="14"/>
                            <w:szCs w:val="14"/>
                          </w:rPr>
                          <w:t> </w:t>
                        </w:r>
                        <w:r>
                          <w:rPr>
                            <w:rFonts w:ascii="楷体" w:hAnsi="楷体" w:cs="楷体" w:eastAsia="楷体" w:hint="default"/>
                            <w:sz w:val="14"/>
                            <w:szCs w:val="14"/>
                          </w:rPr>
                          <w:t>厂技改大楼</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732.22</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8,613,615.62</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2,285,282.60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10,066,344.77</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832,553.45</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 w:right="0"/>
                          <w:jc w:val="center"/>
                          <w:rPr>
                            <w:rFonts w:ascii="Times New Roman" w:hAnsi="Times New Roman" w:cs="Times New Roman" w:eastAsia="Times New Roman" w:hint="default"/>
                            <w:sz w:val="14"/>
                            <w:szCs w:val="14"/>
                          </w:rPr>
                        </w:pPr>
                        <w:r>
                          <w:rPr>
                            <w:rFonts w:ascii="Times New Roman"/>
                            <w:sz w:val="14"/>
                          </w:rPr>
                          <w:t>148.85%</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央机综合性能试验台</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1,200.00</w:t>
                        </w:r>
                        <w:r>
                          <w:rPr>
                            <w:rFonts w:ascii="Times New Roman"/>
                            <w:sz w:val="14"/>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7,355,373.76</w:t>
                        </w:r>
                        <w:r>
                          <w:rPr>
                            <w:rFonts w:ascii="Times New Roman"/>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1,931,399.95</w:t>
                        </w:r>
                        <w:r>
                          <w:rPr>
                            <w:rFonts w:ascii="Times New Roman"/>
                            <w:sz w:val="14"/>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1"/>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9,286,773.71</w:t>
                        </w:r>
                        <w:r>
                          <w:rPr>
                            <w:rFonts w:ascii="Times New Roman"/>
                            <w:sz w:val="14"/>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 w:right="0"/>
                          <w:jc w:val="center"/>
                          <w:rPr>
                            <w:rFonts w:ascii="Times New Roman" w:hAnsi="Times New Roman" w:cs="Times New Roman" w:eastAsia="Times New Roman" w:hint="default"/>
                            <w:sz w:val="14"/>
                            <w:szCs w:val="14"/>
                          </w:rPr>
                        </w:pPr>
                        <w:r>
                          <w:rPr>
                            <w:rFonts w:ascii="Times New Roman"/>
                            <w:sz w:val="14"/>
                          </w:rPr>
                          <w:t>77.39%</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川崎空调设备生产基地</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3,000.00</w:t>
                        </w:r>
                        <w:r>
                          <w:rPr>
                            <w:rFonts w:ascii="Times New Roman"/>
                            <w:sz w:val="14"/>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6,108,934.38</w:t>
                        </w:r>
                        <w:r>
                          <w:rPr>
                            <w:rFonts w:ascii="Times New Roman"/>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1,446,524.07</w:t>
                        </w:r>
                        <w:r>
                          <w:rPr>
                            <w:rFonts w:ascii="Times New Roman"/>
                            <w:sz w:val="14"/>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2"/>
                          <w:jc w:val="right"/>
                          <w:rPr>
                            <w:rFonts w:ascii="Times New Roman" w:hAnsi="Times New Roman" w:cs="Times New Roman" w:eastAsia="Times New Roman" w:hint="default"/>
                            <w:sz w:val="14"/>
                            <w:szCs w:val="14"/>
                          </w:rPr>
                        </w:pPr>
                        <w:r>
                          <w:rPr>
                            <w:rFonts w:ascii="Times New Roman"/>
                            <w:spacing w:val="-1"/>
                            <w:sz w:val="14"/>
                          </w:rPr>
                          <w:t>6,323,866.00</w:t>
                        </w:r>
                        <w:r>
                          <w:rPr>
                            <w:rFonts w:ascii="Times New Roman"/>
                            <w:sz w:val="14"/>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1,231,592.45</w:t>
                        </w:r>
                        <w:r>
                          <w:rPr>
                            <w:rFonts w:ascii="Times New Roman"/>
                            <w:sz w:val="14"/>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 w:right="0"/>
                          <w:jc w:val="center"/>
                          <w:rPr>
                            <w:rFonts w:ascii="Times New Roman" w:hAnsi="Times New Roman" w:cs="Times New Roman" w:eastAsia="Times New Roman" w:hint="default"/>
                            <w:sz w:val="14"/>
                            <w:szCs w:val="14"/>
                          </w:rPr>
                        </w:pPr>
                        <w:r>
                          <w:rPr>
                            <w:rFonts w:ascii="Times New Roman"/>
                            <w:sz w:val="14"/>
                          </w:rPr>
                          <w:t>70.91%</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超低能耗示范楼工程款</w:t>
                        </w:r>
                      </w:p>
                    </w:tc>
                    <w:tc>
                      <w:tcPr>
                        <w:tcW w:w="8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6,000,000.00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6,000,000.00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无锡人环空调生产线</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1,850.00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5,632,807.00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42,440.00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5,675,247.00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 w:right="0"/>
                          <w:jc w:val="center"/>
                          <w:rPr>
                            <w:rFonts w:ascii="Times New Roman" w:hAnsi="Times New Roman" w:cs="Times New Roman" w:eastAsia="Times New Roman" w:hint="default"/>
                            <w:sz w:val="14"/>
                            <w:szCs w:val="14"/>
                          </w:rPr>
                        </w:pPr>
                        <w:r>
                          <w:rPr>
                            <w:rFonts w:ascii="Times New Roman"/>
                            <w:sz w:val="14"/>
                          </w:rPr>
                          <w:t>70.95%</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楷体" w:hAnsi="楷体" w:cs="楷体" w:eastAsia="楷体" w:hint="default"/>
                            <w:sz w:val="14"/>
                            <w:szCs w:val="14"/>
                          </w:rPr>
                        </w:pPr>
                        <w:r>
                          <w:rPr>
                            <w:rFonts w:ascii="楷体" w:hAnsi="楷体" w:cs="楷体" w:eastAsia="楷体" w:hint="default"/>
                            <w:sz w:val="14"/>
                            <w:szCs w:val="14"/>
                          </w:rPr>
                          <w:t>无锡科技园二期宿舍楼</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550.00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5,095,480.60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3,278,314.00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1"/>
                          <w:jc w:val="right"/>
                          <w:rPr>
                            <w:rFonts w:ascii="Times New Roman" w:hAnsi="Times New Roman" w:cs="Times New Roman" w:eastAsia="Times New Roman" w:hint="default"/>
                            <w:sz w:val="14"/>
                            <w:szCs w:val="14"/>
                          </w:rPr>
                        </w:pPr>
                        <w:r>
                          <w:rPr>
                            <w:rFonts w:ascii="Times New Roman"/>
                            <w:spacing w:val="-1"/>
                            <w:sz w:val="14"/>
                          </w:rPr>
                          <w:t>8,373,794.60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 w:right="0"/>
                          <w:jc w:val="center"/>
                          <w:rPr>
                            <w:rFonts w:ascii="Times New Roman" w:hAnsi="Times New Roman" w:cs="Times New Roman" w:eastAsia="Times New Roman" w:hint="default"/>
                            <w:sz w:val="14"/>
                            <w:szCs w:val="14"/>
                          </w:rPr>
                        </w:pPr>
                        <w:r>
                          <w:rPr>
                            <w:rFonts w:ascii="Times New Roman"/>
                            <w:sz w:val="14"/>
                          </w:rPr>
                          <w:t>152.25%</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4"/>
                            <w:szCs w:val="14"/>
                          </w:rPr>
                        </w:pPr>
                        <w:r>
                          <w:rPr>
                            <w:rFonts w:ascii="楷体" w:hAnsi="楷体" w:cs="楷体" w:eastAsia="楷体" w:hint="default"/>
                            <w:sz w:val="14"/>
                            <w:szCs w:val="14"/>
                          </w:rPr>
                          <w:t>同方鞍山科技园一期</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1,273.34</w:t>
                        </w:r>
                        <w:r>
                          <w:rPr>
                            <w:rFonts w:ascii="Times New Roman"/>
                            <w:sz w:val="14"/>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2"/>
                            <w:sz w:val="14"/>
                          </w:rPr>
                          <w:t>4,511,743.08</w:t>
                        </w:r>
                        <w:r>
                          <w:rPr>
                            <w:rFonts w:ascii="Times New Roman"/>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1,692,834.03</w:t>
                        </w:r>
                        <w:r>
                          <w:rPr>
                            <w:rFonts w:ascii="Times New Roman"/>
                            <w:sz w:val="14"/>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2"/>
                          <w:jc w:val="right"/>
                          <w:rPr>
                            <w:rFonts w:ascii="Times New Roman" w:hAnsi="Times New Roman" w:cs="Times New Roman" w:eastAsia="Times New Roman" w:hint="default"/>
                            <w:sz w:val="14"/>
                            <w:szCs w:val="14"/>
                          </w:rPr>
                        </w:pPr>
                        <w:r>
                          <w:rPr>
                            <w:rFonts w:ascii="Times New Roman"/>
                            <w:spacing w:val="-1"/>
                            <w:sz w:val="14"/>
                          </w:rPr>
                          <w:t>1,519,780.92</w:t>
                        </w:r>
                        <w:r>
                          <w:rPr>
                            <w:rFonts w:ascii="Times New Roman"/>
                            <w:sz w:val="14"/>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4,684,796.19</w:t>
                        </w:r>
                        <w:r>
                          <w:rPr>
                            <w:rFonts w:ascii="Times New Roman"/>
                            <w:sz w:val="14"/>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楷体" w:hAnsi="楷体" w:cs="楷体" w:eastAsia="楷体" w:hint="default"/>
                            <w:sz w:val="14"/>
                            <w:szCs w:val="14"/>
                          </w:rPr>
                        </w:pPr>
                        <w:r>
                          <w:rPr>
                            <w:rFonts w:ascii="楷体" w:hAnsi="楷体" w:cs="楷体" w:eastAsia="楷体" w:hint="default"/>
                            <w:spacing w:val="-7"/>
                            <w:sz w:val="14"/>
                            <w:szCs w:val="14"/>
                          </w:rPr>
                          <w:t>自筹、贷款</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 w:right="0"/>
                          <w:jc w:val="center"/>
                          <w:rPr>
                            <w:rFonts w:ascii="Times New Roman" w:hAnsi="Times New Roman" w:cs="Times New Roman" w:eastAsia="Times New Roman" w:hint="default"/>
                            <w:sz w:val="14"/>
                            <w:szCs w:val="14"/>
                          </w:rPr>
                        </w:pPr>
                        <w:r>
                          <w:rPr>
                            <w:rFonts w:ascii="Times New Roman"/>
                            <w:sz w:val="14"/>
                          </w:rPr>
                          <w:t>68.75%</w:t>
                        </w: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楷体" w:hAnsi="楷体" w:cs="楷体" w:eastAsia="楷体" w:hint="default"/>
                            <w:sz w:val="14"/>
                            <w:szCs w:val="14"/>
                          </w:rPr>
                        </w:pPr>
                        <w:r>
                          <w:rPr>
                            <w:rFonts w:ascii="楷体" w:hAnsi="楷体" w:cs="楷体" w:eastAsia="楷体" w:hint="default"/>
                            <w:sz w:val="14"/>
                            <w:szCs w:val="14"/>
                          </w:rPr>
                          <w:t>密云综合楼改造项目</w:t>
                        </w:r>
                      </w:p>
                    </w:tc>
                    <w:tc>
                      <w:tcPr>
                        <w:tcW w:w="8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4,519,125.08</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4,519,125.08</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
                    </w:tc>
                  </w:tr>
                  <w:tr>
                    <w:trPr>
                      <w:trHeight w:val="255" w:hRule="exact"/>
                    </w:trPr>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楷体" w:hAnsi="楷体" w:cs="楷体" w:eastAsia="楷体" w:hint="default"/>
                            <w:sz w:val="14"/>
                            <w:szCs w:val="14"/>
                          </w:rPr>
                        </w:pPr>
                        <w:r>
                          <w:rPr>
                            <w:rFonts w:ascii="楷体" w:hAnsi="楷体" w:cs="楷体" w:eastAsia="楷体" w:hint="default"/>
                            <w:sz w:val="14"/>
                            <w:szCs w:val="14"/>
                          </w:rPr>
                          <w:t>零星工程</w:t>
                        </w:r>
                      </w:p>
                    </w:tc>
                    <w:tc>
                      <w:tcPr>
                        <w:tcW w:w="80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25,728,454.78</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2"/>
                            <w:sz w:val="14"/>
                          </w:rPr>
                          <w:t>33,511,865.12</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Times New Roman" w:hAnsi="Times New Roman" w:cs="Times New Roman" w:eastAsia="Times New Roman" w:hint="default"/>
                            <w:sz w:val="14"/>
                            <w:szCs w:val="14"/>
                          </w:rPr>
                        </w:pPr>
                        <w:r>
                          <w:rPr>
                            <w:rFonts w:ascii="Times New Roman"/>
                            <w:spacing w:val="-1"/>
                            <w:sz w:val="14"/>
                          </w:rPr>
                          <w:t>32,461,952.41</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3,749,683.78</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23,028,683.71</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楷体" w:hAnsi="楷体" w:cs="楷体" w:eastAsia="楷体" w:hint="default"/>
                            <w:sz w:val="14"/>
                            <w:szCs w:val="14"/>
                          </w:rPr>
                        </w:pPr>
                        <w:r>
                          <w:rPr>
                            <w:rFonts w:ascii="楷体" w:hAnsi="楷体" w:cs="楷体" w:eastAsia="楷体" w:hint="default"/>
                            <w:sz w:val="14"/>
                            <w:szCs w:val="14"/>
                          </w:rPr>
                          <w:t>自筹</w:t>
                        </w:r>
                      </w:p>
                    </w:tc>
                    <w:tc>
                      <w:tcPr>
                        <w:tcW w:w="773" w:type="dxa"/>
                        <w:tcBorders>
                          <w:top w:val="nil" w:sz="6" w:space="0" w:color="auto"/>
                          <w:left w:val="nil" w:sz="6" w:space="0" w:color="auto"/>
                          <w:bottom w:val="nil" w:sz="6" w:space="0" w:color="auto"/>
                          <w:right w:val="nil" w:sz="6" w:space="0" w:color="auto"/>
                        </w:tcBorders>
                      </w:tcPr>
                      <w:p>
                        <w:pPr/>
                      </w:p>
                    </w:tc>
                  </w:tr>
                  <w:tr>
                    <w:trPr>
                      <w:trHeight w:val="246" w:hRule="exact"/>
                    </w:trPr>
                    <w:tc>
                      <w:tcPr>
                        <w:tcW w:w="1676" w:type="dxa"/>
                        <w:tcBorders>
                          <w:top w:val="nil" w:sz="6" w:space="0" w:color="auto"/>
                          <w:left w:val="nil" w:sz="6" w:space="0" w:color="auto"/>
                          <w:bottom w:val="single" w:sz="4" w:space="0" w:color="000000"/>
                          <w:right w:val="nil" w:sz="6" w:space="0" w:color="auto"/>
                        </w:tcBorders>
                      </w:tcPr>
                      <w:p>
                        <w:pPr>
                          <w:pStyle w:val="TableParagraph"/>
                          <w:spacing w:line="210" w:lineRule="exact"/>
                          <w:ind w:left="108"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合计</w:t>
                        </w:r>
                        <w:r>
                          <w:rPr>
                            <w:rFonts w:ascii="Microsoft JhengHei" w:hAnsi="Microsoft JhengHei" w:cs="Microsoft JhengHei" w:eastAsia="Microsoft JhengHei" w:hint="default"/>
                            <w:sz w:val="14"/>
                            <w:szCs w:val="14"/>
                          </w:rPr>
                        </w:r>
                      </w:p>
                    </w:tc>
                    <w:tc>
                      <w:tcPr>
                        <w:tcW w:w="808" w:type="dxa"/>
                        <w:tcBorders>
                          <w:top w:val="nil" w:sz="6" w:space="0" w:color="auto"/>
                          <w:left w:val="nil" w:sz="6" w:space="0" w:color="auto"/>
                          <w:bottom w:val="single" w:sz="4" w:space="0" w:color="000000"/>
                          <w:right w:val="nil" w:sz="6" w:space="0" w:color="auto"/>
                        </w:tcBorders>
                      </w:tcPr>
                      <w:p>
                        <w:pPr/>
                      </w:p>
                    </w:tc>
                    <w:tc>
                      <w:tcPr>
                        <w:tcW w:w="109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4"/>
                            <w:szCs w:val="14"/>
                          </w:rPr>
                        </w:pPr>
                        <w:r>
                          <w:rPr>
                            <w:rFonts w:ascii="Times New Roman"/>
                            <w:b/>
                            <w:spacing w:val="-1"/>
                            <w:sz w:val="14"/>
                          </w:rPr>
                          <w:t>493,634,939.74</w:t>
                        </w:r>
                        <w:r>
                          <w:rPr>
                            <w:rFonts w:ascii="Times New Roman"/>
                            <w:spacing w:val="-1"/>
                            <w:sz w:val="14"/>
                          </w:rPr>
                        </w:r>
                      </w:p>
                    </w:tc>
                    <w:tc>
                      <w:tcPr>
                        <w:tcW w:w="109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4"/>
                            <w:szCs w:val="14"/>
                          </w:rPr>
                        </w:pPr>
                        <w:r>
                          <w:rPr>
                            <w:rFonts w:ascii="Times New Roman"/>
                            <w:b/>
                            <w:spacing w:val="-1"/>
                            <w:sz w:val="14"/>
                          </w:rPr>
                          <w:t>522,134,728.90</w:t>
                        </w:r>
                        <w:r>
                          <w:rPr>
                            <w:rFonts w:ascii="Times New Roman"/>
                            <w:spacing w:val="-1"/>
                            <w:sz w:val="14"/>
                          </w:rPr>
                        </w:r>
                      </w:p>
                    </w:tc>
                    <w:tc>
                      <w:tcPr>
                        <w:tcW w:w="109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9"/>
                          <w:jc w:val="right"/>
                          <w:rPr>
                            <w:rFonts w:ascii="Times New Roman" w:hAnsi="Times New Roman" w:cs="Times New Roman" w:eastAsia="Times New Roman" w:hint="default"/>
                            <w:sz w:val="14"/>
                            <w:szCs w:val="14"/>
                          </w:rPr>
                        </w:pPr>
                        <w:r>
                          <w:rPr>
                            <w:rFonts w:ascii="Times New Roman"/>
                            <w:b/>
                            <w:spacing w:val="-1"/>
                            <w:sz w:val="14"/>
                          </w:rPr>
                          <w:t>365,095,478.86</w:t>
                        </w:r>
                        <w:r>
                          <w:rPr>
                            <w:rFonts w:ascii="Times New Roman"/>
                            <w:spacing w:val="-1"/>
                            <w:sz w:val="14"/>
                          </w:rPr>
                        </w: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b/>
                            <w:spacing w:val="-1"/>
                            <w:sz w:val="14"/>
                          </w:rPr>
                          <w:t>35,526,837.14</w:t>
                        </w:r>
                        <w:r>
                          <w:rPr>
                            <w:rFonts w:ascii="Times New Roman"/>
                            <w:spacing w:val="-1"/>
                            <w:sz w:val="14"/>
                          </w:rPr>
                        </w: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b/>
                            <w:spacing w:val="-1"/>
                            <w:sz w:val="14"/>
                          </w:rPr>
                          <w:t>615,147,352.64</w:t>
                        </w:r>
                        <w:r>
                          <w:rPr>
                            <w:rFonts w:ascii="Times New Roman"/>
                            <w:spacing w:val="-1"/>
                            <w:sz w:val="14"/>
                          </w:rPr>
                        </w:r>
                      </w:p>
                    </w:tc>
                    <w:tc>
                      <w:tcPr>
                        <w:tcW w:w="887" w:type="dxa"/>
                        <w:tcBorders>
                          <w:top w:val="nil" w:sz="6" w:space="0" w:color="auto"/>
                          <w:left w:val="nil" w:sz="6" w:space="0" w:color="auto"/>
                          <w:bottom w:val="single" w:sz="4" w:space="0" w:color="000000"/>
                          <w:right w:val="nil" w:sz="6" w:space="0" w:color="auto"/>
                        </w:tcBorders>
                      </w:tcPr>
                      <w:p>
                        <w:pPr/>
                      </w:p>
                    </w:tc>
                    <w:tc>
                      <w:tcPr>
                        <w:tcW w:w="773" w:type="dxa"/>
                        <w:tcBorders>
                          <w:top w:val="nil" w:sz="6" w:space="0" w:color="auto"/>
                          <w:left w:val="nil" w:sz="6" w:space="0" w:color="auto"/>
                          <w:bottom w:val="single" w:sz="4" w:space="0" w:color="000000"/>
                          <w:right w:val="nil" w:sz="6" w:space="0" w:color="auto"/>
                        </w:tcBorders>
                      </w:tcPr>
                      <w:p>
                        <w:pPr/>
                      </w:p>
                    </w:tc>
                  </w:tr>
                  <w:tr>
                    <w:trPr>
                      <w:trHeight w:val="275" w:hRule="exact"/>
                    </w:trPr>
                    <w:tc>
                      <w:tcPr>
                        <w:tcW w:w="1676"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left="108" w:right="0"/>
                          <w:jc w:val="left"/>
                          <w:rPr>
                            <w:rFonts w:ascii="楷体" w:hAnsi="楷体" w:cs="楷体" w:eastAsia="楷体" w:hint="default"/>
                            <w:sz w:val="14"/>
                            <w:szCs w:val="14"/>
                          </w:rPr>
                        </w:pPr>
                        <w:r>
                          <w:rPr>
                            <w:rFonts w:ascii="楷体" w:hAnsi="楷体" w:cs="楷体" w:eastAsia="楷体" w:hint="default"/>
                            <w:sz w:val="14"/>
                            <w:szCs w:val="14"/>
                          </w:rPr>
                          <w:t>其中利息资本化金额</w:t>
                        </w:r>
                      </w:p>
                    </w:tc>
                    <w:tc>
                      <w:tcPr>
                        <w:tcW w:w="808" w:type="dxa"/>
                        <w:tcBorders>
                          <w:top w:val="single" w:sz="4" w:space="0" w:color="000000"/>
                          <w:left w:val="nil" w:sz="6" w:space="0" w:color="auto"/>
                          <w:bottom w:val="single" w:sz="12" w:space="0" w:color="000000"/>
                          <w:right w:val="nil" w:sz="6" w:space="0" w:color="auto"/>
                        </w:tcBorders>
                      </w:tcPr>
                      <w:p>
                        <w:pPr/>
                      </w:p>
                    </w:tc>
                    <w:tc>
                      <w:tcPr>
                        <w:tcW w:w="1090"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14"/>
                            <w:szCs w:val="14"/>
                          </w:rPr>
                        </w:pPr>
                        <w:r>
                          <w:rPr>
                            <w:rFonts w:ascii="Times New Roman"/>
                            <w:spacing w:val="-1"/>
                            <w:sz w:val="14"/>
                          </w:rPr>
                          <w:t>12,231,739.92</w:t>
                        </w:r>
                      </w:p>
                    </w:tc>
                    <w:tc>
                      <w:tcPr>
                        <w:tcW w:w="1091"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14"/>
                            <w:szCs w:val="14"/>
                          </w:rPr>
                        </w:pPr>
                        <w:r>
                          <w:rPr>
                            <w:rFonts w:ascii="Times New Roman"/>
                            <w:spacing w:val="-1"/>
                            <w:sz w:val="14"/>
                          </w:rPr>
                          <w:t>21,160,302.20</w:t>
                        </w:r>
                      </w:p>
                    </w:tc>
                    <w:tc>
                      <w:tcPr>
                        <w:tcW w:w="1095"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10"/>
                          <w:jc w:val="right"/>
                          <w:rPr>
                            <w:rFonts w:ascii="Times New Roman" w:hAnsi="Times New Roman" w:cs="Times New Roman" w:eastAsia="Times New Roman" w:hint="default"/>
                            <w:sz w:val="14"/>
                            <w:szCs w:val="14"/>
                          </w:rPr>
                        </w:pPr>
                        <w:r>
                          <w:rPr>
                            <w:rFonts w:ascii="Times New Roman"/>
                            <w:spacing w:val="-1"/>
                            <w:sz w:val="14"/>
                          </w:rPr>
                          <w:t>6,202,455.10</w:t>
                        </w:r>
                      </w:p>
                    </w:tc>
                    <w:tc>
                      <w:tcPr>
                        <w:tcW w:w="1027"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2"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14"/>
                            <w:szCs w:val="14"/>
                          </w:rPr>
                        </w:pPr>
                        <w:r>
                          <w:rPr>
                            <w:rFonts w:ascii="Times New Roman"/>
                            <w:spacing w:val="-1"/>
                            <w:sz w:val="14"/>
                          </w:rPr>
                          <w:t>27,189,587.02</w:t>
                        </w:r>
                      </w:p>
                    </w:tc>
                    <w:tc>
                      <w:tcPr>
                        <w:tcW w:w="887" w:type="dxa"/>
                        <w:tcBorders>
                          <w:top w:val="single" w:sz="4" w:space="0" w:color="000000"/>
                          <w:left w:val="nil" w:sz="6" w:space="0" w:color="auto"/>
                          <w:bottom w:val="single" w:sz="12" w:space="0" w:color="000000"/>
                          <w:right w:val="nil" w:sz="6" w:space="0" w:color="auto"/>
                        </w:tcBorders>
                      </w:tcPr>
                      <w:p>
                        <w:pPr/>
                      </w:p>
                    </w:tc>
                    <w:tc>
                      <w:tcPr>
                        <w:tcW w:w="773" w:type="dxa"/>
                        <w:tcBorders>
                          <w:top w:val="single" w:sz="4" w:space="0" w:color="000000"/>
                          <w:left w:val="nil" w:sz="6" w:space="0" w:color="auto"/>
                          <w:bottom w:val="single" w:sz="12" w:space="0" w:color="000000"/>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sz w:val="14"/>
          <w:szCs w:val="14"/>
        </w:rPr>
        <w:t>工程名称</w:t>
      </w:r>
      <w:r>
        <w:rPr>
          <w:rFonts w:ascii="Microsoft JhengHei" w:hAnsi="Microsoft JhengHei" w:cs="Microsoft JhengHei" w:eastAsia="Microsoft JhengHei" w:hint="default"/>
          <w:sz w:val="14"/>
          <w:szCs w:val="1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9"/>
          <w:szCs w:val="29"/>
        </w:rPr>
      </w:pPr>
    </w:p>
    <w:p>
      <w:pPr>
        <w:spacing w:before="31"/>
        <w:ind w:left="718" w:right="0" w:firstLine="0"/>
        <w:jc w:val="left"/>
        <w:rPr>
          <w:rFonts w:ascii="楷体" w:hAnsi="楷体" w:cs="楷体" w:eastAsia="楷体" w:hint="default"/>
          <w:sz w:val="22"/>
          <w:szCs w:val="22"/>
        </w:rPr>
      </w:pPr>
      <w:r>
        <w:rPr>
          <w:rFonts w:ascii="楷体" w:hAnsi="楷体" w:cs="楷体" w:eastAsia="楷体" w:hint="default"/>
          <w:sz w:val="22"/>
          <w:szCs w:val="22"/>
        </w:rPr>
        <w:t>本年在建工程其他减少主要包括：本公司之子公司无锡同方创新科技园有限公司代伊顿工业</w:t>
      </w:r>
    </w:p>
    <w:p>
      <w:pPr>
        <w:spacing w:before="102"/>
        <w:ind w:left="278" w:right="0" w:firstLine="0"/>
        <w:jc w:val="both"/>
        <w:rPr>
          <w:rFonts w:ascii="楷体" w:hAnsi="楷体" w:cs="楷体" w:eastAsia="楷体" w:hint="default"/>
          <w:sz w:val="22"/>
          <w:szCs w:val="22"/>
        </w:rPr>
      </w:pPr>
      <w:r>
        <w:rPr>
          <w:rFonts w:ascii="楷体" w:hAnsi="楷体" w:cs="楷体" w:eastAsia="楷体" w:hint="default"/>
          <w:sz w:val="22"/>
          <w:szCs w:val="22"/>
        </w:rPr>
        <w:t>（无锡）有限公司建造的厂房本年完工交付结转</w:t>
      </w:r>
      <w:r>
        <w:rPr>
          <w:rFonts w:ascii="楷体" w:hAnsi="楷体" w:cs="楷体" w:eastAsia="楷体" w:hint="default"/>
          <w:spacing w:val="-85"/>
          <w:sz w:val="22"/>
          <w:szCs w:val="22"/>
        </w:rPr>
        <w:t> </w:t>
      </w:r>
      <w:r>
        <w:rPr>
          <w:rFonts w:ascii="Times New Roman" w:hAnsi="Times New Roman" w:cs="Times New Roman" w:eastAsia="Times New Roman" w:hint="default"/>
          <w:sz w:val="22"/>
          <w:szCs w:val="22"/>
        </w:rPr>
        <w:t>20,425,474.83</w:t>
      </w:r>
      <w:r>
        <w:rPr>
          <w:rFonts w:ascii="Times New Roman" w:hAnsi="Times New Roman" w:cs="Times New Roman" w:eastAsia="Times New Roman" w:hint="default"/>
          <w:spacing w:val="-31"/>
          <w:sz w:val="22"/>
          <w:szCs w:val="22"/>
        </w:rPr>
        <w:t> </w:t>
      </w:r>
      <w:r>
        <w:rPr>
          <w:rFonts w:ascii="楷体" w:hAnsi="楷体" w:cs="楷体" w:eastAsia="楷体" w:hint="default"/>
          <w:spacing w:val="-3"/>
          <w:sz w:val="22"/>
          <w:szCs w:val="22"/>
        </w:rPr>
        <w:t>元；本公司联建的按投资比例分别</w:t>
      </w:r>
    </w:p>
    <w:p>
      <w:pPr>
        <w:spacing w:before="85"/>
        <w:ind w:left="278" w:right="0" w:firstLine="0"/>
        <w:jc w:val="both"/>
        <w:rPr>
          <w:rFonts w:ascii="楷体" w:hAnsi="楷体" w:cs="楷体" w:eastAsia="楷体" w:hint="default"/>
          <w:sz w:val="22"/>
          <w:szCs w:val="22"/>
        </w:rPr>
      </w:pPr>
      <w:r>
        <w:rPr>
          <w:rFonts w:ascii="楷体" w:hAnsi="楷体" w:cs="楷体" w:eastAsia="楷体" w:hint="default"/>
          <w:spacing w:val="1"/>
          <w:w w:val="99"/>
          <w:sz w:val="22"/>
          <w:szCs w:val="22"/>
        </w:rPr>
        <w:t>享</w:t>
      </w:r>
      <w:r>
        <w:rPr>
          <w:rFonts w:ascii="楷体" w:hAnsi="楷体" w:cs="楷体" w:eastAsia="楷体" w:hint="default"/>
          <w:w w:val="99"/>
          <w:sz w:val="22"/>
          <w:szCs w:val="22"/>
        </w:rPr>
        <w:t>有使</w:t>
      </w:r>
      <w:r>
        <w:rPr>
          <w:rFonts w:ascii="楷体" w:hAnsi="楷体" w:cs="楷体" w:eastAsia="楷体" w:hint="default"/>
          <w:spacing w:val="1"/>
          <w:w w:val="99"/>
          <w:sz w:val="22"/>
          <w:szCs w:val="22"/>
        </w:rPr>
        <w:t>用</w:t>
      </w:r>
      <w:r>
        <w:rPr>
          <w:rFonts w:ascii="楷体" w:hAnsi="楷体" w:cs="楷体" w:eastAsia="楷体" w:hint="default"/>
          <w:w w:val="99"/>
          <w:sz w:val="22"/>
          <w:szCs w:val="22"/>
        </w:rPr>
        <w:t>权</w:t>
      </w:r>
      <w:r>
        <w:rPr>
          <w:rFonts w:ascii="楷体" w:hAnsi="楷体" w:cs="楷体" w:eastAsia="楷体" w:hint="default"/>
          <w:spacing w:val="1"/>
          <w:w w:val="99"/>
          <w:sz w:val="22"/>
          <w:szCs w:val="22"/>
        </w:rPr>
        <w:t>的</w:t>
      </w:r>
      <w:r>
        <w:rPr>
          <w:rFonts w:ascii="楷体" w:hAnsi="楷体" w:cs="楷体" w:eastAsia="楷体" w:hint="default"/>
          <w:w w:val="99"/>
          <w:sz w:val="22"/>
          <w:szCs w:val="22"/>
        </w:rPr>
        <w:t>超低</w:t>
      </w:r>
      <w:r>
        <w:rPr>
          <w:rFonts w:ascii="楷体" w:hAnsi="楷体" w:cs="楷体" w:eastAsia="楷体" w:hint="default"/>
          <w:spacing w:val="1"/>
          <w:w w:val="99"/>
          <w:sz w:val="22"/>
          <w:szCs w:val="22"/>
        </w:rPr>
        <w:t>能</w:t>
      </w:r>
      <w:r>
        <w:rPr>
          <w:rFonts w:ascii="楷体" w:hAnsi="楷体" w:cs="楷体" w:eastAsia="楷体" w:hint="default"/>
          <w:w w:val="99"/>
          <w:sz w:val="22"/>
          <w:szCs w:val="22"/>
        </w:rPr>
        <w:t>耗</w:t>
      </w:r>
      <w:r>
        <w:rPr>
          <w:rFonts w:ascii="楷体" w:hAnsi="楷体" w:cs="楷体" w:eastAsia="楷体" w:hint="default"/>
          <w:spacing w:val="1"/>
          <w:w w:val="99"/>
          <w:sz w:val="22"/>
          <w:szCs w:val="22"/>
        </w:rPr>
        <w:t>示</w:t>
      </w:r>
      <w:r>
        <w:rPr>
          <w:rFonts w:ascii="楷体" w:hAnsi="楷体" w:cs="楷体" w:eastAsia="楷体" w:hint="default"/>
          <w:w w:val="99"/>
          <w:sz w:val="22"/>
          <w:szCs w:val="22"/>
        </w:rPr>
        <w:t>范楼</w:t>
      </w:r>
      <w:r>
        <w:rPr>
          <w:rFonts w:ascii="楷体" w:hAnsi="楷体" w:cs="楷体" w:eastAsia="楷体" w:hint="default"/>
          <w:spacing w:val="-94"/>
          <w:w w:val="99"/>
          <w:sz w:val="22"/>
          <w:szCs w:val="22"/>
        </w:rPr>
        <w:t>，</w:t>
      </w:r>
      <w:r>
        <w:rPr>
          <w:rFonts w:ascii="楷体" w:hAnsi="楷体" w:cs="楷体" w:eastAsia="楷体" w:hint="default"/>
          <w:spacing w:val="1"/>
          <w:w w:val="99"/>
          <w:sz w:val="22"/>
          <w:szCs w:val="22"/>
        </w:rPr>
        <w:t>本</w:t>
      </w:r>
      <w:r>
        <w:rPr>
          <w:rFonts w:ascii="楷体" w:hAnsi="楷体" w:cs="楷体" w:eastAsia="楷体" w:hint="default"/>
          <w:w w:val="99"/>
          <w:sz w:val="22"/>
          <w:szCs w:val="22"/>
        </w:rPr>
        <w:t>年</w:t>
      </w:r>
      <w:r>
        <w:rPr>
          <w:rFonts w:ascii="楷体" w:hAnsi="楷体" w:cs="楷体" w:eastAsia="楷体" w:hint="default"/>
          <w:spacing w:val="1"/>
          <w:w w:val="99"/>
          <w:sz w:val="22"/>
          <w:szCs w:val="22"/>
        </w:rPr>
        <w:t>达</w:t>
      </w:r>
      <w:r>
        <w:rPr>
          <w:rFonts w:ascii="楷体" w:hAnsi="楷体" w:cs="楷体" w:eastAsia="楷体" w:hint="default"/>
          <w:w w:val="99"/>
          <w:sz w:val="22"/>
          <w:szCs w:val="22"/>
        </w:rPr>
        <w:t>到预</w:t>
      </w:r>
      <w:r>
        <w:rPr>
          <w:rFonts w:ascii="楷体" w:hAnsi="楷体" w:cs="楷体" w:eastAsia="楷体" w:hint="default"/>
          <w:spacing w:val="1"/>
          <w:w w:val="99"/>
          <w:sz w:val="22"/>
          <w:szCs w:val="22"/>
        </w:rPr>
        <w:t>定</w:t>
      </w:r>
      <w:r>
        <w:rPr>
          <w:rFonts w:ascii="楷体" w:hAnsi="楷体" w:cs="楷体" w:eastAsia="楷体" w:hint="default"/>
          <w:w w:val="99"/>
          <w:sz w:val="22"/>
          <w:szCs w:val="22"/>
        </w:rPr>
        <w:t>可</w:t>
      </w:r>
      <w:r>
        <w:rPr>
          <w:rFonts w:ascii="楷体" w:hAnsi="楷体" w:cs="楷体" w:eastAsia="楷体" w:hint="default"/>
          <w:spacing w:val="1"/>
          <w:w w:val="99"/>
          <w:sz w:val="22"/>
          <w:szCs w:val="22"/>
        </w:rPr>
        <w:t>使</w:t>
      </w:r>
      <w:r>
        <w:rPr>
          <w:rFonts w:ascii="楷体" w:hAnsi="楷体" w:cs="楷体" w:eastAsia="楷体" w:hint="default"/>
          <w:w w:val="99"/>
          <w:sz w:val="22"/>
          <w:szCs w:val="22"/>
        </w:rPr>
        <w:t>用状</w:t>
      </w:r>
      <w:r>
        <w:rPr>
          <w:rFonts w:ascii="楷体" w:hAnsi="楷体" w:cs="楷体" w:eastAsia="楷体" w:hint="default"/>
          <w:spacing w:val="1"/>
          <w:w w:val="99"/>
          <w:sz w:val="22"/>
          <w:szCs w:val="22"/>
        </w:rPr>
        <w:t>态</w:t>
      </w:r>
      <w:r>
        <w:rPr>
          <w:rFonts w:ascii="楷体" w:hAnsi="楷体" w:cs="楷体" w:eastAsia="楷体" w:hint="default"/>
          <w:w w:val="99"/>
          <w:sz w:val="22"/>
          <w:szCs w:val="22"/>
        </w:rPr>
        <w:t>转</w:t>
      </w:r>
      <w:r>
        <w:rPr>
          <w:rFonts w:ascii="楷体" w:hAnsi="楷体" w:cs="楷体" w:eastAsia="楷体" w:hint="default"/>
          <w:spacing w:val="1"/>
          <w:w w:val="99"/>
          <w:sz w:val="22"/>
          <w:szCs w:val="22"/>
        </w:rPr>
        <w:t>入</w:t>
      </w:r>
      <w:r>
        <w:rPr>
          <w:rFonts w:ascii="楷体" w:hAnsi="楷体" w:cs="楷体" w:eastAsia="楷体" w:hint="default"/>
          <w:w w:val="99"/>
          <w:sz w:val="22"/>
          <w:szCs w:val="22"/>
        </w:rPr>
        <w:t>长期</w:t>
      </w:r>
      <w:r>
        <w:rPr>
          <w:rFonts w:ascii="楷体" w:hAnsi="楷体" w:cs="楷体" w:eastAsia="楷体" w:hint="default"/>
          <w:spacing w:val="1"/>
          <w:w w:val="99"/>
          <w:sz w:val="22"/>
          <w:szCs w:val="22"/>
        </w:rPr>
        <w:t>待</w:t>
      </w:r>
      <w:r>
        <w:rPr>
          <w:rFonts w:ascii="楷体" w:hAnsi="楷体" w:cs="楷体" w:eastAsia="楷体" w:hint="default"/>
          <w:w w:val="99"/>
          <w:sz w:val="22"/>
          <w:szCs w:val="22"/>
        </w:rPr>
        <w:t>摊</w:t>
      </w:r>
      <w:r>
        <w:rPr>
          <w:rFonts w:ascii="楷体" w:hAnsi="楷体" w:cs="楷体" w:eastAsia="楷体" w:hint="default"/>
          <w:spacing w:val="1"/>
          <w:w w:val="99"/>
          <w:sz w:val="22"/>
          <w:szCs w:val="22"/>
        </w:rPr>
        <w:t>费</w:t>
      </w:r>
      <w:r>
        <w:rPr>
          <w:rFonts w:ascii="楷体" w:hAnsi="楷体" w:cs="楷体" w:eastAsia="楷体" w:hint="default"/>
          <w:w w:val="99"/>
          <w:sz w:val="22"/>
          <w:szCs w:val="22"/>
        </w:rPr>
        <w:t>用科目</w:t>
      </w:r>
      <w:r>
        <w:rPr>
          <w:rFonts w:ascii="楷体" w:hAnsi="楷体" w:cs="楷体" w:eastAsia="楷体" w:hint="default"/>
          <w:spacing w:val="-53"/>
          <w:sz w:val="22"/>
          <w:szCs w:val="22"/>
        </w:rPr>
        <w:t> </w:t>
      </w:r>
      <w:r>
        <w:rPr>
          <w:rFonts w:ascii="Times New Roman" w:hAnsi="Times New Roman" w:cs="Times New Roman" w:eastAsia="Times New Roman" w:hint="default"/>
          <w:w w:val="99"/>
          <w:sz w:val="22"/>
          <w:szCs w:val="22"/>
        </w:rPr>
        <w:t>6</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w:t>
      </w:r>
      <w:r>
        <w:rPr>
          <w:rFonts w:ascii="Times New Roman" w:hAnsi="Times New Roman" w:cs="Times New Roman" w:eastAsia="Times New Roman" w:hint="default"/>
          <w:spacing w:val="-1"/>
          <w:sz w:val="22"/>
          <w:szCs w:val="22"/>
        </w:rPr>
        <w:t> </w:t>
      </w:r>
      <w:r>
        <w:rPr>
          <w:rFonts w:ascii="楷体" w:hAnsi="楷体" w:cs="楷体" w:eastAsia="楷体" w:hint="default"/>
          <w:w w:val="99"/>
          <w:sz w:val="22"/>
          <w:szCs w:val="22"/>
        </w:rPr>
        <w:t>元；</w:t>
      </w:r>
      <w:r>
        <w:rPr>
          <w:rFonts w:ascii="楷体" w:hAnsi="楷体" w:cs="楷体" w:eastAsia="楷体" w:hint="default"/>
          <w:sz w:val="22"/>
          <w:szCs w:val="22"/>
        </w:rPr>
      </w:r>
    </w:p>
    <w:p>
      <w:pPr>
        <w:spacing w:line="316" w:lineRule="auto" w:before="85"/>
        <w:ind w:left="278" w:right="281" w:firstLine="0"/>
        <w:jc w:val="both"/>
        <w:rPr>
          <w:rFonts w:ascii="楷体" w:hAnsi="楷体" w:cs="楷体" w:eastAsia="楷体" w:hint="default"/>
          <w:sz w:val="22"/>
          <w:szCs w:val="22"/>
        </w:rPr>
      </w:pPr>
      <w:r>
        <w:rPr>
          <w:rFonts w:ascii="楷体" w:hAnsi="楷体" w:cs="楷体" w:eastAsia="楷体" w:hint="default"/>
          <w:sz w:val="22"/>
          <w:szCs w:val="22"/>
        </w:rPr>
        <w:t>本公司的密云综合楼改造项目本年完工转入长期待摊费用科目</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4,519,125.08</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元；本公司之原子公</w:t>
      </w:r>
      <w:r>
        <w:rPr>
          <w:rFonts w:ascii="楷体" w:hAnsi="楷体" w:cs="楷体" w:eastAsia="楷体" w:hint="default"/>
          <w:w w:val="99"/>
          <w:sz w:val="22"/>
          <w:szCs w:val="22"/>
        </w:rPr>
        <w:t> </w:t>
      </w:r>
      <w:r>
        <w:rPr>
          <w:rFonts w:ascii="楷体" w:hAnsi="楷体" w:cs="楷体" w:eastAsia="楷体" w:hint="default"/>
          <w:spacing w:val="29"/>
          <w:sz w:val="22"/>
          <w:szCs w:val="22"/>
        </w:rPr>
        <w:t>司北京同方易豪科技有限公司本年不再纳入合并财务报表范围，转出其在建工程</w:t>
      </w:r>
      <w:r>
        <w:rPr>
          <w:rFonts w:ascii="楷体" w:hAnsi="楷体" w:cs="楷体" w:eastAsia="楷体" w:hint="default"/>
          <w:spacing w:val="-87"/>
          <w:sz w:val="22"/>
          <w:szCs w:val="22"/>
        </w:rPr>
        <w:t> </w:t>
      </w:r>
      <w:r>
        <w:rPr>
          <w:rFonts w:ascii="楷体" w:hAnsi="楷体" w:cs="楷体" w:eastAsia="楷体" w:hint="default"/>
          <w:sz w:val="22"/>
          <w:szCs w:val="22"/>
        </w:rPr>
        <w:t>余</w:t>
      </w:r>
      <w:r>
        <w:rPr>
          <w:rFonts w:ascii="楷体" w:hAnsi="楷体" w:cs="楷体" w:eastAsia="楷体" w:hint="default"/>
          <w:spacing w:val="-87"/>
          <w:sz w:val="22"/>
          <w:szCs w:val="22"/>
        </w:rPr>
        <w:t> </w:t>
      </w:r>
      <w:r>
        <w:rPr>
          <w:rFonts w:ascii="楷体" w:hAnsi="楷体" w:cs="楷体" w:eastAsia="楷体" w:hint="default"/>
          <w:sz w:val="22"/>
          <w:szCs w:val="22"/>
        </w:rPr>
        <w:t>额</w:t>
      </w:r>
      <w:r>
        <w:rPr>
          <w:rFonts w:ascii="楷体" w:hAnsi="楷体" w:cs="楷体" w:eastAsia="楷体" w:hint="default"/>
          <w:w w:val="99"/>
          <w:sz w:val="22"/>
          <w:szCs w:val="22"/>
        </w:rPr>
        <w:t> </w:t>
      </w:r>
      <w:r>
        <w:rPr>
          <w:rFonts w:ascii="Times New Roman" w:hAnsi="Times New Roman" w:cs="Times New Roman" w:eastAsia="Times New Roman" w:hint="default"/>
          <w:sz w:val="22"/>
          <w:szCs w:val="22"/>
        </w:rPr>
        <w:t>1,939,690.26</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元。</w:t>
      </w:r>
    </w:p>
    <w:p>
      <w:pPr>
        <w:spacing w:before="85"/>
        <w:ind w:left="73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在建工程减值准备</w:t>
      </w:r>
    </w:p>
    <w:p>
      <w:pPr>
        <w:spacing w:before="109"/>
        <w:ind w:left="6049" w:right="0" w:firstLine="0"/>
        <w:jc w:val="left"/>
        <w:rPr>
          <w:rFonts w:ascii="Microsoft JhengHei" w:hAnsi="Microsoft JhengHei" w:cs="Microsoft JhengHei" w:eastAsia="Microsoft JhengHei" w:hint="default"/>
          <w:sz w:val="18"/>
          <w:szCs w:val="18"/>
        </w:rPr>
      </w:pPr>
      <w:r>
        <w:rPr/>
        <w:pict>
          <v:group style="position:absolute;margin-left:85.199997pt;margin-top:8.055534pt;width:431.55pt;height:.1pt;mso-position-horizontal-relative:page;mso-position-vertical-relative:paragraph;z-index:-898360" coordorigin="1704,161" coordsize="8631,2">
            <v:shape style="position:absolute;left:1704;top:161;width:8631;height:2" coordorigin="1704,161" coordsize="8631,0" path="m1704,161l10334,161e" filled="false" stroked="true" strokeweight="1.5pt" strokecolor="#000000">
              <v:path arrowok="t"/>
            </v:shape>
            <w10:wrap type="none"/>
          </v:group>
        </w:pict>
      </w:r>
      <w:r>
        <w:rPr/>
        <w:pict>
          <v:shape style="position:absolute;margin-left:84.839996pt;margin-top:17.690859pt;width:431.9pt;height:163.35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28"/>
                    <w:gridCol w:w="1528"/>
                    <w:gridCol w:w="1482"/>
                  </w:tblGrid>
                  <w:tr>
                    <w:trPr>
                      <w:trHeight w:val="403" w:hRule="exact"/>
                    </w:trPr>
                    <w:tc>
                      <w:tcPr>
                        <w:tcW w:w="5628" w:type="dxa"/>
                        <w:tcBorders>
                          <w:top w:val="nil" w:sz="6" w:space="0" w:color="auto"/>
                          <w:left w:val="nil" w:sz="6" w:space="0" w:color="auto"/>
                          <w:bottom w:val="single" w:sz="4" w:space="0" w:color="000000"/>
                          <w:right w:val="nil" w:sz="6" w:space="0" w:color="auto"/>
                        </w:tcBorders>
                      </w:tcPr>
                      <w:p>
                        <w:pPr>
                          <w:pStyle w:val="TableParagraph"/>
                          <w:tabs>
                            <w:tab w:pos="2038" w:val="left" w:leader="none"/>
                            <w:tab w:pos="3566" w:val="left" w:leader="none"/>
                          </w:tabs>
                          <w:spacing w:line="124"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r>
                        <w:r>
                          <w:rPr>
                            <w:rFonts w:ascii="Microsoft JhengHei" w:hAnsi="Microsoft JhengHei" w:cs="Microsoft JhengHei" w:eastAsia="Microsoft JhengHei" w:hint="default"/>
                            <w:sz w:val="18"/>
                            <w:szCs w:val="18"/>
                          </w:rPr>
                        </w:r>
                      </w:p>
                      <w:p>
                        <w:pPr>
                          <w:pStyle w:val="TableParagraph"/>
                          <w:spacing w:line="237" w:lineRule="exact"/>
                          <w:ind w:right="25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r>
                        <w:r>
                          <w:rPr>
                            <w:rFonts w:ascii="Microsoft JhengHei" w:hAnsi="Microsoft JhengHei" w:cs="Microsoft JhengHei" w:eastAsia="Microsoft JhengHei" w:hint="default"/>
                            <w:sz w:val="18"/>
                            <w:szCs w:val="18"/>
                          </w:rPr>
                        </w:r>
                      </w:p>
                    </w:tc>
                    <w:tc>
                      <w:tcPr>
                        <w:tcW w:w="152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其他转出</w:t>
                        </w:r>
                        <w:r>
                          <w:rPr>
                            <w:rFonts w:ascii="Microsoft JhengHei" w:hAnsi="Microsoft JhengHei" w:cs="Microsoft JhengHei" w:eastAsia="Microsoft JhengHei" w:hint="default"/>
                            <w:sz w:val="18"/>
                            <w:szCs w:val="18"/>
                          </w:rPr>
                        </w:r>
                      </w:p>
                    </w:tc>
                    <w:tc>
                      <w:tcPr>
                        <w:tcW w:w="1482" w:type="dxa"/>
                        <w:tcBorders>
                          <w:top w:val="nil" w:sz="6" w:space="0" w:color="auto"/>
                          <w:left w:val="nil" w:sz="6" w:space="0" w:color="auto"/>
                          <w:bottom w:val="single" w:sz="4" w:space="0" w:color="000000"/>
                          <w:right w:val="nil" w:sz="6" w:space="0" w:color="auto"/>
                        </w:tcBorders>
                      </w:tcPr>
                      <w:p>
                        <w:pPr>
                          <w:pStyle w:val="TableParagraph"/>
                          <w:spacing w:line="200" w:lineRule="exact"/>
                          <w:ind w:left="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93" w:hRule="exact"/>
                    </w:trPr>
                    <w:tc>
                      <w:tcPr>
                        <w:tcW w:w="5628" w:type="dxa"/>
                        <w:tcBorders>
                          <w:top w:val="single" w:sz="4" w:space="0" w:color="000000"/>
                          <w:left w:val="nil" w:sz="6" w:space="0" w:color="auto"/>
                          <w:bottom w:val="single" w:sz="4" w:space="0" w:color="000000"/>
                          <w:right w:val="nil" w:sz="6" w:space="0" w:color="auto"/>
                        </w:tcBorders>
                      </w:tcPr>
                      <w:p>
                        <w:pPr>
                          <w:pStyle w:val="TableParagraph"/>
                          <w:tabs>
                            <w:tab w:pos="2323" w:val="left" w:leader="none"/>
                            <w:tab w:pos="4281" w:val="left" w:leader="none"/>
                            <w:tab w:pos="5250" w:val="left" w:leader="none"/>
                          </w:tabs>
                          <w:spacing w:line="239"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零星工程</w:t>
                          <w:tab/>
                        </w:r>
                        <w:r>
                          <w:rPr>
                            <w:rFonts w:ascii="Times New Roman" w:hAnsi="Times New Roman" w:cs="Times New Roman" w:eastAsia="Times New Roman" w:hint="default"/>
                            <w:sz w:val="18"/>
                            <w:szCs w:val="18"/>
                          </w:rPr>
                          <w:t>37,595.23</w:t>
                          <w:tab/>
                          <w:t>0.00</w:t>
                          <w:tab/>
                          <w:t>0.00</w:t>
                        </w:r>
                      </w:p>
                    </w:tc>
                    <w:tc>
                      <w:tcPr>
                        <w:tcW w:w="152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257"/>
                          <w:jc w:val="right"/>
                          <w:rPr>
                            <w:rFonts w:ascii="Times New Roman" w:hAnsi="Times New Roman" w:cs="Times New Roman" w:eastAsia="Times New Roman" w:hint="default"/>
                            <w:sz w:val="18"/>
                            <w:szCs w:val="18"/>
                          </w:rPr>
                        </w:pPr>
                        <w:r>
                          <w:rPr>
                            <w:rFonts w:ascii="Times New Roman"/>
                            <w:sz w:val="18"/>
                          </w:rPr>
                          <w:t>0.00</w:t>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37,595.23</w:t>
                        </w:r>
                      </w:p>
                    </w:tc>
                  </w:tr>
                  <w:tr>
                    <w:trPr>
                      <w:trHeight w:val="303" w:hRule="exact"/>
                    </w:trPr>
                    <w:tc>
                      <w:tcPr>
                        <w:tcW w:w="5628" w:type="dxa"/>
                        <w:tcBorders>
                          <w:top w:val="single" w:sz="4" w:space="0" w:color="000000"/>
                          <w:left w:val="nil" w:sz="6" w:space="0" w:color="auto"/>
                          <w:bottom w:val="single" w:sz="12" w:space="0" w:color="000000"/>
                          <w:right w:val="nil" w:sz="6" w:space="0" w:color="auto"/>
                        </w:tcBorders>
                      </w:tcPr>
                      <w:p>
                        <w:pPr>
                          <w:pStyle w:val="TableParagraph"/>
                          <w:tabs>
                            <w:tab w:pos="2323" w:val="left" w:leader="none"/>
                            <w:tab w:pos="4281" w:val="left" w:leader="none"/>
                            <w:tab w:pos="5250" w:val="left" w:leader="none"/>
                          </w:tabs>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37,595.23</w:t>
                          <w:tab/>
                          <w:t>0.00</w:t>
                          <w:tab/>
                          <w:t>0.00</w:t>
                        </w:r>
                        <w:r>
                          <w:rPr>
                            <w:rFonts w:ascii="Times New Roman" w:hAnsi="Times New Roman" w:cs="Times New Roman" w:eastAsia="Times New Roman" w:hint="default"/>
                            <w:sz w:val="18"/>
                            <w:szCs w:val="18"/>
                          </w:rPr>
                        </w:r>
                      </w:p>
                    </w:tc>
                    <w:tc>
                      <w:tcPr>
                        <w:tcW w:w="152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5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8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z w:val="18"/>
                          </w:rPr>
                          <w:t>37,595.23</w:t>
                        </w:r>
                        <w:r>
                          <w:rPr>
                            <w:rFonts w:ascii="Times New Roman"/>
                            <w:sz w:val="18"/>
                          </w:rPr>
                        </w:r>
                      </w:p>
                    </w:tc>
                  </w:tr>
                  <w:tr>
                    <w:trPr>
                      <w:trHeight w:val="576" w:hRule="exact"/>
                    </w:trPr>
                    <w:tc>
                      <w:tcPr>
                        <w:tcW w:w="5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16.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工程物资</w:t>
                        </w:r>
                      </w:p>
                    </w:tc>
                    <w:tc>
                      <w:tcPr>
                        <w:tcW w:w="1528" w:type="dxa"/>
                        <w:tcBorders>
                          <w:top w:val="single" w:sz="12" w:space="0" w:color="000000"/>
                          <w:left w:val="nil" w:sz="6" w:space="0" w:color="auto"/>
                          <w:bottom w:val="single" w:sz="12" w:space="0" w:color="000000"/>
                          <w:right w:val="nil" w:sz="6" w:space="0" w:color="auto"/>
                        </w:tcBorders>
                      </w:tcPr>
                      <w:p>
                        <w:pPr/>
                      </w:p>
                    </w:tc>
                    <w:tc>
                      <w:tcPr>
                        <w:tcW w:w="1482"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5628" w:type="dxa"/>
                        <w:tcBorders>
                          <w:top w:val="single" w:sz="12" w:space="0" w:color="000000"/>
                          <w:left w:val="nil" w:sz="6" w:space="0" w:color="auto"/>
                          <w:bottom w:val="single" w:sz="4" w:space="0" w:color="000000"/>
                          <w:right w:val="nil" w:sz="6" w:space="0" w:color="auto"/>
                        </w:tcBorders>
                      </w:tcPr>
                      <w:p>
                        <w:pPr>
                          <w:pStyle w:val="TableParagraph"/>
                          <w:tabs>
                            <w:tab w:pos="2593" w:val="left" w:leader="none"/>
                            <w:tab w:pos="4118"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r>
                        <w:r>
                          <w:rPr>
                            <w:rFonts w:ascii="Microsoft JhengHei" w:hAnsi="Microsoft JhengHei" w:cs="Microsoft JhengHei" w:eastAsia="Microsoft JhengHei" w:hint="default"/>
                            <w:sz w:val="18"/>
                            <w:szCs w:val="18"/>
                          </w:rPr>
                        </w:r>
                      </w:p>
                    </w:tc>
                    <w:tc>
                      <w:tcPr>
                        <w:tcW w:w="152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48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5628" w:type="dxa"/>
                        <w:tcBorders>
                          <w:top w:val="single" w:sz="4" w:space="0" w:color="000000"/>
                          <w:left w:val="nil" w:sz="6" w:space="0" w:color="auto"/>
                          <w:bottom w:val="nil" w:sz="6" w:space="0" w:color="auto"/>
                          <w:right w:val="nil" w:sz="6" w:space="0" w:color="auto"/>
                        </w:tcBorders>
                      </w:tcPr>
                      <w:p>
                        <w:pPr>
                          <w:pStyle w:val="TableParagraph"/>
                          <w:tabs>
                            <w:tab w:pos="2722" w:val="left" w:leader="none"/>
                            <w:tab w:pos="4762" w:val="left" w:leader="none"/>
                          </w:tabs>
                          <w:spacing w:line="239"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预付大型设备款</w:t>
                          <w:tab/>
                        </w:r>
                        <w:r>
                          <w:rPr>
                            <w:rFonts w:ascii="Times New Roman" w:hAnsi="Times New Roman" w:cs="Times New Roman" w:eastAsia="Times New Roman" w:hint="default"/>
                            <w:spacing w:val="-1"/>
                            <w:sz w:val="18"/>
                            <w:szCs w:val="18"/>
                          </w:rPr>
                          <w:t>6,705,219.83</w:t>
                          <w:tab/>
                        </w:r>
                        <w:r>
                          <w:rPr>
                            <w:rFonts w:ascii="Times New Roman" w:hAnsi="Times New Roman" w:cs="Times New Roman" w:eastAsia="Times New Roman" w:hint="default"/>
                            <w:sz w:val="18"/>
                            <w:szCs w:val="18"/>
                          </w:rPr>
                          <w:t>0.00</w:t>
                        </w:r>
                      </w:p>
                    </w:tc>
                    <w:tc>
                      <w:tcPr>
                        <w:tcW w:w="152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33" w:right="0"/>
                          <w:jc w:val="left"/>
                          <w:rPr>
                            <w:rFonts w:ascii="Times New Roman" w:hAnsi="Times New Roman" w:cs="Times New Roman" w:eastAsia="Times New Roman" w:hint="default"/>
                            <w:sz w:val="18"/>
                            <w:szCs w:val="18"/>
                          </w:rPr>
                        </w:pPr>
                        <w:r>
                          <w:rPr>
                            <w:rFonts w:ascii="Times New Roman"/>
                            <w:sz w:val="18"/>
                          </w:rPr>
                          <w:t>6,515,219.83</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190,000.00</w:t>
                        </w:r>
                      </w:p>
                    </w:tc>
                  </w:tr>
                  <w:tr>
                    <w:trPr>
                      <w:trHeight w:val="289" w:hRule="exact"/>
                    </w:trPr>
                    <w:tc>
                      <w:tcPr>
                        <w:tcW w:w="5628" w:type="dxa"/>
                        <w:tcBorders>
                          <w:top w:val="nil" w:sz="6" w:space="0" w:color="auto"/>
                          <w:left w:val="nil" w:sz="6" w:space="0" w:color="auto"/>
                          <w:bottom w:val="single" w:sz="4" w:space="0" w:color="000000"/>
                          <w:right w:val="nil" w:sz="6" w:space="0" w:color="auto"/>
                        </w:tcBorders>
                      </w:tcPr>
                      <w:p>
                        <w:pPr>
                          <w:pStyle w:val="TableParagraph"/>
                          <w:tabs>
                            <w:tab w:pos="2722" w:val="left" w:leader="none"/>
                            <w:tab w:pos="4762" w:val="left" w:leader="none"/>
                          </w:tabs>
                          <w:spacing w:line="240"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为工程准备的工器具</w:t>
                          <w:tab/>
                        </w:r>
                        <w:r>
                          <w:rPr>
                            <w:rFonts w:ascii="Times New Roman" w:hAnsi="Times New Roman" w:cs="Times New Roman" w:eastAsia="Times New Roman" w:hint="default"/>
                            <w:spacing w:val="-1"/>
                            <w:sz w:val="18"/>
                            <w:szCs w:val="18"/>
                          </w:rPr>
                          <w:t>2,304,413.96</w:t>
                          <w:tab/>
                        </w:r>
                        <w:r>
                          <w:rPr>
                            <w:rFonts w:ascii="Times New Roman" w:hAnsi="Times New Roman" w:cs="Times New Roman" w:eastAsia="Times New Roman" w:hint="default"/>
                            <w:sz w:val="18"/>
                            <w:szCs w:val="18"/>
                          </w:rPr>
                          <w:t>0.00</w:t>
                        </w:r>
                      </w:p>
                    </w:tc>
                    <w:tc>
                      <w:tcPr>
                        <w:tcW w:w="152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234" w:right="0"/>
                          <w:jc w:val="left"/>
                          <w:rPr>
                            <w:rFonts w:ascii="Times New Roman" w:hAnsi="Times New Roman" w:cs="Times New Roman" w:eastAsia="Times New Roman" w:hint="default"/>
                            <w:sz w:val="18"/>
                            <w:szCs w:val="18"/>
                          </w:rPr>
                        </w:pPr>
                        <w:r>
                          <w:rPr>
                            <w:rFonts w:ascii="Times New Roman"/>
                            <w:sz w:val="18"/>
                          </w:rPr>
                          <w:t>2,304,413.96</w:t>
                        </w: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5628" w:type="dxa"/>
                        <w:tcBorders>
                          <w:top w:val="single" w:sz="4" w:space="0" w:color="000000"/>
                          <w:left w:val="nil" w:sz="6" w:space="0" w:color="auto"/>
                          <w:bottom w:val="single" w:sz="12" w:space="0" w:color="000000"/>
                          <w:right w:val="nil" w:sz="6" w:space="0" w:color="auto"/>
                        </w:tcBorders>
                      </w:tcPr>
                      <w:p>
                        <w:pPr>
                          <w:pStyle w:val="TableParagraph"/>
                          <w:tabs>
                            <w:tab w:pos="2722" w:val="left" w:leader="none"/>
                            <w:tab w:pos="4762" w:val="left" w:leader="none"/>
                          </w:tabs>
                          <w:spacing w:line="246"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pacing w:val="-1"/>
                            <w:sz w:val="18"/>
                            <w:szCs w:val="18"/>
                          </w:rPr>
                          <w:t>9,009,633.79</w:t>
                          <w:tab/>
                        </w:r>
                        <w:r>
                          <w:rPr>
                            <w:rFonts w:ascii="Times New Roman" w:hAnsi="Times New Roman" w:cs="Times New Roman" w:eastAsia="Times New Roman" w:hint="default"/>
                            <w:b/>
                            <w:bCs/>
                            <w:sz w:val="18"/>
                            <w:szCs w:val="18"/>
                          </w:rPr>
                          <w:t>0.00</w:t>
                        </w:r>
                        <w:r>
                          <w:rPr>
                            <w:rFonts w:ascii="Times New Roman" w:hAnsi="Times New Roman" w:cs="Times New Roman" w:eastAsia="Times New Roman" w:hint="default"/>
                            <w:sz w:val="18"/>
                            <w:szCs w:val="18"/>
                          </w:rPr>
                        </w:r>
                      </w:p>
                    </w:tc>
                    <w:tc>
                      <w:tcPr>
                        <w:tcW w:w="152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34" w:right="0"/>
                          <w:jc w:val="left"/>
                          <w:rPr>
                            <w:rFonts w:ascii="Times New Roman" w:hAnsi="Times New Roman" w:cs="Times New Roman" w:eastAsia="Times New Roman" w:hint="default"/>
                            <w:sz w:val="18"/>
                            <w:szCs w:val="18"/>
                          </w:rPr>
                        </w:pPr>
                        <w:r>
                          <w:rPr>
                            <w:rFonts w:ascii="Times New Roman"/>
                            <w:b/>
                            <w:sz w:val="18"/>
                          </w:rPr>
                          <w:t>8,819,633.79</w:t>
                        </w:r>
                        <w:r>
                          <w:rPr>
                            <w:rFonts w:ascii="Times New Roman"/>
                            <w:sz w:val="18"/>
                          </w:rPr>
                        </w:r>
                      </w:p>
                    </w:tc>
                    <w:tc>
                      <w:tcPr>
                        <w:tcW w:w="148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z w:val="18"/>
                          </w:rPr>
                          <w:t>190,000.00</w:t>
                        </w:r>
                        <w:r>
                          <w:rPr>
                            <w:rFonts w:ascii="Times New Roman"/>
                            <w:sz w:val="18"/>
                          </w:rPr>
                        </w:r>
                      </w:p>
                    </w:tc>
                  </w:tr>
                  <w:tr>
                    <w:trPr>
                      <w:trHeight w:val="509" w:hRule="exact"/>
                    </w:trPr>
                    <w:tc>
                      <w:tcPr>
                        <w:tcW w:w="5628"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17.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无形资产及开发支出</w:t>
                        </w:r>
                      </w:p>
                    </w:tc>
                    <w:tc>
                      <w:tcPr>
                        <w:tcW w:w="1528" w:type="dxa"/>
                        <w:tcBorders>
                          <w:top w:val="single" w:sz="12" w:space="0" w:color="000000"/>
                          <w:left w:val="nil" w:sz="6" w:space="0" w:color="auto"/>
                          <w:bottom w:val="nil" w:sz="6" w:space="0" w:color="auto"/>
                          <w:right w:val="nil" w:sz="6" w:space="0" w:color="auto"/>
                        </w:tcBorders>
                      </w:tcPr>
                      <w:p>
                        <w:pPr/>
                      </w:p>
                    </w:tc>
                    <w:tc>
                      <w:tcPr>
                        <w:tcW w:w="1482"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525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15.4pt;height:.5pt;mso-position-horizontal-relative:char;mso-position-vertical-relative:line" coordorigin="0,0" coordsize="2308,10">
            <v:group style="position:absolute;left:5;top:5;width:2298;height:2" coordorigin="5,5" coordsize="2298,2">
              <v:shape style="position:absolute;left:5;top:5;width:2298;height:2" coordorigin="5,5" coordsize="2298,0" path="m5,5l2303,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610" w:footer="784" w:top="1080" w:bottom="980" w:left="1140" w:right="100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4"/>
          <w:szCs w:val="14"/>
        </w:rPr>
      </w:pPr>
    </w:p>
    <w:tbl>
      <w:tblPr>
        <w:tblW w:w="0" w:type="auto"/>
        <w:jc w:val="left"/>
        <w:tblInd w:w="416" w:type="dxa"/>
        <w:tblLayout w:type="fixed"/>
        <w:tblCellMar>
          <w:top w:w="0" w:type="dxa"/>
          <w:left w:w="0" w:type="dxa"/>
          <w:bottom w:w="0" w:type="dxa"/>
          <w:right w:w="0" w:type="dxa"/>
        </w:tblCellMar>
        <w:tblLook w:val="01E0"/>
      </w:tblPr>
      <w:tblGrid>
        <w:gridCol w:w="1988"/>
        <w:gridCol w:w="1867"/>
        <w:gridCol w:w="1671"/>
        <w:gridCol w:w="1624"/>
        <w:gridCol w:w="1488"/>
      </w:tblGrid>
      <w:tr>
        <w:trPr>
          <w:trHeight w:val="497" w:hRule="exact"/>
        </w:trPr>
        <w:tc>
          <w:tcPr>
            <w:tcW w:w="1988"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无形资产</w:t>
            </w:r>
          </w:p>
        </w:tc>
        <w:tc>
          <w:tcPr>
            <w:tcW w:w="6649" w:type="dxa"/>
            <w:gridSpan w:val="4"/>
            <w:tcBorders>
              <w:top w:val="nil" w:sz="6" w:space="0" w:color="auto"/>
              <w:left w:val="nil" w:sz="6" w:space="0" w:color="auto"/>
              <w:bottom w:val="single" w:sz="12" w:space="0" w:color="000000"/>
              <w:right w:val="nil" w:sz="6" w:space="0" w:color="auto"/>
            </w:tcBorders>
          </w:tcPr>
          <w:p>
            <w:pPr/>
          </w:p>
        </w:tc>
      </w:tr>
      <w:tr>
        <w:trPr>
          <w:trHeight w:val="303" w:hRule="exact"/>
        </w:trPr>
        <w:tc>
          <w:tcPr>
            <w:tcW w:w="19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86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67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62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4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1988"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原价</w:t>
            </w:r>
            <w:r>
              <w:rPr>
                <w:rFonts w:ascii="Microsoft JhengHei" w:hAnsi="Microsoft JhengHei" w:cs="Microsoft JhengHei" w:eastAsia="Microsoft JhengHei" w:hint="default"/>
                <w:sz w:val="18"/>
                <w:szCs w:val="18"/>
              </w:rPr>
            </w:r>
          </w:p>
        </w:tc>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59"/>
              <w:jc w:val="right"/>
              <w:rPr>
                <w:rFonts w:ascii="Times New Roman" w:hAnsi="Times New Roman" w:cs="Times New Roman" w:eastAsia="Times New Roman" w:hint="default"/>
                <w:sz w:val="18"/>
                <w:szCs w:val="18"/>
              </w:rPr>
            </w:pPr>
            <w:r>
              <w:rPr>
                <w:rFonts w:ascii="Times New Roman"/>
                <w:b/>
                <w:spacing w:val="-1"/>
                <w:sz w:val="18"/>
              </w:rPr>
              <w:t>755,885,416.39</w:t>
            </w:r>
            <w:r>
              <w:rPr>
                <w:rFonts w:ascii="Times New Roman"/>
                <w:spacing w:val="-1"/>
                <w:sz w:val="18"/>
              </w:rPr>
            </w: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82"/>
              <w:jc w:val="right"/>
              <w:rPr>
                <w:rFonts w:ascii="Times New Roman" w:hAnsi="Times New Roman" w:cs="Times New Roman" w:eastAsia="Times New Roman" w:hint="default"/>
                <w:sz w:val="18"/>
                <w:szCs w:val="18"/>
              </w:rPr>
            </w:pPr>
            <w:r>
              <w:rPr>
                <w:rFonts w:ascii="Times New Roman"/>
                <w:b/>
                <w:spacing w:val="-1"/>
                <w:sz w:val="18"/>
              </w:rPr>
              <w:t>219,769,313.19</w:t>
            </w:r>
            <w:r>
              <w:rPr>
                <w:rFonts w:ascii="Times New Roman"/>
                <w:spacing w:val="-1"/>
                <w:sz w:val="18"/>
              </w:rPr>
            </w: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26" w:right="0"/>
              <w:jc w:val="left"/>
              <w:rPr>
                <w:rFonts w:ascii="Times New Roman" w:hAnsi="Times New Roman" w:cs="Times New Roman" w:eastAsia="Times New Roman" w:hint="default"/>
                <w:sz w:val="18"/>
                <w:szCs w:val="18"/>
              </w:rPr>
            </w:pPr>
            <w:r>
              <w:rPr>
                <w:rFonts w:ascii="Times New Roman"/>
                <w:b/>
                <w:sz w:val="18"/>
              </w:rPr>
              <w:t>18,089,631.43</w:t>
            </w:r>
            <w:r>
              <w:rPr>
                <w:rFonts w:ascii="Times New Roman"/>
                <w:sz w:val="18"/>
              </w:rPr>
            </w: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957,565,098.15</w:t>
            </w:r>
            <w:r>
              <w:rPr>
                <w:rFonts w:ascii="Times New Roman"/>
                <w:spacing w:val="-1"/>
                <w:sz w:val="18"/>
              </w:rPr>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土地使用权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9"/>
              <w:jc w:val="right"/>
              <w:rPr>
                <w:rFonts w:ascii="Times New Roman" w:hAnsi="Times New Roman" w:cs="Times New Roman" w:eastAsia="Times New Roman" w:hint="default"/>
                <w:sz w:val="18"/>
                <w:szCs w:val="18"/>
              </w:rPr>
            </w:pPr>
            <w:r>
              <w:rPr>
                <w:rFonts w:ascii="Times New Roman"/>
                <w:spacing w:val="-1"/>
                <w:sz w:val="18"/>
              </w:rPr>
              <w:t>351,370,764.16</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98,589,383.20</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26" w:right="0"/>
              <w:jc w:val="left"/>
              <w:rPr>
                <w:rFonts w:ascii="Times New Roman" w:hAnsi="Times New Roman" w:cs="Times New Roman" w:eastAsia="Times New Roman" w:hint="default"/>
                <w:sz w:val="18"/>
                <w:szCs w:val="18"/>
              </w:rPr>
            </w:pPr>
            <w:r>
              <w:rPr>
                <w:rFonts w:ascii="Times New Roman"/>
                <w:sz w:val="18"/>
              </w:rPr>
              <w:t>15,989,377.07</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433,970,770.29</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房屋使用权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1,321,428.54</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1,321,428.54</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专利权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12,105,665.93</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8,306,803.42</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20,412,469.35</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非专利技术</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9"/>
              <w:jc w:val="right"/>
              <w:rPr>
                <w:rFonts w:ascii="Times New Roman" w:hAnsi="Times New Roman" w:cs="Times New Roman" w:eastAsia="Times New Roman" w:hint="default"/>
                <w:sz w:val="18"/>
                <w:szCs w:val="18"/>
              </w:rPr>
            </w:pPr>
            <w:r>
              <w:rPr>
                <w:rFonts w:ascii="Times New Roman"/>
                <w:spacing w:val="-1"/>
                <w:sz w:val="18"/>
              </w:rPr>
              <w:t>334,319,084.94</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43,137,671.01</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2,065,234.36</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375,391,521.59</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专用软件</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1"/>
              <w:jc w:val="right"/>
              <w:rPr>
                <w:rFonts w:ascii="Times New Roman" w:hAnsi="Times New Roman" w:cs="Times New Roman" w:eastAsia="Times New Roman" w:hint="default"/>
                <w:sz w:val="18"/>
                <w:szCs w:val="18"/>
              </w:rPr>
            </w:pPr>
            <w:r>
              <w:rPr>
                <w:rFonts w:ascii="Times New Roman"/>
                <w:spacing w:val="-1"/>
                <w:sz w:val="18"/>
              </w:rPr>
              <w:t>50,198,419.06</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68,289,539.98</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28,875.00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118,459,084.04</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6,570,053.76</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5"/>
              <w:jc w:val="right"/>
              <w:rPr>
                <w:rFonts w:ascii="Times New Roman" w:hAnsi="Times New Roman" w:cs="Times New Roman" w:eastAsia="Times New Roman" w:hint="default"/>
                <w:sz w:val="18"/>
                <w:szCs w:val="18"/>
              </w:rPr>
            </w:pPr>
            <w:r>
              <w:rPr>
                <w:rFonts w:ascii="Times New Roman"/>
                <w:spacing w:val="-1"/>
                <w:sz w:val="18"/>
              </w:rPr>
              <w:t>1,445,915.58</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6,145.00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8,009,824.34</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累计摊销</w:t>
            </w:r>
            <w:r>
              <w:rPr>
                <w:rFonts w:ascii="Microsoft JhengHei" w:hAnsi="Microsoft JhengHei" w:cs="Microsoft JhengHei" w:eastAsia="Microsoft JhengHei" w:hint="default"/>
                <w:sz w:val="18"/>
                <w:szCs w:val="18"/>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9"/>
              <w:jc w:val="right"/>
              <w:rPr>
                <w:rFonts w:ascii="Times New Roman" w:hAnsi="Times New Roman" w:cs="Times New Roman" w:eastAsia="Times New Roman" w:hint="default"/>
                <w:sz w:val="18"/>
                <w:szCs w:val="18"/>
              </w:rPr>
            </w:pPr>
            <w:r>
              <w:rPr>
                <w:rFonts w:ascii="Times New Roman"/>
                <w:b/>
                <w:spacing w:val="-1"/>
                <w:sz w:val="18"/>
              </w:rPr>
              <w:t>168,342,683.29</w:t>
            </w:r>
            <w:r>
              <w:rPr>
                <w:rFonts w:ascii="Times New Roman"/>
                <w:spacing w:val="-1"/>
                <w:sz w:val="18"/>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3"/>
              <w:jc w:val="right"/>
              <w:rPr>
                <w:rFonts w:ascii="Times New Roman" w:hAnsi="Times New Roman" w:cs="Times New Roman" w:eastAsia="Times New Roman" w:hint="default"/>
                <w:sz w:val="18"/>
                <w:szCs w:val="18"/>
              </w:rPr>
            </w:pPr>
            <w:r>
              <w:rPr>
                <w:rFonts w:ascii="Times New Roman"/>
                <w:b/>
                <w:spacing w:val="-1"/>
                <w:sz w:val="18"/>
              </w:rPr>
              <w:t>39,356,014.54</w:t>
            </w:r>
            <w:r>
              <w:rPr>
                <w:rFonts w:ascii="Times New Roman"/>
                <w:spacing w:val="-1"/>
                <w:sz w:val="18"/>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9"/>
              <w:jc w:val="right"/>
              <w:rPr>
                <w:rFonts w:ascii="Times New Roman" w:hAnsi="Times New Roman" w:cs="Times New Roman" w:eastAsia="Times New Roman" w:hint="default"/>
                <w:sz w:val="18"/>
                <w:szCs w:val="18"/>
              </w:rPr>
            </w:pPr>
            <w:r>
              <w:rPr>
                <w:rFonts w:ascii="Times New Roman"/>
                <w:b/>
                <w:sz w:val="18"/>
              </w:rPr>
              <w:t>950,472.50</w:t>
            </w:r>
            <w:r>
              <w:rPr>
                <w:rFonts w:ascii="Times New Roman"/>
                <w:sz w:val="18"/>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206,748,225.33</w:t>
            </w:r>
            <w:r>
              <w:rPr>
                <w:rFonts w:ascii="Times New Roman"/>
                <w:spacing w:val="-1"/>
                <w:sz w:val="18"/>
              </w:rPr>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土地使用权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22,210,518.70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4"/>
              <w:jc w:val="right"/>
              <w:rPr>
                <w:rFonts w:ascii="Times New Roman" w:hAnsi="Times New Roman" w:cs="Times New Roman" w:eastAsia="Times New Roman" w:hint="default"/>
                <w:sz w:val="18"/>
                <w:szCs w:val="18"/>
              </w:rPr>
            </w:pPr>
            <w:r>
              <w:rPr>
                <w:rFonts w:ascii="Times New Roman"/>
                <w:spacing w:val="-1"/>
                <w:sz w:val="18"/>
              </w:rPr>
              <w:t>7,731,452.33</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541,922.14</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29,400,048.89</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房屋使用权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30,494.54</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30,494.54</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60,989.08</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专利权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918,756.33</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2,762,604.74</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3,681,361.07</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非专利技术</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8"/>
              <w:jc w:val="right"/>
              <w:rPr>
                <w:rFonts w:ascii="Times New Roman" w:hAnsi="Times New Roman" w:cs="Times New Roman" w:eastAsia="Times New Roman" w:hint="default"/>
                <w:sz w:val="18"/>
                <w:szCs w:val="18"/>
              </w:rPr>
            </w:pPr>
            <w:r>
              <w:rPr>
                <w:rFonts w:ascii="Times New Roman"/>
                <w:spacing w:val="-1"/>
                <w:sz w:val="18"/>
              </w:rPr>
              <w:t>117,278,330.04</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13,813,462.19</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9"/>
              <w:jc w:val="right"/>
              <w:rPr>
                <w:rFonts w:ascii="Times New Roman" w:hAnsi="Times New Roman" w:cs="Times New Roman" w:eastAsia="Times New Roman" w:hint="default"/>
                <w:sz w:val="18"/>
                <w:szCs w:val="18"/>
              </w:rPr>
            </w:pPr>
            <w:r>
              <w:rPr>
                <w:rFonts w:ascii="Times New Roman"/>
                <w:sz w:val="18"/>
              </w:rPr>
              <w:t>373,530.36</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130,718,261.87</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专用软件</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25,868,620.03</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14,245,022.78</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28,875.00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40,084,767.81</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6" w:lineRule="exact"/>
              <w:ind w:left="284"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0"/>
              <w:jc w:val="right"/>
              <w:rPr>
                <w:rFonts w:ascii="Times New Roman" w:hAnsi="Times New Roman" w:cs="Times New Roman" w:eastAsia="Times New Roman" w:hint="default"/>
                <w:sz w:val="18"/>
                <w:szCs w:val="18"/>
              </w:rPr>
            </w:pPr>
            <w:r>
              <w:rPr>
                <w:rFonts w:ascii="Times New Roman"/>
                <w:spacing w:val="-1"/>
                <w:sz w:val="18"/>
              </w:rPr>
              <w:t>2,035,963.65</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3"/>
              <w:jc w:val="right"/>
              <w:rPr>
                <w:rFonts w:ascii="Times New Roman" w:hAnsi="Times New Roman" w:cs="Times New Roman" w:eastAsia="Times New Roman" w:hint="default"/>
                <w:sz w:val="18"/>
                <w:szCs w:val="18"/>
              </w:rPr>
            </w:pPr>
            <w:r>
              <w:rPr>
                <w:rFonts w:ascii="Times New Roman"/>
                <w:sz w:val="18"/>
              </w:rPr>
              <w:t>772,977.96</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0"/>
              <w:jc w:val="right"/>
              <w:rPr>
                <w:rFonts w:ascii="Times New Roman" w:hAnsi="Times New Roman" w:cs="Times New Roman" w:eastAsia="Times New Roman" w:hint="default"/>
                <w:sz w:val="18"/>
                <w:szCs w:val="18"/>
              </w:rPr>
            </w:pPr>
            <w:r>
              <w:rPr>
                <w:rFonts w:ascii="Times New Roman"/>
                <w:sz w:val="18"/>
              </w:rPr>
              <w:t>6,145.00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2,802,796.61</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w:t>
            </w:r>
            <w:r>
              <w:rPr>
                <w:rFonts w:ascii="Microsoft JhengHei" w:hAnsi="Microsoft JhengHei" w:cs="Microsoft JhengHei" w:eastAsia="Microsoft JhengHei" w:hint="default"/>
                <w:sz w:val="18"/>
                <w:szCs w:val="18"/>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b/>
                <w:spacing w:val="-1"/>
                <w:sz w:val="18"/>
              </w:rPr>
              <w:t>4,624,298.70</w:t>
            </w:r>
            <w:r>
              <w:rPr>
                <w:rFonts w:ascii="Times New Roman"/>
                <w:spacing w:val="-1"/>
                <w:sz w:val="18"/>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4,624,298.70</w:t>
            </w:r>
            <w:r>
              <w:rPr>
                <w:rFonts w:ascii="Times New Roman"/>
                <w:spacing w:val="-1"/>
                <w:sz w:val="18"/>
              </w:rPr>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土地使用权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4,624,298.70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4,624,298.70</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房屋使用权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专利权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非专利技术</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6" w:lineRule="exact"/>
              <w:ind w:left="284" w:right="0"/>
              <w:jc w:val="left"/>
              <w:rPr>
                <w:rFonts w:ascii="楷体" w:hAnsi="楷体" w:cs="楷体" w:eastAsia="楷体" w:hint="default"/>
                <w:sz w:val="18"/>
                <w:szCs w:val="18"/>
              </w:rPr>
            </w:pPr>
            <w:r>
              <w:rPr>
                <w:rFonts w:ascii="楷体" w:hAnsi="楷体" w:cs="楷体" w:eastAsia="楷体" w:hint="default"/>
                <w:sz w:val="18"/>
                <w:szCs w:val="18"/>
              </w:rPr>
              <w:t>专用软件</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0"/>
              <w:jc w:val="right"/>
              <w:rPr>
                <w:rFonts w:ascii="Times New Roman" w:hAnsi="Times New Roman" w:cs="Times New Roman" w:eastAsia="Times New Roman" w:hint="default"/>
                <w:sz w:val="18"/>
                <w:szCs w:val="18"/>
              </w:rPr>
            </w:pPr>
            <w:r>
              <w:rPr>
                <w:rFonts w:ascii="Times New Roman"/>
                <w:sz w:val="18"/>
              </w:rPr>
              <w:t>0.00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3"/>
              <w:jc w:val="right"/>
              <w:rPr>
                <w:rFonts w:ascii="Times New Roman" w:hAnsi="Times New Roman" w:cs="Times New Roman" w:eastAsia="Times New Roman" w:hint="default"/>
                <w:sz w:val="18"/>
                <w:szCs w:val="18"/>
              </w:rPr>
            </w:pPr>
            <w:r>
              <w:rPr>
                <w:rFonts w:ascii="Times New Roman"/>
                <w:sz w:val="18"/>
              </w:rPr>
              <w:t>0.00</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9"/>
              <w:jc w:val="right"/>
              <w:rPr>
                <w:rFonts w:ascii="Times New Roman" w:hAnsi="Times New Roman" w:cs="Times New Roman" w:eastAsia="Times New Roman" w:hint="default"/>
                <w:sz w:val="18"/>
                <w:szCs w:val="18"/>
              </w:rPr>
            </w:pPr>
            <w:r>
              <w:rPr>
                <w:rFonts w:ascii="Times New Roman"/>
                <w:b/>
                <w:spacing w:val="-1"/>
                <w:sz w:val="18"/>
              </w:rPr>
              <w:t>582,918,434.40</w:t>
            </w:r>
            <w:r>
              <w:rPr>
                <w:rFonts w:ascii="Times New Roman"/>
                <w:spacing w:val="-1"/>
                <w:sz w:val="18"/>
              </w:rPr>
            </w:r>
          </w:p>
        </w:tc>
        <w:tc>
          <w:tcPr>
            <w:tcW w:w="1671"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746,192,574.12</w:t>
            </w:r>
            <w:r>
              <w:rPr>
                <w:rFonts w:ascii="Times New Roman"/>
                <w:spacing w:val="-1"/>
                <w:sz w:val="18"/>
              </w:rPr>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土地使用权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9"/>
              <w:jc w:val="right"/>
              <w:rPr>
                <w:rFonts w:ascii="Times New Roman" w:hAnsi="Times New Roman" w:cs="Times New Roman" w:eastAsia="Times New Roman" w:hint="default"/>
                <w:sz w:val="18"/>
                <w:szCs w:val="18"/>
              </w:rPr>
            </w:pPr>
            <w:r>
              <w:rPr>
                <w:rFonts w:ascii="Times New Roman"/>
                <w:spacing w:val="-1"/>
                <w:sz w:val="18"/>
              </w:rPr>
              <w:t>324,535,946.76</w:t>
            </w:r>
          </w:p>
        </w:tc>
        <w:tc>
          <w:tcPr>
            <w:tcW w:w="1671"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399,946,422.70</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房屋使用权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1,290,934.00</w:t>
            </w:r>
          </w:p>
        </w:tc>
        <w:tc>
          <w:tcPr>
            <w:tcW w:w="1671"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1,260,439.46</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专利权</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11,186,909.60</w:t>
            </w:r>
          </w:p>
        </w:tc>
        <w:tc>
          <w:tcPr>
            <w:tcW w:w="1671"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16,731,108.28</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6" w:lineRule="exact"/>
              <w:ind w:left="284" w:right="0"/>
              <w:jc w:val="left"/>
              <w:rPr>
                <w:rFonts w:ascii="楷体" w:hAnsi="楷体" w:cs="楷体" w:eastAsia="楷体" w:hint="default"/>
                <w:sz w:val="18"/>
                <w:szCs w:val="18"/>
              </w:rPr>
            </w:pPr>
            <w:r>
              <w:rPr>
                <w:rFonts w:ascii="楷体" w:hAnsi="楷体" w:cs="楷体" w:eastAsia="楷体" w:hint="default"/>
                <w:sz w:val="18"/>
                <w:szCs w:val="18"/>
              </w:rPr>
              <w:t>非专利技术</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9"/>
              <w:jc w:val="right"/>
              <w:rPr>
                <w:rFonts w:ascii="Times New Roman" w:hAnsi="Times New Roman" w:cs="Times New Roman" w:eastAsia="Times New Roman" w:hint="default"/>
                <w:sz w:val="18"/>
                <w:szCs w:val="18"/>
              </w:rPr>
            </w:pPr>
            <w:r>
              <w:rPr>
                <w:rFonts w:ascii="Times New Roman"/>
                <w:spacing w:val="-1"/>
                <w:sz w:val="18"/>
              </w:rPr>
              <w:t>217,040,754.90</w:t>
            </w:r>
          </w:p>
        </w:tc>
        <w:tc>
          <w:tcPr>
            <w:tcW w:w="1671"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244,673,259.72</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专用软件</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24,329,799.03</w:t>
            </w:r>
          </w:p>
        </w:tc>
        <w:tc>
          <w:tcPr>
            <w:tcW w:w="1671"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78,374,316.23</w:t>
            </w:r>
          </w:p>
        </w:tc>
      </w:tr>
      <w:tr>
        <w:trPr>
          <w:trHeight w:val="300" w:hRule="exact"/>
        </w:trPr>
        <w:tc>
          <w:tcPr>
            <w:tcW w:w="1988" w:type="dxa"/>
            <w:tcBorders>
              <w:top w:val="nil" w:sz="6" w:space="0" w:color="auto"/>
              <w:left w:val="nil" w:sz="6" w:space="0" w:color="auto"/>
              <w:bottom w:val="single" w:sz="12" w:space="0" w:color="000000"/>
              <w:right w:val="nil" w:sz="6" w:space="0" w:color="auto"/>
            </w:tcBorders>
          </w:tcPr>
          <w:p>
            <w:pPr>
              <w:pStyle w:val="TableParagraph"/>
              <w:spacing w:line="227" w:lineRule="exact"/>
              <w:ind w:left="284"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1867"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4,534,090.11</w:t>
            </w:r>
          </w:p>
        </w:tc>
        <w:tc>
          <w:tcPr>
            <w:tcW w:w="1671" w:type="dxa"/>
            <w:tcBorders>
              <w:top w:val="nil" w:sz="6" w:space="0" w:color="auto"/>
              <w:left w:val="nil" w:sz="6" w:space="0" w:color="auto"/>
              <w:bottom w:val="single" w:sz="12" w:space="0" w:color="000000"/>
              <w:right w:val="nil" w:sz="6" w:space="0" w:color="auto"/>
            </w:tcBorders>
          </w:tcPr>
          <w:p>
            <w:pPr/>
          </w:p>
        </w:tc>
        <w:tc>
          <w:tcPr>
            <w:tcW w:w="1624" w:type="dxa"/>
            <w:tcBorders>
              <w:top w:val="nil" w:sz="6" w:space="0" w:color="auto"/>
              <w:left w:val="nil" w:sz="6" w:space="0" w:color="auto"/>
              <w:bottom w:val="single" w:sz="12" w:space="0" w:color="000000"/>
              <w:right w:val="nil" w:sz="6" w:space="0" w:color="auto"/>
            </w:tcBorders>
          </w:tcPr>
          <w:p>
            <w:pPr/>
          </w:p>
        </w:tc>
        <w:tc>
          <w:tcPr>
            <w:tcW w:w="1488"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5,207,027.73</w:t>
            </w:r>
          </w:p>
        </w:tc>
      </w:tr>
    </w:tbl>
    <w:p>
      <w:pPr>
        <w:spacing w:before="79"/>
        <w:ind w:left="578" w:right="0" w:firstLine="0"/>
        <w:jc w:val="left"/>
        <w:rPr>
          <w:rFonts w:ascii="楷体" w:hAnsi="楷体" w:cs="楷体" w:eastAsia="楷体" w:hint="default"/>
          <w:sz w:val="22"/>
          <w:szCs w:val="22"/>
        </w:rPr>
      </w:pPr>
      <w:r>
        <w:rPr>
          <w:rFonts w:ascii="楷体" w:hAnsi="楷体" w:cs="楷体" w:eastAsia="楷体" w:hint="default"/>
          <w:sz w:val="22"/>
          <w:szCs w:val="22"/>
        </w:rPr>
        <w:t>截至</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年</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月</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日，本公司之控股子公司泰豪科技股份有限公司用于抵押取得借款的</w:t>
      </w:r>
    </w:p>
    <w:p>
      <w:pPr>
        <w:spacing w:before="85"/>
        <w:ind w:left="138" w:right="2246" w:firstLine="0"/>
        <w:jc w:val="left"/>
        <w:rPr>
          <w:rFonts w:ascii="楷体" w:hAnsi="楷体" w:cs="楷体" w:eastAsia="楷体" w:hint="default"/>
          <w:sz w:val="22"/>
          <w:szCs w:val="22"/>
        </w:rPr>
      </w:pPr>
      <w:r>
        <w:rPr>
          <w:rFonts w:ascii="楷体" w:hAnsi="楷体" w:cs="楷体" w:eastAsia="楷体" w:hint="default"/>
          <w:sz w:val="22"/>
          <w:szCs w:val="22"/>
        </w:rPr>
        <w:t>土地使用权账面价值为</w:t>
      </w:r>
      <w:r>
        <w:rPr>
          <w:rFonts w:ascii="楷体" w:hAnsi="楷体" w:cs="楷体" w:eastAsia="楷体" w:hint="default"/>
          <w:spacing w:val="-60"/>
          <w:sz w:val="22"/>
          <w:szCs w:val="22"/>
        </w:rPr>
        <w:t> </w:t>
      </w:r>
      <w:r>
        <w:rPr>
          <w:rFonts w:ascii="Times New Roman" w:hAnsi="Times New Roman" w:cs="Times New Roman" w:eastAsia="Times New Roman" w:hint="default"/>
          <w:sz w:val="22"/>
          <w:szCs w:val="22"/>
        </w:rPr>
        <w:t>21,262,382.86</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元。</w:t>
      </w:r>
    </w:p>
    <w:p>
      <w:pPr>
        <w:spacing w:before="163"/>
        <w:ind w:left="591"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研究开发支出</w:t>
      </w:r>
    </w:p>
    <w:p>
      <w:pPr>
        <w:spacing w:line="240" w:lineRule="auto" w:before="5"/>
        <w:rPr>
          <w:rFonts w:ascii="楷体" w:hAnsi="楷体" w:cs="楷体" w:eastAsia="楷体" w:hint="default"/>
          <w:sz w:val="12"/>
          <w:szCs w:val="12"/>
        </w:rPr>
      </w:pPr>
    </w:p>
    <w:tbl>
      <w:tblPr>
        <w:tblW w:w="0" w:type="auto"/>
        <w:jc w:val="left"/>
        <w:tblInd w:w="416" w:type="dxa"/>
        <w:tblLayout w:type="fixed"/>
        <w:tblCellMar>
          <w:top w:w="0" w:type="dxa"/>
          <w:left w:w="0" w:type="dxa"/>
          <w:bottom w:w="0" w:type="dxa"/>
          <w:right w:w="0" w:type="dxa"/>
        </w:tblCellMar>
        <w:tblLook w:val="01E0"/>
      </w:tblPr>
      <w:tblGrid>
        <w:gridCol w:w="1501"/>
        <w:gridCol w:w="1725"/>
        <w:gridCol w:w="1443"/>
        <w:gridCol w:w="1300"/>
        <w:gridCol w:w="1326"/>
        <w:gridCol w:w="1343"/>
      </w:tblGrid>
      <w:tr>
        <w:trPr>
          <w:trHeight w:val="303" w:hRule="exact"/>
        </w:trPr>
        <w:tc>
          <w:tcPr>
            <w:tcW w:w="150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72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44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300"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4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转入损益</w:t>
            </w:r>
            <w:r>
              <w:rPr>
                <w:rFonts w:ascii="Microsoft JhengHei" w:hAnsi="Microsoft JhengHei" w:cs="Microsoft JhengHei" w:eastAsia="Microsoft JhengHei" w:hint="default"/>
                <w:sz w:val="18"/>
                <w:szCs w:val="18"/>
              </w:rPr>
            </w:r>
          </w:p>
        </w:tc>
        <w:tc>
          <w:tcPr>
            <w:tcW w:w="1326"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2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转入无形资产</w:t>
            </w:r>
            <w:r>
              <w:rPr>
                <w:rFonts w:ascii="Microsoft JhengHei" w:hAnsi="Microsoft JhengHei" w:cs="Microsoft JhengHei" w:eastAsia="Microsoft JhengHei" w:hint="default"/>
                <w:sz w:val="18"/>
                <w:szCs w:val="18"/>
              </w:rPr>
            </w:r>
          </w:p>
        </w:tc>
        <w:tc>
          <w:tcPr>
            <w:tcW w:w="134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150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研究支出</w:t>
            </w:r>
          </w:p>
        </w:tc>
        <w:tc>
          <w:tcPr>
            <w:tcW w:w="172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67"/>
              <w:jc w:val="right"/>
              <w:rPr>
                <w:rFonts w:ascii="Times New Roman" w:hAnsi="Times New Roman" w:cs="Times New Roman" w:eastAsia="Times New Roman" w:hint="default"/>
                <w:sz w:val="18"/>
                <w:szCs w:val="18"/>
              </w:rPr>
            </w:pPr>
            <w:r>
              <w:rPr>
                <w:rFonts w:ascii="Times New Roman"/>
                <w:sz w:val="18"/>
              </w:rPr>
              <w:t>0.00</w:t>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49"/>
              <w:jc w:val="right"/>
              <w:rPr>
                <w:rFonts w:ascii="Times New Roman" w:hAnsi="Times New Roman" w:cs="Times New Roman" w:eastAsia="Times New Roman" w:hint="default"/>
                <w:sz w:val="18"/>
                <w:szCs w:val="18"/>
              </w:rPr>
            </w:pPr>
            <w:r>
              <w:rPr>
                <w:rFonts w:ascii="Times New Roman"/>
                <w:spacing w:val="-1"/>
                <w:sz w:val="18"/>
              </w:rPr>
              <w:t>39,968,121.97</w:t>
            </w:r>
          </w:p>
        </w:tc>
        <w:tc>
          <w:tcPr>
            <w:tcW w:w="130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5" w:right="0"/>
              <w:jc w:val="center"/>
              <w:rPr>
                <w:rFonts w:ascii="Times New Roman" w:hAnsi="Times New Roman" w:cs="Times New Roman" w:eastAsia="Times New Roman" w:hint="default"/>
                <w:sz w:val="18"/>
                <w:szCs w:val="18"/>
              </w:rPr>
            </w:pPr>
            <w:r>
              <w:rPr>
                <w:rFonts w:ascii="Times New Roman"/>
                <w:sz w:val="18"/>
              </w:rPr>
              <w:t>39,968,121.97</w:t>
            </w: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4"/>
              <w:jc w:val="right"/>
              <w:rPr>
                <w:rFonts w:ascii="Times New Roman" w:hAnsi="Times New Roman" w:cs="Times New Roman" w:eastAsia="Times New Roman" w:hint="default"/>
                <w:sz w:val="18"/>
                <w:szCs w:val="18"/>
              </w:rPr>
            </w:pPr>
            <w:r>
              <w:rPr>
                <w:rFonts w:ascii="Times New Roman"/>
                <w:spacing w:val="-1"/>
                <w:sz w:val="18"/>
              </w:rPr>
              <w:t>0.00</w:t>
            </w:r>
          </w:p>
        </w:tc>
        <w:tc>
          <w:tcPr>
            <w:tcW w:w="134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1501"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开发支出</w:t>
            </w:r>
          </w:p>
        </w:tc>
        <w:tc>
          <w:tcPr>
            <w:tcW w:w="172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67"/>
              <w:jc w:val="right"/>
              <w:rPr>
                <w:rFonts w:ascii="Times New Roman" w:hAnsi="Times New Roman" w:cs="Times New Roman" w:eastAsia="Times New Roman" w:hint="default"/>
                <w:sz w:val="18"/>
                <w:szCs w:val="18"/>
              </w:rPr>
            </w:pPr>
            <w:r>
              <w:rPr>
                <w:rFonts w:ascii="Times New Roman"/>
                <w:spacing w:val="-1"/>
                <w:sz w:val="18"/>
              </w:rPr>
              <w:t>105,032,193.89</w:t>
            </w: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47"/>
              <w:jc w:val="right"/>
              <w:rPr>
                <w:rFonts w:ascii="Times New Roman" w:hAnsi="Times New Roman" w:cs="Times New Roman" w:eastAsia="Times New Roman" w:hint="default"/>
                <w:sz w:val="18"/>
                <w:szCs w:val="18"/>
              </w:rPr>
            </w:pPr>
            <w:r>
              <w:rPr>
                <w:rFonts w:ascii="Times New Roman"/>
                <w:spacing w:val="-1"/>
                <w:sz w:val="18"/>
              </w:rPr>
              <w:t>148,343,180.71</w:t>
            </w:r>
          </w:p>
        </w:tc>
        <w:tc>
          <w:tcPr>
            <w:tcW w:w="130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35" w:right="0"/>
              <w:jc w:val="center"/>
              <w:rPr>
                <w:rFonts w:ascii="Times New Roman" w:hAnsi="Times New Roman" w:cs="Times New Roman" w:eastAsia="Times New Roman" w:hint="default"/>
                <w:sz w:val="18"/>
                <w:szCs w:val="18"/>
              </w:rPr>
            </w:pPr>
            <w:r>
              <w:rPr>
                <w:rFonts w:ascii="Times New Roman"/>
                <w:sz w:val="18"/>
              </w:rPr>
              <w:t>22,063,957.26</w:t>
            </w: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4"/>
              <w:jc w:val="right"/>
              <w:rPr>
                <w:rFonts w:ascii="Times New Roman" w:hAnsi="Times New Roman" w:cs="Times New Roman" w:eastAsia="Times New Roman" w:hint="default"/>
                <w:sz w:val="18"/>
                <w:szCs w:val="18"/>
              </w:rPr>
            </w:pPr>
            <w:r>
              <w:rPr>
                <w:rFonts w:ascii="Times New Roman"/>
                <w:spacing w:val="-1"/>
                <w:sz w:val="18"/>
              </w:rPr>
              <w:t>87,090,849.88</w:t>
            </w: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144,220,567.46</w:t>
            </w:r>
          </w:p>
        </w:tc>
      </w:tr>
      <w:tr>
        <w:trPr>
          <w:trHeight w:val="303" w:hRule="exact"/>
        </w:trPr>
        <w:tc>
          <w:tcPr>
            <w:tcW w:w="150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2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66"/>
              <w:jc w:val="right"/>
              <w:rPr>
                <w:rFonts w:ascii="Times New Roman" w:hAnsi="Times New Roman" w:cs="Times New Roman" w:eastAsia="Times New Roman" w:hint="default"/>
                <w:sz w:val="18"/>
                <w:szCs w:val="18"/>
              </w:rPr>
            </w:pPr>
            <w:r>
              <w:rPr>
                <w:rFonts w:ascii="Times New Roman"/>
                <w:b/>
                <w:spacing w:val="-1"/>
                <w:sz w:val="18"/>
              </w:rPr>
              <w:t>105,032,193.89</w:t>
            </w:r>
            <w:r>
              <w:rPr>
                <w:rFonts w:ascii="Times New Roman"/>
                <w:spacing w:val="-1"/>
                <w:sz w:val="18"/>
              </w:rPr>
            </w:r>
          </w:p>
        </w:tc>
        <w:tc>
          <w:tcPr>
            <w:tcW w:w="14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48"/>
              <w:jc w:val="right"/>
              <w:rPr>
                <w:rFonts w:ascii="Times New Roman" w:hAnsi="Times New Roman" w:cs="Times New Roman" w:eastAsia="Times New Roman" w:hint="default"/>
                <w:sz w:val="18"/>
                <w:szCs w:val="18"/>
              </w:rPr>
            </w:pPr>
            <w:r>
              <w:rPr>
                <w:rFonts w:ascii="Times New Roman"/>
                <w:b/>
                <w:spacing w:val="-1"/>
                <w:sz w:val="18"/>
              </w:rPr>
              <w:t>188,311,302.68</w:t>
            </w:r>
            <w:r>
              <w:rPr>
                <w:rFonts w:ascii="Times New Roman"/>
                <w:spacing w:val="-1"/>
                <w:sz w:val="18"/>
              </w:rPr>
            </w:r>
          </w:p>
        </w:tc>
        <w:tc>
          <w:tcPr>
            <w:tcW w:w="13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35" w:right="0"/>
              <w:jc w:val="center"/>
              <w:rPr>
                <w:rFonts w:ascii="Times New Roman" w:hAnsi="Times New Roman" w:cs="Times New Roman" w:eastAsia="Times New Roman" w:hint="default"/>
                <w:sz w:val="18"/>
                <w:szCs w:val="18"/>
              </w:rPr>
            </w:pPr>
            <w:r>
              <w:rPr>
                <w:rFonts w:ascii="Times New Roman"/>
                <w:b/>
                <w:sz w:val="18"/>
              </w:rPr>
              <w:t>62,032,079.23</w:t>
            </w:r>
            <w:r>
              <w:rPr>
                <w:rFonts w:ascii="Times New Roman"/>
                <w:sz w:val="18"/>
              </w:rPr>
            </w:r>
          </w:p>
        </w:tc>
        <w:tc>
          <w:tcPr>
            <w:tcW w:w="13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4"/>
              <w:jc w:val="right"/>
              <w:rPr>
                <w:rFonts w:ascii="Times New Roman" w:hAnsi="Times New Roman" w:cs="Times New Roman" w:eastAsia="Times New Roman" w:hint="default"/>
                <w:sz w:val="18"/>
                <w:szCs w:val="18"/>
              </w:rPr>
            </w:pPr>
            <w:r>
              <w:rPr>
                <w:rFonts w:ascii="Times New Roman"/>
                <w:b/>
                <w:spacing w:val="-1"/>
                <w:sz w:val="18"/>
              </w:rPr>
              <w:t>87,090,849.88</w:t>
            </w:r>
            <w:r>
              <w:rPr>
                <w:rFonts w:ascii="Times New Roman"/>
                <w:spacing w:val="-1"/>
                <w:sz w:val="18"/>
              </w:rPr>
            </w:r>
          </w:p>
        </w:tc>
        <w:tc>
          <w:tcPr>
            <w:tcW w:w="13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144,220,567.46</w:t>
            </w:r>
            <w:r>
              <w:rPr>
                <w:rFonts w:ascii="Times New Roman"/>
                <w:spacing w:val="-1"/>
                <w:sz w:val="18"/>
              </w:rPr>
            </w:r>
          </w:p>
        </w:tc>
      </w:tr>
      <w:tr>
        <w:trPr>
          <w:trHeight w:val="576" w:hRule="exact"/>
        </w:trPr>
        <w:tc>
          <w:tcPr>
            <w:tcW w:w="15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18.  </w:t>
            </w:r>
            <w:r>
              <w:rPr>
                <w:rFonts w:ascii="Times New Roman" w:hAnsi="Times New Roman" w:cs="Times New Roman" w:eastAsia="Times New Roman" w:hint="default"/>
                <w:b/>
                <w:bCs/>
                <w:spacing w:val="25"/>
                <w:sz w:val="22"/>
                <w:szCs w:val="22"/>
              </w:rPr>
              <w:t> </w:t>
            </w:r>
            <w:r>
              <w:rPr>
                <w:rFonts w:ascii="楷体" w:hAnsi="楷体" w:cs="楷体" w:eastAsia="楷体" w:hint="default"/>
                <w:sz w:val="22"/>
                <w:szCs w:val="22"/>
              </w:rPr>
              <w:t>商誉</w:t>
            </w:r>
          </w:p>
        </w:tc>
        <w:tc>
          <w:tcPr>
            <w:tcW w:w="1725" w:type="dxa"/>
            <w:tcBorders>
              <w:top w:val="single" w:sz="12" w:space="0" w:color="000000"/>
              <w:left w:val="nil" w:sz="6" w:space="0" w:color="auto"/>
              <w:bottom w:val="single" w:sz="12" w:space="0" w:color="000000"/>
              <w:right w:val="nil" w:sz="6" w:space="0" w:color="auto"/>
            </w:tcBorders>
          </w:tcPr>
          <w:p>
            <w:pPr/>
          </w:p>
        </w:tc>
        <w:tc>
          <w:tcPr>
            <w:tcW w:w="1443" w:type="dxa"/>
            <w:tcBorders>
              <w:top w:val="single" w:sz="12" w:space="0" w:color="000000"/>
              <w:left w:val="nil" w:sz="6" w:space="0" w:color="auto"/>
              <w:bottom w:val="single" w:sz="12" w:space="0" w:color="000000"/>
              <w:right w:val="nil" w:sz="6" w:space="0" w:color="auto"/>
            </w:tcBorders>
          </w:tcPr>
          <w:p>
            <w:pPr/>
          </w:p>
        </w:tc>
        <w:tc>
          <w:tcPr>
            <w:tcW w:w="1300" w:type="dxa"/>
            <w:tcBorders>
              <w:top w:val="single" w:sz="12" w:space="0" w:color="000000"/>
              <w:left w:val="nil" w:sz="6" w:space="0" w:color="auto"/>
              <w:bottom w:val="single" w:sz="12" w:space="0" w:color="000000"/>
              <w:right w:val="nil" w:sz="6" w:space="0" w:color="auto"/>
            </w:tcBorders>
          </w:tcPr>
          <w:p>
            <w:pPr/>
          </w:p>
        </w:tc>
        <w:tc>
          <w:tcPr>
            <w:tcW w:w="1326" w:type="dxa"/>
            <w:tcBorders>
              <w:top w:val="single" w:sz="12" w:space="0" w:color="000000"/>
              <w:left w:val="nil" w:sz="6" w:space="0" w:color="auto"/>
              <w:bottom w:val="single" w:sz="12" w:space="0" w:color="000000"/>
              <w:right w:val="nil" w:sz="6" w:space="0" w:color="auto"/>
            </w:tcBorders>
          </w:tcPr>
          <w:p>
            <w:pPr/>
          </w:p>
        </w:tc>
        <w:tc>
          <w:tcPr>
            <w:tcW w:w="1343"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150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725" w:type="dxa"/>
            <w:tcBorders>
              <w:top w:val="single" w:sz="12" w:space="0" w:color="000000"/>
              <w:left w:val="nil" w:sz="6" w:space="0" w:color="auto"/>
              <w:bottom w:val="single" w:sz="4" w:space="0" w:color="000000"/>
              <w:right w:val="nil" w:sz="6" w:space="0" w:color="auto"/>
            </w:tcBorders>
          </w:tcPr>
          <w:p>
            <w:pPr/>
          </w:p>
        </w:tc>
        <w:tc>
          <w:tcPr>
            <w:tcW w:w="1443" w:type="dxa"/>
            <w:tcBorders>
              <w:top w:val="single" w:sz="12" w:space="0" w:color="000000"/>
              <w:left w:val="nil" w:sz="6" w:space="0" w:color="auto"/>
              <w:bottom w:val="single" w:sz="4" w:space="0" w:color="000000"/>
              <w:right w:val="nil" w:sz="6" w:space="0" w:color="auto"/>
            </w:tcBorders>
          </w:tcPr>
          <w:p>
            <w:pPr/>
          </w:p>
        </w:tc>
        <w:tc>
          <w:tcPr>
            <w:tcW w:w="1300"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4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326" w:type="dxa"/>
            <w:tcBorders>
              <w:top w:val="single" w:sz="12" w:space="0" w:color="000000"/>
              <w:left w:val="nil" w:sz="6" w:space="0" w:color="auto"/>
              <w:bottom w:val="single" w:sz="4" w:space="0" w:color="000000"/>
              <w:right w:val="nil" w:sz="6" w:space="0" w:color="auto"/>
            </w:tcBorders>
          </w:tcPr>
          <w:p>
            <w:pPr/>
          </w:p>
        </w:tc>
        <w:tc>
          <w:tcPr>
            <w:tcW w:w="134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北京泰豪智能科技有限公司</w:t>
            </w:r>
          </w:p>
        </w:tc>
        <w:tc>
          <w:tcPr>
            <w:tcW w:w="27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675" w:right="0"/>
              <w:jc w:val="left"/>
              <w:rPr>
                <w:rFonts w:ascii="Times New Roman" w:hAnsi="Times New Roman" w:cs="Times New Roman" w:eastAsia="Times New Roman" w:hint="default"/>
                <w:sz w:val="18"/>
                <w:szCs w:val="18"/>
              </w:rPr>
            </w:pPr>
            <w:r>
              <w:rPr>
                <w:rFonts w:ascii="Times New Roman"/>
                <w:sz w:val="18"/>
              </w:rPr>
              <w:t>6,615,303.96</w:t>
            </w:r>
          </w:p>
        </w:tc>
        <w:tc>
          <w:tcPr>
            <w:tcW w:w="26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622" w:right="0"/>
              <w:jc w:val="left"/>
              <w:rPr>
                <w:rFonts w:ascii="Times New Roman" w:hAnsi="Times New Roman" w:cs="Times New Roman" w:eastAsia="Times New Roman" w:hint="default"/>
                <w:sz w:val="18"/>
                <w:szCs w:val="18"/>
              </w:rPr>
            </w:pPr>
            <w:r>
              <w:rPr>
                <w:rFonts w:ascii="Times New Roman"/>
                <w:sz w:val="18"/>
              </w:rPr>
              <w:t>6,615,303.96</w:t>
            </w:r>
          </w:p>
        </w:tc>
      </w:tr>
      <w:tr>
        <w:trPr>
          <w:trHeight w:val="283" w:hRule="exact"/>
        </w:trPr>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上海信业智能科技股份有限公司</w:t>
            </w:r>
          </w:p>
        </w:tc>
        <w:tc>
          <w:tcPr>
            <w:tcW w:w="27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675" w:right="0"/>
              <w:jc w:val="left"/>
              <w:rPr>
                <w:rFonts w:ascii="Times New Roman" w:hAnsi="Times New Roman" w:cs="Times New Roman" w:eastAsia="Times New Roman" w:hint="default"/>
                <w:sz w:val="18"/>
                <w:szCs w:val="18"/>
              </w:rPr>
            </w:pPr>
            <w:r>
              <w:rPr>
                <w:rFonts w:ascii="Times New Roman"/>
                <w:sz w:val="18"/>
              </w:rPr>
              <w:t>2,325,679.43</w:t>
            </w:r>
          </w:p>
        </w:tc>
        <w:tc>
          <w:tcPr>
            <w:tcW w:w="26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622" w:right="0"/>
              <w:jc w:val="left"/>
              <w:rPr>
                <w:rFonts w:ascii="Times New Roman" w:hAnsi="Times New Roman" w:cs="Times New Roman" w:eastAsia="Times New Roman" w:hint="default"/>
                <w:sz w:val="18"/>
                <w:szCs w:val="18"/>
              </w:rPr>
            </w:pPr>
            <w:r>
              <w:rPr>
                <w:rFonts w:ascii="Times New Roman"/>
                <w:sz w:val="18"/>
              </w:rPr>
              <w:t>2,325,679.43</w:t>
            </w:r>
          </w:p>
        </w:tc>
      </w:tr>
      <w:tr>
        <w:trPr>
          <w:trHeight w:val="283" w:hRule="exact"/>
        </w:trPr>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北京泰豪智能工程有限公司</w:t>
            </w:r>
          </w:p>
        </w:tc>
        <w:tc>
          <w:tcPr>
            <w:tcW w:w="27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675" w:right="0"/>
              <w:jc w:val="left"/>
              <w:rPr>
                <w:rFonts w:ascii="Times New Roman" w:hAnsi="Times New Roman" w:cs="Times New Roman" w:eastAsia="Times New Roman" w:hint="default"/>
                <w:sz w:val="18"/>
                <w:szCs w:val="18"/>
              </w:rPr>
            </w:pPr>
            <w:r>
              <w:rPr>
                <w:rFonts w:ascii="Times New Roman"/>
                <w:sz w:val="18"/>
              </w:rPr>
              <w:t>3,173,180.06</w:t>
            </w:r>
          </w:p>
        </w:tc>
        <w:tc>
          <w:tcPr>
            <w:tcW w:w="26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622" w:right="0"/>
              <w:jc w:val="left"/>
              <w:rPr>
                <w:rFonts w:ascii="Times New Roman" w:hAnsi="Times New Roman" w:cs="Times New Roman" w:eastAsia="Times New Roman" w:hint="default"/>
                <w:sz w:val="18"/>
                <w:szCs w:val="18"/>
              </w:rPr>
            </w:pPr>
            <w:r>
              <w:rPr>
                <w:rFonts w:ascii="Times New Roman"/>
                <w:sz w:val="18"/>
              </w:rPr>
              <w:t>3,173,180.06</w:t>
            </w:r>
          </w:p>
        </w:tc>
      </w:tr>
      <w:tr>
        <w:trPr>
          <w:trHeight w:val="283" w:hRule="exact"/>
        </w:trPr>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山东吉美乐有限公司</w:t>
            </w:r>
          </w:p>
        </w:tc>
        <w:tc>
          <w:tcPr>
            <w:tcW w:w="27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809" w:right="0"/>
              <w:jc w:val="left"/>
              <w:rPr>
                <w:rFonts w:ascii="Times New Roman" w:hAnsi="Times New Roman" w:cs="Times New Roman" w:eastAsia="Times New Roman" w:hint="default"/>
                <w:sz w:val="18"/>
                <w:szCs w:val="18"/>
              </w:rPr>
            </w:pPr>
            <w:r>
              <w:rPr>
                <w:rFonts w:ascii="Times New Roman"/>
                <w:sz w:val="18"/>
              </w:rPr>
              <w:t>324,580.94</w:t>
            </w:r>
          </w:p>
        </w:tc>
        <w:tc>
          <w:tcPr>
            <w:tcW w:w="26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756" w:right="0"/>
              <w:jc w:val="left"/>
              <w:rPr>
                <w:rFonts w:ascii="Times New Roman" w:hAnsi="Times New Roman" w:cs="Times New Roman" w:eastAsia="Times New Roman" w:hint="default"/>
                <w:sz w:val="18"/>
                <w:szCs w:val="18"/>
              </w:rPr>
            </w:pPr>
            <w:r>
              <w:rPr>
                <w:rFonts w:ascii="Times New Roman"/>
                <w:sz w:val="18"/>
              </w:rPr>
              <w:t>324,580.94</w:t>
            </w:r>
          </w:p>
        </w:tc>
      </w:tr>
      <w:tr>
        <w:trPr>
          <w:trHeight w:val="336" w:hRule="exact"/>
        </w:trPr>
        <w:tc>
          <w:tcPr>
            <w:tcW w:w="3226"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北京西电电源有限公司</w:t>
            </w:r>
          </w:p>
        </w:tc>
        <w:tc>
          <w:tcPr>
            <w:tcW w:w="27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809" w:right="0"/>
              <w:jc w:val="left"/>
              <w:rPr>
                <w:rFonts w:ascii="Times New Roman" w:hAnsi="Times New Roman" w:cs="Times New Roman" w:eastAsia="Times New Roman" w:hint="default"/>
                <w:sz w:val="18"/>
                <w:szCs w:val="18"/>
              </w:rPr>
            </w:pPr>
            <w:r>
              <w:rPr>
                <w:rFonts w:ascii="Times New Roman"/>
                <w:sz w:val="18"/>
              </w:rPr>
              <w:t>354,671.04</w:t>
            </w:r>
          </w:p>
        </w:tc>
        <w:tc>
          <w:tcPr>
            <w:tcW w:w="26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756" w:right="0"/>
              <w:jc w:val="left"/>
              <w:rPr>
                <w:rFonts w:ascii="Times New Roman" w:hAnsi="Times New Roman" w:cs="Times New Roman" w:eastAsia="Times New Roman" w:hint="default"/>
                <w:sz w:val="18"/>
                <w:szCs w:val="18"/>
              </w:rPr>
            </w:pPr>
            <w:r>
              <w:rPr>
                <w:rFonts w:ascii="Times New Roman"/>
                <w:sz w:val="18"/>
              </w:rPr>
              <w:t>354,671.04</w:t>
            </w:r>
          </w:p>
        </w:tc>
      </w:tr>
    </w:tbl>
    <w:p>
      <w:pPr>
        <w:spacing w:after="0" w:line="240" w:lineRule="auto"/>
        <w:jc w:val="lef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3432"/>
        <w:gridCol w:w="3334"/>
        <w:gridCol w:w="1866"/>
        <w:gridCol w:w="283"/>
      </w:tblGrid>
      <w:tr>
        <w:trPr>
          <w:trHeight w:val="336"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403" w:val="left" w:leader="none"/>
              </w:tabs>
              <w:spacing w:line="240" w:lineRule="auto" w:before="44"/>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江西同方昌明消防车辆有限公司</w:t>
              <w:tab/>
            </w:r>
            <w:r>
              <w:rPr>
                <w:rFonts w:ascii="Times New Roman" w:hAnsi="Times New Roman" w:cs="Times New Roman" w:eastAsia="Times New Roman" w:hint="default"/>
                <w:sz w:val="18"/>
                <w:szCs w:val="18"/>
              </w:rPr>
              <w:t>52,740.49</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1326" w:right="0"/>
              <w:jc w:val="left"/>
              <w:rPr>
                <w:rFonts w:ascii="Times New Roman" w:hAnsi="Times New Roman" w:cs="Times New Roman" w:eastAsia="Times New Roman" w:hint="default"/>
                <w:sz w:val="18"/>
                <w:szCs w:val="18"/>
              </w:rPr>
            </w:pPr>
            <w:r>
              <w:rPr>
                <w:rFonts w:ascii="Times New Roman"/>
                <w:sz w:val="18"/>
              </w:rPr>
              <w:t>52,740.49</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179"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北京同方吉兆科技有限公司</w:t>
              <w:tab/>
            </w:r>
            <w:r>
              <w:rPr>
                <w:rFonts w:ascii="Times New Roman" w:hAnsi="Times New Roman" w:cs="Times New Roman" w:eastAsia="Times New Roman" w:hint="default"/>
                <w:sz w:val="18"/>
                <w:szCs w:val="18"/>
              </w:rPr>
              <w:t>1,286,280.05</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102" w:right="0"/>
              <w:jc w:val="left"/>
              <w:rPr>
                <w:rFonts w:ascii="Times New Roman" w:hAnsi="Times New Roman" w:cs="Times New Roman" w:eastAsia="Times New Roman" w:hint="default"/>
                <w:sz w:val="18"/>
                <w:szCs w:val="18"/>
              </w:rPr>
            </w:pPr>
            <w:r>
              <w:rPr>
                <w:rFonts w:ascii="Times New Roman"/>
                <w:sz w:val="18"/>
              </w:rPr>
              <w:t>1,132,881.38</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313"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鞍山同方奥科电子有限公司</w:t>
              <w:tab/>
            </w:r>
            <w:r>
              <w:rPr>
                <w:rFonts w:ascii="Times New Roman" w:hAnsi="Times New Roman" w:cs="Times New Roman" w:eastAsia="Times New Roman" w:hint="default"/>
                <w:sz w:val="18"/>
                <w:szCs w:val="18"/>
              </w:rPr>
              <w:t>825,006.55</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237" w:right="0"/>
              <w:jc w:val="left"/>
              <w:rPr>
                <w:rFonts w:ascii="Times New Roman" w:hAnsi="Times New Roman" w:cs="Times New Roman" w:eastAsia="Times New Roman" w:hint="default"/>
                <w:sz w:val="18"/>
                <w:szCs w:val="18"/>
              </w:rPr>
            </w:pPr>
            <w:r>
              <w:rPr>
                <w:rFonts w:ascii="Times New Roman"/>
                <w:sz w:val="18"/>
              </w:rPr>
              <w:t>825,006.55</w:t>
            </w:r>
          </w:p>
        </w:tc>
      </w:tr>
      <w:tr>
        <w:trPr>
          <w:trHeight w:val="288"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313"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上海畅想音像版权服务有限公司</w:t>
              <w:tab/>
            </w:r>
            <w:r>
              <w:rPr>
                <w:rFonts w:ascii="Times New Roman" w:hAnsi="Times New Roman" w:cs="Times New Roman" w:eastAsia="Times New Roman" w:hint="default"/>
                <w:sz w:val="18"/>
                <w:szCs w:val="18"/>
              </w:rPr>
              <w:t>333,522.58</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237" w:right="0"/>
              <w:jc w:val="left"/>
              <w:rPr>
                <w:rFonts w:ascii="Times New Roman" w:hAnsi="Times New Roman" w:cs="Times New Roman" w:eastAsia="Times New Roman" w:hint="default"/>
                <w:sz w:val="18"/>
                <w:szCs w:val="18"/>
              </w:rPr>
            </w:pPr>
            <w:r>
              <w:rPr>
                <w:rFonts w:ascii="Times New Roman"/>
                <w:sz w:val="18"/>
              </w:rPr>
              <w:t>333,522.58</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089" w:val="left" w:leader="none"/>
              </w:tabs>
              <w:spacing w:line="240" w:lineRule="auto" w:before="28"/>
              <w:ind w:left="386" w:right="0"/>
              <w:jc w:val="left"/>
              <w:rPr>
                <w:rFonts w:ascii="Times New Roman" w:hAnsi="Times New Roman" w:cs="Times New Roman" w:eastAsia="Times New Roman" w:hint="default"/>
                <w:sz w:val="18"/>
                <w:szCs w:val="18"/>
              </w:rPr>
            </w:pPr>
            <w:r>
              <w:rPr>
                <w:rFonts w:ascii="Times New Roman"/>
                <w:sz w:val="18"/>
              </w:rPr>
              <w:t>Distech Controls</w:t>
            </w:r>
            <w:r>
              <w:rPr>
                <w:rFonts w:ascii="Times New Roman"/>
                <w:spacing w:val="-2"/>
                <w:sz w:val="18"/>
              </w:rPr>
              <w:t> </w:t>
            </w:r>
            <w:r>
              <w:rPr>
                <w:rFonts w:ascii="Times New Roman"/>
                <w:sz w:val="18"/>
              </w:rPr>
              <w:t>Inc.</w:t>
              <w:tab/>
              <w:t>65,988,063.00</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0.00</w:t>
            </w:r>
          </w:p>
        </w:tc>
      </w:tr>
      <w:tr>
        <w:trPr>
          <w:trHeight w:val="278"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090" w:val="left" w:leader="none"/>
              </w:tabs>
              <w:spacing w:line="240" w:lineRule="auto" w:before="28"/>
              <w:ind w:left="386" w:right="0"/>
              <w:jc w:val="left"/>
              <w:rPr>
                <w:rFonts w:ascii="Times New Roman" w:hAnsi="Times New Roman" w:cs="Times New Roman" w:eastAsia="Times New Roman" w:hint="default"/>
                <w:sz w:val="18"/>
                <w:szCs w:val="18"/>
              </w:rPr>
            </w:pPr>
            <w:r>
              <w:rPr>
                <w:rFonts w:ascii="Times New Roman"/>
                <w:sz w:val="18"/>
              </w:rPr>
              <w:t>Tinggi Technologies Private</w:t>
            </w:r>
            <w:r>
              <w:rPr>
                <w:rFonts w:ascii="Times New Roman"/>
                <w:spacing w:val="-28"/>
                <w:sz w:val="18"/>
              </w:rPr>
              <w:t> </w:t>
            </w:r>
            <w:r>
              <w:rPr>
                <w:rFonts w:ascii="Times New Roman"/>
                <w:sz w:val="18"/>
              </w:rPr>
              <w:t>Limited</w:t>
              <w:tab/>
              <w:t>20,950,129.66</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320"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同方光盘股份有限公司</w:t>
              <w:tab/>
            </w:r>
            <w:r>
              <w:rPr>
                <w:rFonts w:ascii="Times New Roman" w:hAnsi="Times New Roman" w:cs="Times New Roman" w:eastAsia="Times New Roman" w:hint="default"/>
                <w:sz w:val="18"/>
                <w:szCs w:val="18"/>
              </w:rPr>
              <w:t>110,441.27</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244" w:right="0"/>
              <w:jc w:val="left"/>
              <w:rPr>
                <w:rFonts w:ascii="Times New Roman" w:hAnsi="Times New Roman" w:cs="Times New Roman" w:eastAsia="Times New Roman" w:hint="default"/>
                <w:sz w:val="18"/>
                <w:szCs w:val="18"/>
              </w:rPr>
            </w:pPr>
            <w:r>
              <w:rPr>
                <w:rFonts w:ascii="Times New Roman"/>
                <w:sz w:val="18"/>
              </w:rPr>
              <w:t>110,441.27</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179"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北京同方软件股份有限公司</w:t>
              <w:tab/>
            </w:r>
            <w:r>
              <w:rPr>
                <w:rFonts w:ascii="Times New Roman" w:hAnsi="Times New Roman" w:cs="Times New Roman" w:eastAsia="Times New Roman" w:hint="default"/>
                <w:sz w:val="18"/>
                <w:szCs w:val="18"/>
              </w:rPr>
              <w:t>1,993,272.21</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102" w:right="0"/>
              <w:jc w:val="left"/>
              <w:rPr>
                <w:rFonts w:ascii="Times New Roman" w:hAnsi="Times New Roman" w:cs="Times New Roman" w:eastAsia="Times New Roman" w:hint="default"/>
                <w:sz w:val="18"/>
                <w:szCs w:val="18"/>
              </w:rPr>
            </w:pPr>
            <w:r>
              <w:rPr>
                <w:rFonts w:ascii="Times New Roman"/>
                <w:sz w:val="18"/>
              </w:rPr>
              <w:t>1,993,272.21</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179"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北京同方微电子有限公司</w:t>
              <w:tab/>
            </w:r>
            <w:r>
              <w:rPr>
                <w:rFonts w:ascii="Times New Roman" w:hAnsi="Times New Roman" w:cs="Times New Roman" w:eastAsia="Times New Roman" w:hint="default"/>
                <w:sz w:val="18"/>
                <w:szCs w:val="18"/>
              </w:rPr>
              <w:t>8,621,695.31</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102" w:right="0"/>
              <w:jc w:val="left"/>
              <w:rPr>
                <w:rFonts w:ascii="Times New Roman" w:hAnsi="Times New Roman" w:cs="Times New Roman" w:eastAsia="Times New Roman" w:hint="default"/>
                <w:sz w:val="18"/>
                <w:szCs w:val="18"/>
              </w:rPr>
            </w:pPr>
            <w:r>
              <w:rPr>
                <w:rFonts w:ascii="Times New Roman"/>
                <w:sz w:val="18"/>
              </w:rPr>
              <w:t>8,621,695.31</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179"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北京同方凌讯科技有限公司</w:t>
              <w:tab/>
            </w:r>
            <w:r>
              <w:rPr>
                <w:rFonts w:ascii="Times New Roman" w:hAnsi="Times New Roman" w:cs="Times New Roman" w:eastAsia="Times New Roman" w:hint="default"/>
                <w:sz w:val="18"/>
                <w:szCs w:val="18"/>
              </w:rPr>
              <w:t>5,040,000.00</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102" w:right="0"/>
              <w:jc w:val="left"/>
              <w:rPr>
                <w:rFonts w:ascii="Times New Roman" w:hAnsi="Times New Roman" w:cs="Times New Roman" w:eastAsia="Times New Roman" w:hint="default"/>
                <w:sz w:val="18"/>
                <w:szCs w:val="18"/>
              </w:rPr>
            </w:pPr>
            <w:r>
              <w:rPr>
                <w:rFonts w:ascii="Times New Roman"/>
                <w:sz w:val="18"/>
              </w:rPr>
              <w:t>5,040,000.00</w:t>
            </w:r>
          </w:p>
        </w:tc>
      </w:tr>
      <w:tr>
        <w:trPr>
          <w:trHeight w:val="288"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179"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中体同方体育科技有限公司</w:t>
              <w:tab/>
            </w:r>
            <w:r>
              <w:rPr>
                <w:rFonts w:ascii="Times New Roman" w:hAnsi="Times New Roman" w:cs="Times New Roman" w:eastAsia="Times New Roman" w:hint="default"/>
                <w:sz w:val="18"/>
                <w:szCs w:val="18"/>
              </w:rPr>
              <w:t>1,891,615.46</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102" w:right="0"/>
              <w:jc w:val="left"/>
              <w:rPr>
                <w:rFonts w:ascii="Times New Roman" w:hAnsi="Times New Roman" w:cs="Times New Roman" w:eastAsia="Times New Roman" w:hint="default"/>
                <w:sz w:val="18"/>
                <w:szCs w:val="18"/>
              </w:rPr>
            </w:pPr>
            <w:r>
              <w:rPr>
                <w:rFonts w:ascii="Times New Roman"/>
                <w:sz w:val="18"/>
              </w:rPr>
              <w:t>1,891,615.46</w:t>
            </w:r>
          </w:p>
        </w:tc>
      </w:tr>
      <w:tr>
        <w:trPr>
          <w:trHeight w:val="278"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322" w:val="left" w:leader="none"/>
              </w:tabs>
              <w:spacing w:line="240" w:lineRule="auto" w:before="28"/>
              <w:ind w:left="386" w:right="0"/>
              <w:jc w:val="left"/>
              <w:rPr>
                <w:rFonts w:ascii="Times New Roman" w:hAnsi="Times New Roman" w:cs="Times New Roman" w:eastAsia="Times New Roman" w:hint="default"/>
                <w:sz w:val="18"/>
                <w:szCs w:val="18"/>
              </w:rPr>
            </w:pPr>
            <w:r>
              <w:rPr>
                <w:rFonts w:ascii="Times New Roman"/>
                <w:sz w:val="18"/>
              </w:rPr>
              <w:t>Technovator Int. Private</w:t>
            </w:r>
            <w:r>
              <w:rPr>
                <w:rFonts w:ascii="Times New Roman"/>
                <w:spacing w:val="-16"/>
                <w:sz w:val="18"/>
              </w:rPr>
              <w:t> </w:t>
            </w:r>
            <w:r>
              <w:rPr>
                <w:rFonts w:ascii="Times New Roman"/>
                <w:sz w:val="18"/>
              </w:rPr>
              <w:t>Ltd.</w:t>
              <w:tab/>
              <w:t>663,112.00</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245" w:right="0"/>
              <w:jc w:val="left"/>
              <w:rPr>
                <w:rFonts w:ascii="Times New Roman" w:hAnsi="Times New Roman" w:cs="Times New Roman" w:eastAsia="Times New Roman" w:hint="default"/>
                <w:sz w:val="18"/>
                <w:szCs w:val="18"/>
              </w:rPr>
            </w:pPr>
            <w:r>
              <w:rPr>
                <w:rFonts w:ascii="Times New Roman"/>
                <w:sz w:val="18"/>
              </w:rPr>
              <w:t>663,112.00</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179"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清芯光电有限公司</w:t>
              <w:tab/>
            </w:r>
            <w:r>
              <w:rPr>
                <w:rFonts w:ascii="Times New Roman" w:hAnsi="Times New Roman" w:cs="Times New Roman" w:eastAsia="Times New Roman" w:hint="default"/>
                <w:sz w:val="18"/>
                <w:szCs w:val="18"/>
              </w:rPr>
              <w:t>4,041,174.42</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102" w:right="0"/>
              <w:jc w:val="left"/>
              <w:rPr>
                <w:rFonts w:ascii="Times New Roman" w:hAnsi="Times New Roman" w:cs="Times New Roman" w:eastAsia="Times New Roman" w:hint="default"/>
                <w:sz w:val="18"/>
                <w:szCs w:val="18"/>
              </w:rPr>
            </w:pPr>
            <w:r>
              <w:rPr>
                <w:rFonts w:ascii="Times New Roman"/>
                <w:sz w:val="18"/>
              </w:rPr>
              <w:t>4,041,174.42</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313"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同方人工环境有限公司</w:t>
              <w:tab/>
            </w:r>
            <w:r>
              <w:rPr>
                <w:rFonts w:ascii="Times New Roman" w:hAnsi="Times New Roman" w:cs="Times New Roman" w:eastAsia="Times New Roman" w:hint="default"/>
                <w:sz w:val="18"/>
                <w:szCs w:val="18"/>
              </w:rPr>
              <w:t>375,077.30</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237" w:right="0"/>
              <w:jc w:val="left"/>
              <w:rPr>
                <w:rFonts w:ascii="Times New Roman" w:hAnsi="Times New Roman" w:cs="Times New Roman" w:eastAsia="Times New Roman" w:hint="default"/>
                <w:sz w:val="18"/>
                <w:szCs w:val="18"/>
              </w:rPr>
            </w:pPr>
            <w:r>
              <w:rPr>
                <w:rFonts w:ascii="Times New Roman"/>
                <w:sz w:val="18"/>
              </w:rPr>
              <w:t>375,077.30</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179"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北京同方电子商务有限公司</w:t>
              <w:tab/>
            </w:r>
            <w:r>
              <w:rPr>
                <w:rFonts w:ascii="Times New Roman" w:hAnsi="Times New Roman" w:cs="Times New Roman" w:eastAsia="Times New Roman" w:hint="default"/>
                <w:sz w:val="18"/>
                <w:szCs w:val="18"/>
              </w:rPr>
              <w:t>4,854,778.31</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102" w:right="0"/>
              <w:jc w:val="left"/>
              <w:rPr>
                <w:rFonts w:ascii="Times New Roman" w:hAnsi="Times New Roman" w:cs="Times New Roman" w:eastAsia="Times New Roman" w:hint="default"/>
                <w:sz w:val="18"/>
                <w:szCs w:val="18"/>
              </w:rPr>
            </w:pPr>
            <w:r>
              <w:rPr>
                <w:rFonts w:ascii="Times New Roman"/>
                <w:sz w:val="18"/>
              </w:rPr>
              <w:t>4,854,778.31</w:t>
            </w:r>
          </w:p>
        </w:tc>
      </w:tr>
      <w:tr>
        <w:trPr>
          <w:trHeight w:val="289"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089"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泰豪科技股份有限公司</w:t>
              <w:tab/>
            </w:r>
            <w:r>
              <w:rPr>
                <w:rFonts w:ascii="Times New Roman" w:hAnsi="Times New Roman" w:cs="Times New Roman" w:eastAsia="Times New Roman" w:hint="default"/>
                <w:sz w:val="18"/>
                <w:szCs w:val="18"/>
              </w:rPr>
              <w:t>18,158,296.64</w:t>
            </w:r>
          </w:p>
        </w:tc>
        <w:tc>
          <w:tcPr>
            <w:tcW w:w="214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1012" w:right="0"/>
              <w:jc w:val="left"/>
              <w:rPr>
                <w:rFonts w:ascii="Times New Roman" w:hAnsi="Times New Roman" w:cs="Times New Roman" w:eastAsia="Times New Roman" w:hint="default"/>
                <w:sz w:val="18"/>
                <w:szCs w:val="18"/>
              </w:rPr>
            </w:pPr>
            <w:r>
              <w:rPr>
                <w:rFonts w:ascii="Times New Roman"/>
                <w:sz w:val="18"/>
              </w:rPr>
              <w:t>18,158,296.64</w:t>
            </w:r>
          </w:p>
        </w:tc>
      </w:tr>
      <w:tr>
        <w:trPr>
          <w:trHeight w:val="30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000" w:val="left" w:leader="none"/>
              </w:tabs>
              <w:spacing w:line="251" w:lineRule="exact"/>
              <w:ind w:left="386"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147,978,620.68</w:t>
            </w:r>
            <w:r>
              <w:rPr>
                <w:rFonts w:ascii="Times New Roman" w:hAnsi="Times New Roman" w:cs="Times New Roman" w:eastAsia="Times New Roman" w:hint="default"/>
                <w:sz w:val="18"/>
                <w:szCs w:val="18"/>
              </w:rPr>
            </w:r>
          </w:p>
        </w:tc>
        <w:tc>
          <w:tcPr>
            <w:tcW w:w="2149"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012" w:right="0"/>
              <w:jc w:val="left"/>
              <w:rPr>
                <w:rFonts w:ascii="Times New Roman" w:hAnsi="Times New Roman" w:cs="Times New Roman" w:eastAsia="Times New Roman" w:hint="default"/>
                <w:sz w:val="18"/>
                <w:szCs w:val="18"/>
              </w:rPr>
            </w:pPr>
            <w:r>
              <w:rPr>
                <w:rFonts w:ascii="Times New Roman"/>
                <w:b/>
                <w:sz w:val="18"/>
              </w:rPr>
              <w:t>60,887,029.35</w:t>
            </w:r>
            <w:r>
              <w:rPr>
                <w:rFonts w:ascii="Times New Roman"/>
                <w:sz w:val="18"/>
              </w:rPr>
            </w:r>
          </w:p>
        </w:tc>
      </w:tr>
      <w:tr>
        <w:trPr>
          <w:trHeight w:val="576"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440"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19.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长期待摊费用</w:t>
            </w:r>
          </w:p>
        </w:tc>
        <w:tc>
          <w:tcPr>
            <w:tcW w:w="2149" w:type="dxa"/>
            <w:gridSpan w:val="2"/>
            <w:tcBorders>
              <w:top w:val="single" w:sz="12" w:space="0" w:color="000000"/>
              <w:left w:val="nil" w:sz="6" w:space="0" w:color="auto"/>
              <w:bottom w:val="single" w:sz="12" w:space="0" w:color="000000"/>
              <w:right w:val="nil" w:sz="6" w:space="0" w:color="auto"/>
            </w:tcBorders>
          </w:tcPr>
          <w:p>
            <w:pPr/>
          </w:p>
        </w:tc>
      </w:tr>
      <w:tr>
        <w:trPr>
          <w:trHeight w:val="30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4970" w:val="left" w:leader="none"/>
              </w:tabs>
              <w:spacing w:line="261" w:lineRule="exact"/>
              <w:ind w:left="3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年末金额</w:t>
            </w:r>
            <w:r>
              <w:rPr>
                <w:rFonts w:ascii="Microsoft JhengHei" w:hAnsi="Microsoft JhengHei" w:cs="Microsoft JhengHei" w:eastAsia="Microsoft JhengHei" w:hint="default"/>
                <w:sz w:val="18"/>
                <w:szCs w:val="18"/>
              </w:rPr>
            </w:r>
          </w:p>
        </w:tc>
        <w:tc>
          <w:tcPr>
            <w:tcW w:w="2149"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0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4898" w:val="left" w:leader="none"/>
              </w:tabs>
              <w:spacing w:line="244"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办公楼装修改造费</w:t>
              <w:tab/>
            </w:r>
            <w:r>
              <w:rPr>
                <w:rFonts w:ascii="Times New Roman" w:hAnsi="Times New Roman" w:cs="Times New Roman" w:eastAsia="Times New Roman" w:hint="default"/>
                <w:sz w:val="18"/>
                <w:szCs w:val="18"/>
              </w:rPr>
              <w:t>15,666,704.29</w:t>
            </w:r>
          </w:p>
        </w:tc>
        <w:tc>
          <w:tcPr>
            <w:tcW w:w="214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1102" w:right="0"/>
              <w:jc w:val="left"/>
              <w:rPr>
                <w:rFonts w:ascii="Times New Roman" w:hAnsi="Times New Roman" w:cs="Times New Roman" w:eastAsia="Times New Roman" w:hint="default"/>
                <w:sz w:val="18"/>
                <w:szCs w:val="18"/>
              </w:rPr>
            </w:pPr>
            <w:r>
              <w:rPr>
                <w:rFonts w:ascii="Times New Roman"/>
                <w:sz w:val="18"/>
              </w:rPr>
              <w:t>6,072,280.81</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4898"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清华大学土地租金</w:t>
              <w:tab/>
            </w:r>
            <w:r>
              <w:rPr>
                <w:rFonts w:ascii="Times New Roman" w:hAnsi="Times New Roman" w:cs="Times New Roman" w:eastAsia="Times New Roman" w:hint="default"/>
                <w:sz w:val="18"/>
                <w:szCs w:val="18"/>
              </w:rPr>
              <w:t>12,623,869.70</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012" w:right="0"/>
              <w:jc w:val="left"/>
              <w:rPr>
                <w:rFonts w:ascii="Times New Roman" w:hAnsi="Times New Roman" w:cs="Times New Roman" w:eastAsia="Times New Roman" w:hint="default"/>
                <w:sz w:val="18"/>
                <w:szCs w:val="18"/>
              </w:rPr>
            </w:pPr>
            <w:r>
              <w:rPr>
                <w:rFonts w:ascii="Times New Roman"/>
                <w:sz w:val="18"/>
              </w:rPr>
              <w:t>12,990,743.60</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4988"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超低能耗示范楼使用权</w:t>
              <w:tab/>
            </w:r>
            <w:r>
              <w:rPr>
                <w:rFonts w:ascii="Times New Roman" w:hAnsi="Times New Roman" w:cs="Times New Roman" w:eastAsia="Times New Roman" w:hint="default"/>
                <w:sz w:val="18"/>
                <w:szCs w:val="18"/>
              </w:rPr>
              <w:t>5,000,000.00</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4988"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清华大学房屋租金</w:t>
              <w:tab/>
            </w:r>
            <w:r>
              <w:rPr>
                <w:rFonts w:ascii="Times New Roman" w:hAnsi="Times New Roman" w:cs="Times New Roman" w:eastAsia="Times New Roman" w:hint="default"/>
                <w:sz w:val="18"/>
                <w:szCs w:val="18"/>
              </w:rPr>
              <w:t>2,702,786.45</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102" w:right="0"/>
              <w:jc w:val="left"/>
              <w:rPr>
                <w:rFonts w:ascii="Times New Roman" w:hAnsi="Times New Roman" w:cs="Times New Roman" w:eastAsia="Times New Roman" w:hint="default"/>
                <w:sz w:val="18"/>
                <w:szCs w:val="18"/>
              </w:rPr>
            </w:pPr>
            <w:r>
              <w:rPr>
                <w:rFonts w:ascii="Times New Roman"/>
                <w:sz w:val="18"/>
              </w:rPr>
              <w:t>3,378,483.17</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122"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设计改造费</w:t>
              <w:tab/>
            </w:r>
            <w:r>
              <w:rPr>
                <w:rFonts w:ascii="Times New Roman" w:hAnsi="Times New Roman" w:cs="Times New Roman" w:eastAsia="Times New Roman" w:hint="default"/>
                <w:sz w:val="18"/>
                <w:szCs w:val="18"/>
              </w:rPr>
              <w:t>588,727.10</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102" w:right="0"/>
              <w:jc w:val="left"/>
              <w:rPr>
                <w:rFonts w:ascii="Times New Roman" w:hAnsi="Times New Roman" w:cs="Times New Roman" w:eastAsia="Times New Roman" w:hint="default"/>
                <w:sz w:val="18"/>
                <w:szCs w:val="18"/>
              </w:rPr>
            </w:pPr>
            <w:r>
              <w:rPr>
                <w:rFonts w:ascii="Times New Roman"/>
                <w:sz w:val="18"/>
              </w:rPr>
              <w:t>1,668,397.59</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122"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培训费</w:t>
              <w:tab/>
            </w:r>
            <w:r>
              <w:rPr>
                <w:rFonts w:ascii="Times New Roman" w:hAnsi="Times New Roman" w:cs="Times New Roman" w:eastAsia="Times New Roman" w:hint="default"/>
                <w:sz w:val="18"/>
                <w:szCs w:val="18"/>
              </w:rPr>
              <w:t>305,555.54</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102" w:right="0"/>
              <w:jc w:val="left"/>
              <w:rPr>
                <w:rFonts w:ascii="Times New Roman" w:hAnsi="Times New Roman" w:cs="Times New Roman" w:eastAsia="Times New Roman" w:hint="default"/>
                <w:sz w:val="18"/>
                <w:szCs w:val="18"/>
              </w:rPr>
            </w:pPr>
            <w:r>
              <w:rPr>
                <w:rFonts w:ascii="Times New Roman"/>
                <w:sz w:val="18"/>
              </w:rPr>
              <w:t>1,222,222.22</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5618"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数字酒店系统部署费</w:t>
            </w:r>
            <w:r>
              <w:rPr>
                <w:rFonts w:ascii="Times New Roman" w:hAnsi="Times New Roman" w:cs="Times New Roman" w:eastAsia="Times New Roman" w:hint="default"/>
                <w:sz w:val="18"/>
                <w:szCs w:val="18"/>
              </w:rPr>
              <w:tab/>
              <w:t>0.00</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102" w:right="0"/>
              <w:jc w:val="left"/>
              <w:rPr>
                <w:rFonts w:ascii="Times New Roman" w:hAnsi="Times New Roman" w:cs="Times New Roman" w:eastAsia="Times New Roman" w:hint="default"/>
                <w:sz w:val="18"/>
                <w:szCs w:val="18"/>
              </w:rPr>
            </w:pPr>
            <w:r>
              <w:rPr>
                <w:rFonts w:ascii="Times New Roman"/>
                <w:sz w:val="18"/>
              </w:rPr>
              <w:t>9,728,482.08</w:t>
            </w:r>
          </w:p>
        </w:tc>
      </w:tr>
      <w:tr>
        <w:trPr>
          <w:trHeight w:val="289"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4988" w:val="left" w:leader="none"/>
              </w:tabs>
              <w:spacing w:line="240" w:lineRule="exact"/>
              <w:ind w:left="386"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其他</w:t>
              <w:tab/>
            </w:r>
            <w:r>
              <w:rPr>
                <w:rFonts w:ascii="Times New Roman" w:hAnsi="Times New Roman" w:cs="Times New Roman" w:eastAsia="Times New Roman" w:hint="default"/>
                <w:sz w:val="18"/>
                <w:szCs w:val="18"/>
              </w:rPr>
              <w:t>2,545,105.89</w:t>
            </w:r>
          </w:p>
        </w:tc>
        <w:tc>
          <w:tcPr>
            <w:tcW w:w="214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1102" w:right="0"/>
              <w:jc w:val="left"/>
              <w:rPr>
                <w:rFonts w:ascii="Times New Roman" w:hAnsi="Times New Roman" w:cs="Times New Roman" w:eastAsia="Times New Roman" w:hint="default"/>
                <w:sz w:val="18"/>
                <w:szCs w:val="18"/>
              </w:rPr>
            </w:pPr>
            <w:r>
              <w:rPr>
                <w:rFonts w:ascii="Times New Roman"/>
                <w:sz w:val="18"/>
              </w:rPr>
              <w:t>3,754,224.30</w:t>
            </w:r>
          </w:p>
        </w:tc>
      </w:tr>
      <w:tr>
        <w:trPr>
          <w:trHeight w:val="30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4898" w:val="left" w:leader="none"/>
              </w:tabs>
              <w:spacing w:line="251" w:lineRule="exact"/>
              <w:ind w:left="386"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39,432,748.97</w:t>
            </w:r>
            <w:r>
              <w:rPr>
                <w:rFonts w:ascii="Times New Roman" w:hAnsi="Times New Roman" w:cs="Times New Roman" w:eastAsia="Times New Roman" w:hint="default"/>
                <w:sz w:val="18"/>
                <w:szCs w:val="18"/>
              </w:rPr>
            </w:r>
          </w:p>
        </w:tc>
        <w:tc>
          <w:tcPr>
            <w:tcW w:w="2149"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012" w:right="0"/>
              <w:jc w:val="left"/>
              <w:rPr>
                <w:rFonts w:ascii="Times New Roman" w:hAnsi="Times New Roman" w:cs="Times New Roman" w:eastAsia="Times New Roman" w:hint="default"/>
                <w:sz w:val="18"/>
                <w:szCs w:val="18"/>
              </w:rPr>
            </w:pPr>
            <w:r>
              <w:rPr>
                <w:rFonts w:ascii="Times New Roman"/>
                <w:b/>
                <w:sz w:val="18"/>
              </w:rPr>
              <w:t>38,814,833.77</w:t>
            </w:r>
            <w:r>
              <w:rPr>
                <w:rFonts w:ascii="Times New Roman"/>
                <w:sz w:val="18"/>
              </w:rPr>
            </w:r>
          </w:p>
        </w:tc>
      </w:tr>
      <w:tr>
        <w:trPr>
          <w:trHeight w:val="528"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440"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20.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递延所得税资产和递延所得税负债</w:t>
            </w:r>
          </w:p>
        </w:tc>
        <w:tc>
          <w:tcPr>
            <w:tcW w:w="2149" w:type="dxa"/>
            <w:gridSpan w:val="2"/>
            <w:tcBorders>
              <w:top w:val="single" w:sz="12" w:space="0" w:color="000000"/>
              <w:left w:val="nil" w:sz="6" w:space="0" w:color="auto"/>
              <w:bottom w:val="nil" w:sz="6" w:space="0" w:color="auto"/>
              <w:right w:val="nil" w:sz="6" w:space="0" w:color="auto"/>
            </w:tcBorders>
          </w:tcPr>
          <w:p>
            <w:pPr/>
          </w:p>
        </w:tc>
      </w:tr>
      <w:tr>
        <w:trPr>
          <w:trHeight w:val="516" w:hRule="exact"/>
        </w:trPr>
        <w:tc>
          <w:tcPr>
            <w:tcW w:w="676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50"/>
              <w:ind w:left="453"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已确认递延所得税资产和递延所得税负债</w:t>
            </w:r>
          </w:p>
        </w:tc>
        <w:tc>
          <w:tcPr>
            <w:tcW w:w="2149" w:type="dxa"/>
            <w:gridSpan w:val="2"/>
            <w:tcBorders>
              <w:top w:val="nil" w:sz="6" w:space="0" w:color="auto"/>
              <w:left w:val="nil" w:sz="6" w:space="0" w:color="auto"/>
              <w:bottom w:val="nil" w:sz="6" w:space="0" w:color="auto"/>
              <w:right w:val="nil" w:sz="6" w:space="0" w:color="auto"/>
            </w:tcBorders>
          </w:tcPr>
          <w:p>
            <w:pPr/>
          </w:p>
        </w:tc>
      </w:tr>
      <w:tr>
        <w:trPr>
          <w:trHeight w:val="303" w:hRule="exact"/>
        </w:trPr>
        <w:tc>
          <w:tcPr>
            <w:tcW w:w="6767" w:type="dxa"/>
            <w:gridSpan w:val="2"/>
            <w:tcBorders>
              <w:top w:val="single" w:sz="12" w:space="0" w:color="000000"/>
              <w:left w:val="nil" w:sz="6" w:space="0" w:color="auto"/>
              <w:bottom w:val="single" w:sz="4" w:space="0" w:color="000000"/>
              <w:right w:val="nil" w:sz="6" w:space="0" w:color="auto"/>
            </w:tcBorders>
          </w:tcPr>
          <w:p>
            <w:pPr>
              <w:pStyle w:val="TableParagraph"/>
              <w:tabs>
                <w:tab w:pos="4729"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年末金额</w:t>
            </w:r>
            <w:r>
              <w:rPr>
                <w:rFonts w:ascii="Microsoft JhengHei" w:hAnsi="Microsoft JhengHei" w:cs="Microsoft JhengHei" w:eastAsia="Microsoft JhengHei" w:hint="default"/>
                <w:sz w:val="18"/>
                <w:szCs w:val="18"/>
              </w:rPr>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8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2" w:hRule="exact"/>
        </w:trPr>
        <w:tc>
          <w:tcPr>
            <w:tcW w:w="6767"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一、递延所得税资产</w:t>
            </w:r>
          </w:p>
        </w:tc>
        <w:tc>
          <w:tcPr>
            <w:tcW w:w="2149" w:type="dxa"/>
            <w:gridSpan w:val="2"/>
            <w:tcBorders>
              <w:top w:val="nil" w:sz="6" w:space="0" w:color="auto"/>
              <w:left w:val="nil" w:sz="6" w:space="0" w:color="auto"/>
              <w:bottom w:val="nil" w:sz="6" w:space="0" w:color="auto"/>
              <w:right w:val="nil" w:sz="6" w:space="0" w:color="auto"/>
            </w:tcBorders>
          </w:tcPr>
          <w:p>
            <w:pPr/>
          </w:p>
        </w:tc>
      </w:tr>
      <w:tr>
        <w:trPr>
          <w:trHeight w:val="288"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4568" w:val="left" w:leader="none"/>
              </w:tabs>
              <w:spacing w:line="245"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可抵扣暂时性差异之所得税资产</w:t>
              <w:tab/>
            </w:r>
            <w:r>
              <w:rPr>
                <w:rFonts w:ascii="Times New Roman" w:hAnsi="Times New Roman" w:cs="Times New Roman" w:eastAsia="Times New Roman" w:hint="default"/>
                <w:sz w:val="18"/>
                <w:szCs w:val="18"/>
              </w:rPr>
              <w:t>107,913,527.37</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729" w:right="0"/>
              <w:jc w:val="left"/>
              <w:rPr>
                <w:rFonts w:ascii="Times New Roman" w:hAnsi="Times New Roman" w:cs="Times New Roman" w:eastAsia="Times New Roman" w:hint="default"/>
                <w:sz w:val="18"/>
                <w:szCs w:val="18"/>
              </w:rPr>
            </w:pPr>
            <w:r>
              <w:rPr>
                <w:rFonts w:ascii="Times New Roman"/>
                <w:sz w:val="18"/>
              </w:rPr>
              <w:t>89,652,238.57</w:t>
            </w:r>
          </w:p>
        </w:tc>
      </w:tr>
      <w:tr>
        <w:trPr>
          <w:trHeight w:val="283"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tabs>
                <w:tab w:pos="4753" w:val="left" w:leader="none"/>
              </w:tabs>
              <w:spacing w:line="240"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特殊项目暂时性差异之所得税资产</w:t>
              <w:tab/>
            </w:r>
            <w:r>
              <w:rPr>
                <w:rFonts w:ascii="Times New Roman" w:hAnsi="Times New Roman" w:cs="Times New Roman" w:eastAsia="Times New Roman" w:hint="default"/>
                <w:sz w:val="18"/>
                <w:szCs w:val="18"/>
              </w:rPr>
              <w:t>7,114,174.20</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729" w:right="0"/>
              <w:jc w:val="left"/>
              <w:rPr>
                <w:rFonts w:ascii="Times New Roman" w:hAnsi="Times New Roman" w:cs="Times New Roman" w:eastAsia="Times New Roman" w:hint="default"/>
                <w:sz w:val="18"/>
                <w:szCs w:val="18"/>
              </w:rPr>
            </w:pPr>
            <w:r>
              <w:rPr>
                <w:rFonts w:ascii="Times New Roman"/>
                <w:sz w:val="18"/>
              </w:rPr>
              <w:t>14,870,736.29</w:t>
            </w:r>
          </w:p>
        </w:tc>
      </w:tr>
      <w:tr>
        <w:trPr>
          <w:trHeight w:val="288" w:hRule="exact"/>
        </w:trPr>
        <w:tc>
          <w:tcPr>
            <w:tcW w:w="6767" w:type="dxa"/>
            <w:gridSpan w:val="2"/>
            <w:tcBorders>
              <w:top w:val="nil" w:sz="6" w:space="0" w:color="auto"/>
              <w:left w:val="nil" w:sz="6" w:space="0" w:color="auto"/>
              <w:bottom w:val="single" w:sz="4" w:space="0" w:color="000000"/>
              <w:right w:val="nil" w:sz="6" w:space="0" w:color="auto"/>
            </w:tcBorders>
          </w:tcPr>
          <w:p>
            <w:pPr>
              <w:pStyle w:val="TableParagraph"/>
              <w:tabs>
                <w:tab w:pos="4577" w:val="left" w:leader="none"/>
              </w:tabs>
              <w:spacing w:line="247"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115,027,701.57</w:t>
            </w:r>
            <w:r>
              <w:rPr>
                <w:rFonts w:ascii="Times New Roman" w:hAnsi="Times New Roman" w:cs="Times New Roman" w:eastAsia="Times New Roman" w:hint="default"/>
                <w:sz w:val="18"/>
                <w:szCs w:val="18"/>
              </w:rPr>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640" w:right="0"/>
              <w:jc w:val="left"/>
              <w:rPr>
                <w:rFonts w:ascii="Times New Roman" w:hAnsi="Times New Roman" w:cs="Times New Roman" w:eastAsia="Times New Roman" w:hint="default"/>
                <w:sz w:val="18"/>
                <w:szCs w:val="18"/>
              </w:rPr>
            </w:pPr>
            <w:r>
              <w:rPr>
                <w:rFonts w:ascii="Times New Roman"/>
                <w:b/>
                <w:sz w:val="18"/>
              </w:rPr>
              <w:t>104,522,974.86</w:t>
            </w:r>
            <w:r>
              <w:rPr>
                <w:rFonts w:ascii="Times New Roman"/>
                <w:sz w:val="18"/>
              </w:rPr>
            </w:r>
          </w:p>
        </w:tc>
      </w:tr>
      <w:tr>
        <w:trPr>
          <w:trHeight w:val="283" w:hRule="exact"/>
        </w:trPr>
        <w:tc>
          <w:tcPr>
            <w:tcW w:w="6767"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二、递延所得税负债</w:t>
            </w:r>
          </w:p>
        </w:tc>
        <w:tc>
          <w:tcPr>
            <w:tcW w:w="2149" w:type="dxa"/>
            <w:gridSpan w:val="2"/>
            <w:tcBorders>
              <w:top w:val="nil" w:sz="6" w:space="0" w:color="auto"/>
              <w:left w:val="nil" w:sz="6" w:space="0" w:color="auto"/>
              <w:bottom w:val="nil" w:sz="6" w:space="0" w:color="auto"/>
              <w:right w:val="nil" w:sz="6" w:space="0" w:color="auto"/>
            </w:tcBorders>
          </w:tcPr>
          <w:p>
            <w:pPr/>
          </w:p>
        </w:tc>
      </w:tr>
      <w:tr>
        <w:trPr>
          <w:trHeight w:val="293" w:hRule="exact"/>
        </w:trPr>
        <w:tc>
          <w:tcPr>
            <w:tcW w:w="6767" w:type="dxa"/>
            <w:gridSpan w:val="2"/>
            <w:tcBorders>
              <w:top w:val="nil" w:sz="6" w:space="0" w:color="auto"/>
              <w:left w:val="nil" w:sz="6" w:space="0" w:color="auto"/>
              <w:bottom w:val="single" w:sz="4" w:space="0" w:color="000000"/>
              <w:right w:val="nil" w:sz="6" w:space="0" w:color="auto"/>
            </w:tcBorders>
          </w:tcPr>
          <w:p>
            <w:pPr>
              <w:pStyle w:val="TableParagraph"/>
              <w:tabs>
                <w:tab w:pos="4657" w:val="left" w:leader="none"/>
              </w:tabs>
              <w:spacing w:line="246"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应纳税暂时性差异之所得税负债</w:t>
              <w:tab/>
            </w:r>
            <w:r>
              <w:rPr>
                <w:rFonts w:ascii="Times New Roman" w:hAnsi="Times New Roman" w:cs="Times New Roman" w:eastAsia="Times New Roman" w:hint="default"/>
                <w:sz w:val="18"/>
                <w:szCs w:val="18"/>
              </w:rPr>
              <w:t>13,736,321.72</w:t>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729" w:right="0"/>
              <w:jc w:val="left"/>
              <w:rPr>
                <w:rFonts w:ascii="Times New Roman" w:hAnsi="Times New Roman" w:cs="Times New Roman" w:eastAsia="Times New Roman" w:hint="default"/>
                <w:sz w:val="18"/>
                <w:szCs w:val="18"/>
              </w:rPr>
            </w:pPr>
            <w:r>
              <w:rPr>
                <w:rFonts w:ascii="Times New Roman"/>
                <w:sz w:val="18"/>
              </w:rPr>
              <w:t>20,626,226.93</w:t>
            </w:r>
          </w:p>
        </w:tc>
      </w:tr>
      <w:tr>
        <w:trPr>
          <w:trHeight w:val="304" w:hRule="exact"/>
        </w:trPr>
        <w:tc>
          <w:tcPr>
            <w:tcW w:w="6767" w:type="dxa"/>
            <w:gridSpan w:val="2"/>
            <w:tcBorders>
              <w:top w:val="single" w:sz="4" w:space="0" w:color="000000"/>
              <w:left w:val="nil" w:sz="6" w:space="0" w:color="auto"/>
              <w:bottom w:val="single" w:sz="12" w:space="0" w:color="000000"/>
              <w:right w:val="nil" w:sz="6" w:space="0" w:color="auto"/>
            </w:tcBorders>
          </w:tcPr>
          <w:p>
            <w:pPr>
              <w:pStyle w:val="TableParagraph"/>
              <w:tabs>
                <w:tab w:pos="4657" w:val="left" w:leader="none"/>
              </w:tabs>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13,736,321.72</w:t>
            </w:r>
            <w:r>
              <w:rPr>
                <w:rFonts w:ascii="Times New Roman" w:hAnsi="Times New Roman" w:cs="Times New Roman" w:eastAsia="Times New Roman" w:hint="default"/>
                <w:sz w:val="18"/>
                <w:szCs w:val="18"/>
              </w:rPr>
            </w:r>
          </w:p>
        </w:tc>
        <w:tc>
          <w:tcPr>
            <w:tcW w:w="21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729" w:right="0"/>
              <w:jc w:val="left"/>
              <w:rPr>
                <w:rFonts w:ascii="Times New Roman" w:hAnsi="Times New Roman" w:cs="Times New Roman" w:eastAsia="Times New Roman" w:hint="default"/>
                <w:sz w:val="18"/>
                <w:szCs w:val="18"/>
              </w:rPr>
            </w:pPr>
            <w:r>
              <w:rPr>
                <w:rFonts w:ascii="Times New Roman"/>
                <w:b/>
                <w:sz w:val="18"/>
              </w:rPr>
              <w:t>20,626,226.93</w:t>
            </w:r>
            <w:r>
              <w:rPr>
                <w:rFonts w:ascii="Times New Roman"/>
                <w:sz w:val="18"/>
              </w:rPr>
            </w:r>
          </w:p>
        </w:tc>
      </w:tr>
      <w:tr>
        <w:trPr>
          <w:trHeight w:val="576" w:hRule="exact"/>
        </w:trPr>
        <w:tc>
          <w:tcPr>
            <w:tcW w:w="6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453"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暂时性差异</w:t>
            </w:r>
          </w:p>
        </w:tc>
        <w:tc>
          <w:tcPr>
            <w:tcW w:w="2149" w:type="dxa"/>
            <w:gridSpan w:val="2"/>
            <w:tcBorders>
              <w:top w:val="nil" w:sz="6" w:space="0" w:color="auto"/>
              <w:left w:val="nil" w:sz="6" w:space="0" w:color="auto"/>
              <w:bottom w:val="nil" w:sz="6" w:space="0" w:color="auto"/>
              <w:right w:val="nil" w:sz="6" w:space="0" w:color="auto"/>
            </w:tcBorders>
          </w:tcPr>
          <w:p>
            <w:pPr/>
          </w:p>
        </w:tc>
      </w:tr>
      <w:tr>
        <w:trPr>
          <w:trHeight w:val="302" w:hRule="exact"/>
        </w:trPr>
        <w:tc>
          <w:tcPr>
            <w:tcW w:w="343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33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8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283" w:type="dxa"/>
            <w:tcBorders>
              <w:top w:val="nil" w:sz="6" w:space="0" w:color="auto"/>
              <w:left w:val="nil" w:sz="6" w:space="0" w:color="auto"/>
              <w:bottom w:val="nil" w:sz="6" w:space="0" w:color="auto"/>
              <w:right w:val="nil" w:sz="6" w:space="0" w:color="auto"/>
            </w:tcBorders>
          </w:tcPr>
          <w:p>
            <w:pPr/>
          </w:p>
        </w:tc>
      </w:tr>
      <w:tr>
        <w:trPr>
          <w:trHeight w:val="283" w:hRule="exact"/>
        </w:trPr>
        <w:tc>
          <w:tcPr>
            <w:tcW w:w="3432"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一、可抵扣暂时性差异项目</w:t>
            </w:r>
            <w:r>
              <w:rPr>
                <w:rFonts w:ascii="Microsoft JhengHei" w:hAnsi="Microsoft JhengHei" w:cs="Microsoft JhengHei" w:eastAsia="Microsoft JhengHei" w:hint="default"/>
                <w:sz w:val="18"/>
                <w:szCs w:val="18"/>
              </w:rPr>
            </w:r>
          </w:p>
        </w:tc>
        <w:tc>
          <w:tcPr>
            <w:tcW w:w="3334" w:type="dxa"/>
            <w:tcBorders>
              <w:top w:val="single" w:sz="4" w:space="0" w:color="000000"/>
              <w:left w:val="nil" w:sz="6" w:space="0" w:color="auto"/>
              <w:bottom w:val="nil" w:sz="6" w:space="0" w:color="auto"/>
              <w:right w:val="nil" w:sz="6" w:space="0" w:color="auto"/>
            </w:tcBorders>
          </w:tcPr>
          <w:p>
            <w:pPr/>
          </w:p>
        </w:tc>
        <w:tc>
          <w:tcPr>
            <w:tcW w:w="1866"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r>
      <w:tr>
        <w:trPr>
          <w:trHeight w:val="288"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楷体" w:hAnsi="楷体" w:cs="楷体" w:eastAsia="楷体" w:hint="default"/>
                <w:sz w:val="18"/>
                <w:szCs w:val="18"/>
              </w:rPr>
            </w:pPr>
            <w:r>
              <w:rPr>
                <w:rFonts w:ascii="楷体" w:hAnsi="楷体" w:cs="楷体" w:eastAsia="楷体" w:hint="default"/>
                <w:sz w:val="18"/>
                <w:szCs w:val="18"/>
              </w:rPr>
              <w:t>坏账准备</w:t>
            </w:r>
          </w:p>
        </w:tc>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49"/>
              <w:jc w:val="right"/>
              <w:rPr>
                <w:rFonts w:ascii="Times New Roman" w:hAnsi="Times New Roman" w:cs="Times New Roman" w:eastAsia="Times New Roman" w:hint="default"/>
                <w:sz w:val="18"/>
                <w:szCs w:val="18"/>
              </w:rPr>
            </w:pPr>
            <w:r>
              <w:rPr>
                <w:rFonts w:ascii="Times New Roman"/>
                <w:spacing w:val="-1"/>
                <w:sz w:val="18"/>
              </w:rPr>
              <w:t>425,219,741.60</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pacing w:val="-1"/>
                <w:sz w:val="18"/>
              </w:rPr>
              <w:t>326,257,848.03</w:t>
            </w:r>
          </w:p>
        </w:tc>
        <w:tc>
          <w:tcPr>
            <w:tcW w:w="283" w:type="dxa"/>
            <w:tcBorders>
              <w:top w:val="nil" w:sz="6" w:space="0" w:color="auto"/>
              <w:left w:val="nil" w:sz="6" w:space="0" w:color="auto"/>
              <w:bottom w:val="nil" w:sz="6" w:space="0" w:color="auto"/>
              <w:right w:val="nil" w:sz="6" w:space="0" w:color="auto"/>
            </w:tcBorders>
          </w:tcPr>
          <w:p>
            <w:pP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存货跌价准备</w:t>
            </w:r>
          </w:p>
        </w:tc>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49"/>
              <w:jc w:val="right"/>
              <w:rPr>
                <w:rFonts w:ascii="Times New Roman" w:hAnsi="Times New Roman" w:cs="Times New Roman" w:eastAsia="Times New Roman" w:hint="default"/>
                <w:sz w:val="18"/>
                <w:szCs w:val="18"/>
              </w:rPr>
            </w:pPr>
            <w:r>
              <w:rPr>
                <w:rFonts w:ascii="Times New Roman"/>
                <w:spacing w:val="-1"/>
                <w:sz w:val="18"/>
              </w:rPr>
              <w:t>117,898,201.74</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116,369,813.36</w:t>
            </w:r>
          </w:p>
        </w:tc>
        <w:tc>
          <w:tcPr>
            <w:tcW w:w="283" w:type="dxa"/>
            <w:tcBorders>
              <w:top w:val="nil" w:sz="6" w:space="0" w:color="auto"/>
              <w:left w:val="nil" w:sz="6" w:space="0" w:color="auto"/>
              <w:bottom w:val="nil" w:sz="6" w:space="0" w:color="auto"/>
              <w:right w:val="nil" w:sz="6" w:space="0" w:color="auto"/>
            </w:tcBorders>
          </w:tcPr>
          <w:p>
            <w:pPr/>
          </w:p>
        </w:tc>
      </w:tr>
      <w:tr>
        <w:trPr>
          <w:trHeight w:val="299" w:hRule="exact"/>
        </w:trPr>
        <w:tc>
          <w:tcPr>
            <w:tcW w:w="3432" w:type="dxa"/>
            <w:tcBorders>
              <w:top w:val="nil" w:sz="6" w:space="0" w:color="auto"/>
              <w:left w:val="nil" w:sz="6" w:space="0" w:color="auto"/>
              <w:bottom w:val="single" w:sz="12"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长期股权投资减值准备</w:t>
            </w:r>
          </w:p>
        </w:tc>
        <w:tc>
          <w:tcPr>
            <w:tcW w:w="333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50"/>
              <w:jc w:val="right"/>
              <w:rPr>
                <w:rFonts w:ascii="Times New Roman" w:hAnsi="Times New Roman" w:cs="Times New Roman" w:eastAsia="Times New Roman" w:hint="default"/>
                <w:sz w:val="18"/>
                <w:szCs w:val="18"/>
              </w:rPr>
            </w:pPr>
            <w:r>
              <w:rPr>
                <w:rFonts w:ascii="Times New Roman"/>
                <w:spacing w:val="-1"/>
                <w:sz w:val="18"/>
              </w:rPr>
              <w:t>2,926,084.20</w:t>
            </w:r>
          </w:p>
        </w:tc>
        <w:tc>
          <w:tcPr>
            <w:tcW w:w="1866"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2,741,550.00</w:t>
            </w:r>
          </w:p>
        </w:tc>
        <w:tc>
          <w:tcPr>
            <w:tcW w:w="28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432"/>
        <w:gridCol w:w="3129"/>
        <w:gridCol w:w="2071"/>
      </w:tblGrid>
      <w:tr>
        <w:trPr>
          <w:trHeight w:val="302" w:hRule="exact"/>
        </w:trPr>
        <w:tc>
          <w:tcPr>
            <w:tcW w:w="343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12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2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07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432"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已核销的长期投资</w:t>
            </w:r>
          </w:p>
        </w:tc>
        <w:tc>
          <w:tcPr>
            <w:tcW w:w="312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45"/>
              <w:jc w:val="right"/>
              <w:rPr>
                <w:rFonts w:ascii="Times New Roman" w:hAnsi="Times New Roman" w:cs="Times New Roman" w:eastAsia="Times New Roman" w:hint="default"/>
                <w:sz w:val="18"/>
                <w:szCs w:val="18"/>
              </w:rPr>
            </w:pPr>
            <w:r>
              <w:rPr>
                <w:rFonts w:ascii="Times New Roman"/>
                <w:spacing w:val="-1"/>
                <w:sz w:val="18"/>
              </w:rPr>
              <w:t>1,506,670.44</w:t>
            </w:r>
          </w:p>
        </w:tc>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固定资产折旧</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z w:val="18"/>
              </w:rPr>
              <w:t>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191,879.82</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固定资产减值准备</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6,213,217.57</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6,225,509.52</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在建工程减值准备</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z w:val="18"/>
              </w:rPr>
              <w:t>37,595.23</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37,595.23</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无形资产减值准备</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4,624,298.70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4,624,298.70</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长期待摊费用</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14,274,638.49</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204,344.67</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预提费用</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37,489,708.42</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42,455,780.80</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已计提未发放应付职工薪酬</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45"/>
              <w:jc w:val="right"/>
              <w:rPr>
                <w:rFonts w:ascii="Times New Roman" w:hAnsi="Times New Roman" w:cs="Times New Roman" w:eastAsia="Times New Roman" w:hint="default"/>
                <w:sz w:val="18"/>
                <w:szCs w:val="18"/>
              </w:rPr>
            </w:pPr>
            <w:r>
              <w:rPr>
                <w:rFonts w:ascii="Times New Roman"/>
                <w:spacing w:val="-1"/>
                <w:sz w:val="18"/>
              </w:rPr>
              <w:t>83,243,412.07</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80,583,818.82</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预计负债</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1,192,260.00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12,479,915.80</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拨付的专项应付款</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16,530,000.00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13,400,000.00</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未实现销售损益</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z w:val="18"/>
              </w:rPr>
              <w:t>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2,860,625.00</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未实现融资收益</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1,253,155.45</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2,038,260.64</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递延收益</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1,773,417.00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3432" w:type="dxa"/>
            <w:tcBorders>
              <w:top w:val="nil" w:sz="6" w:space="0" w:color="auto"/>
              <w:left w:val="nil" w:sz="6" w:space="0" w:color="auto"/>
              <w:bottom w:val="single" w:sz="4" w:space="0" w:color="000000"/>
              <w:right w:val="nil" w:sz="6" w:space="0" w:color="auto"/>
            </w:tcBorders>
          </w:tcPr>
          <w:p>
            <w:pPr>
              <w:pStyle w:val="TableParagraph"/>
              <w:spacing w:line="247"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2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844"/>
              <w:jc w:val="right"/>
              <w:rPr>
                <w:rFonts w:ascii="Times New Roman" w:hAnsi="Times New Roman" w:cs="Times New Roman" w:eastAsia="Times New Roman" w:hint="default"/>
                <w:sz w:val="18"/>
                <w:szCs w:val="18"/>
              </w:rPr>
            </w:pPr>
            <w:r>
              <w:rPr>
                <w:rFonts w:ascii="Times New Roman"/>
                <w:b/>
                <w:spacing w:val="-1"/>
                <w:sz w:val="18"/>
              </w:rPr>
              <w:t>714,182,400.91</w:t>
            </w:r>
            <w:r>
              <w:rPr>
                <w:rFonts w:ascii="Times New Roman"/>
                <w:spacing w:val="-1"/>
                <w:sz w:val="18"/>
              </w:rPr>
            </w:r>
          </w:p>
        </w:tc>
        <w:tc>
          <w:tcPr>
            <w:tcW w:w="207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611,871,240.39</w:t>
            </w:r>
            <w:r>
              <w:rPr>
                <w:rFonts w:ascii="Times New Roman"/>
                <w:spacing w:val="-1"/>
                <w:sz w:val="18"/>
              </w:rPr>
            </w:r>
          </w:p>
        </w:tc>
      </w:tr>
      <w:tr>
        <w:trPr>
          <w:trHeight w:val="282" w:hRule="exact"/>
        </w:trPr>
        <w:tc>
          <w:tcPr>
            <w:tcW w:w="3432"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二、应纳税暂时性差异项目</w:t>
            </w:r>
            <w:r>
              <w:rPr>
                <w:rFonts w:ascii="Microsoft JhengHei" w:hAnsi="Microsoft JhengHei" w:cs="Microsoft JhengHei" w:eastAsia="Microsoft JhengHei" w:hint="default"/>
                <w:sz w:val="18"/>
                <w:szCs w:val="18"/>
              </w:rPr>
            </w:r>
          </w:p>
        </w:tc>
        <w:tc>
          <w:tcPr>
            <w:tcW w:w="3129" w:type="dxa"/>
            <w:tcBorders>
              <w:top w:val="single" w:sz="4" w:space="0" w:color="000000"/>
              <w:left w:val="nil" w:sz="6" w:space="0" w:color="auto"/>
              <w:bottom w:val="nil" w:sz="6" w:space="0" w:color="auto"/>
              <w:right w:val="nil" w:sz="6" w:space="0" w:color="auto"/>
            </w:tcBorders>
          </w:tcPr>
          <w:p>
            <w:pPr/>
          </w:p>
        </w:tc>
        <w:tc>
          <w:tcPr>
            <w:tcW w:w="2071" w:type="dxa"/>
            <w:tcBorders>
              <w:top w:val="single" w:sz="4" w:space="0" w:color="000000"/>
              <w:left w:val="nil" w:sz="6" w:space="0" w:color="auto"/>
              <w:bottom w:val="nil" w:sz="6" w:space="0" w:color="auto"/>
              <w:right w:val="nil" w:sz="6" w:space="0" w:color="auto"/>
            </w:tcBorders>
          </w:tcPr>
          <w:p>
            <w:pPr/>
          </w:p>
        </w:tc>
      </w:tr>
      <w:tr>
        <w:trPr>
          <w:trHeight w:val="288"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楷体" w:hAnsi="楷体" w:cs="楷体" w:eastAsia="楷体" w:hint="default"/>
                <w:sz w:val="18"/>
                <w:szCs w:val="18"/>
              </w:rPr>
            </w:pPr>
            <w:r>
              <w:rPr>
                <w:rFonts w:ascii="楷体" w:hAnsi="楷体" w:cs="楷体" w:eastAsia="楷体" w:hint="default"/>
                <w:sz w:val="18"/>
                <w:szCs w:val="18"/>
              </w:rPr>
              <w:t>开发支出</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45"/>
              <w:jc w:val="right"/>
              <w:rPr>
                <w:rFonts w:ascii="Times New Roman" w:hAnsi="Times New Roman" w:cs="Times New Roman" w:eastAsia="Times New Roman" w:hint="default"/>
                <w:sz w:val="18"/>
                <w:szCs w:val="18"/>
              </w:rPr>
            </w:pPr>
            <w:r>
              <w:rPr>
                <w:rFonts w:ascii="Times New Roman"/>
                <w:spacing w:val="-1"/>
                <w:sz w:val="18"/>
              </w:rPr>
              <w:t>65,620,742.84</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67,929,154.68</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应收款项</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z w:val="18"/>
              </w:rPr>
              <w:t>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324,112.16</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预期处置的长期投资</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z w:val="18"/>
              </w:rPr>
              <w:t>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2,960,636.40</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公允价值变动损益</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18,029,337.68</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33,031,194.85</w:t>
            </w:r>
          </w:p>
        </w:tc>
      </w:tr>
      <w:tr>
        <w:trPr>
          <w:trHeight w:val="28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直接计入权益的利得和损失</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4,899,835.32</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26,162,291.49</w:t>
            </w:r>
          </w:p>
        </w:tc>
      </w:tr>
      <w:tr>
        <w:trPr>
          <w:trHeight w:val="288" w:hRule="exact"/>
        </w:trPr>
        <w:tc>
          <w:tcPr>
            <w:tcW w:w="3432" w:type="dxa"/>
            <w:tcBorders>
              <w:top w:val="nil" w:sz="6" w:space="0" w:color="auto"/>
              <w:left w:val="nil" w:sz="6" w:space="0" w:color="auto"/>
              <w:bottom w:val="single" w:sz="4" w:space="0" w:color="000000"/>
              <w:right w:val="nil" w:sz="6" w:space="0" w:color="auto"/>
            </w:tcBorders>
          </w:tcPr>
          <w:p>
            <w:pPr>
              <w:pStyle w:val="TableParagraph"/>
              <w:spacing w:line="247"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2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b/>
                <w:spacing w:val="-1"/>
                <w:sz w:val="18"/>
              </w:rPr>
              <w:t>88,549,915.84</w:t>
            </w:r>
            <w:r>
              <w:rPr>
                <w:rFonts w:ascii="Times New Roman"/>
                <w:spacing w:val="-1"/>
                <w:sz w:val="18"/>
              </w:rPr>
            </w:r>
          </w:p>
        </w:tc>
        <w:tc>
          <w:tcPr>
            <w:tcW w:w="207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130,407,389.58</w:t>
            </w:r>
            <w:r>
              <w:rPr>
                <w:rFonts w:ascii="Times New Roman"/>
                <w:spacing w:val="-1"/>
                <w:sz w:val="18"/>
              </w:rPr>
            </w:r>
          </w:p>
        </w:tc>
      </w:tr>
      <w:tr>
        <w:trPr>
          <w:trHeight w:val="283" w:hRule="exact"/>
        </w:trPr>
        <w:tc>
          <w:tcPr>
            <w:tcW w:w="3432"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三、特殊暂时性差异项目</w:t>
            </w:r>
            <w:r>
              <w:rPr>
                <w:rFonts w:ascii="Microsoft JhengHei" w:hAnsi="Microsoft JhengHei" w:cs="Microsoft JhengHei" w:eastAsia="Microsoft JhengHei" w:hint="default"/>
                <w:sz w:val="18"/>
                <w:szCs w:val="18"/>
              </w:rPr>
            </w:r>
          </w:p>
        </w:tc>
        <w:tc>
          <w:tcPr>
            <w:tcW w:w="3129" w:type="dxa"/>
            <w:tcBorders>
              <w:top w:val="single" w:sz="4" w:space="0" w:color="000000"/>
              <w:left w:val="nil" w:sz="6" w:space="0" w:color="auto"/>
              <w:bottom w:val="nil" w:sz="6" w:space="0" w:color="auto"/>
              <w:right w:val="nil" w:sz="6" w:space="0" w:color="auto"/>
            </w:tcBorders>
          </w:tcPr>
          <w:p>
            <w:pPr/>
          </w:p>
        </w:tc>
        <w:tc>
          <w:tcPr>
            <w:tcW w:w="2071" w:type="dxa"/>
            <w:tcBorders>
              <w:top w:val="single" w:sz="4" w:space="0" w:color="000000"/>
              <w:left w:val="nil" w:sz="6" w:space="0" w:color="auto"/>
              <w:bottom w:val="nil" w:sz="6" w:space="0" w:color="auto"/>
              <w:right w:val="nil" w:sz="6" w:space="0" w:color="auto"/>
            </w:tcBorders>
          </w:tcPr>
          <w:p>
            <w:pPr/>
          </w:p>
        </w:tc>
      </w:tr>
      <w:tr>
        <w:trPr>
          <w:trHeight w:val="288"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楷体" w:hAnsi="楷体" w:cs="楷体" w:eastAsia="楷体" w:hint="default"/>
                <w:sz w:val="18"/>
                <w:szCs w:val="18"/>
              </w:rPr>
            </w:pPr>
            <w:r>
              <w:rPr>
                <w:rFonts w:ascii="楷体" w:hAnsi="楷体" w:cs="楷体" w:eastAsia="楷体" w:hint="default"/>
                <w:sz w:val="18"/>
                <w:szCs w:val="18"/>
              </w:rPr>
              <w:t>可抵扣亏损</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45"/>
              <w:jc w:val="right"/>
              <w:rPr>
                <w:rFonts w:ascii="Times New Roman" w:hAnsi="Times New Roman" w:cs="Times New Roman" w:eastAsia="Times New Roman" w:hint="default"/>
                <w:sz w:val="18"/>
                <w:szCs w:val="18"/>
              </w:rPr>
            </w:pPr>
            <w:r>
              <w:rPr>
                <w:rFonts w:ascii="Times New Roman"/>
                <w:spacing w:val="-1"/>
                <w:sz w:val="18"/>
              </w:rPr>
              <w:t>37,169,589.23</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51,953,501.76</w:t>
            </w:r>
          </w:p>
        </w:tc>
      </w:tr>
      <w:tr>
        <w:trPr>
          <w:trHeight w:val="288" w:hRule="exact"/>
        </w:trPr>
        <w:tc>
          <w:tcPr>
            <w:tcW w:w="3432" w:type="dxa"/>
            <w:tcBorders>
              <w:top w:val="nil" w:sz="6" w:space="0" w:color="auto"/>
              <w:left w:val="nil" w:sz="6" w:space="0" w:color="auto"/>
              <w:bottom w:val="single" w:sz="4"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未使用税款抵免</w:t>
            </w:r>
          </w:p>
        </w:tc>
        <w:tc>
          <w:tcPr>
            <w:tcW w:w="312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845"/>
              <w:jc w:val="right"/>
              <w:rPr>
                <w:rFonts w:ascii="Times New Roman" w:hAnsi="Times New Roman" w:cs="Times New Roman" w:eastAsia="Times New Roman" w:hint="default"/>
                <w:sz w:val="18"/>
                <w:szCs w:val="18"/>
              </w:rPr>
            </w:pPr>
            <w:r>
              <w:rPr>
                <w:rFonts w:ascii="Times New Roman"/>
                <w:sz w:val="18"/>
              </w:rPr>
              <w:t>0.00</w:t>
            </w:r>
          </w:p>
        </w:tc>
        <w:tc>
          <w:tcPr>
            <w:tcW w:w="207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6,552,961.60</w:t>
            </w:r>
          </w:p>
        </w:tc>
      </w:tr>
      <w:tr>
        <w:trPr>
          <w:trHeight w:val="303" w:hRule="exact"/>
        </w:trPr>
        <w:tc>
          <w:tcPr>
            <w:tcW w:w="3432"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2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45"/>
              <w:jc w:val="right"/>
              <w:rPr>
                <w:rFonts w:ascii="Times New Roman" w:hAnsi="Times New Roman" w:cs="Times New Roman" w:eastAsia="Times New Roman" w:hint="default"/>
                <w:sz w:val="18"/>
                <w:szCs w:val="18"/>
              </w:rPr>
            </w:pPr>
            <w:r>
              <w:rPr>
                <w:rFonts w:ascii="Times New Roman"/>
                <w:b/>
                <w:spacing w:val="-1"/>
                <w:sz w:val="18"/>
              </w:rPr>
              <w:t>37,169,589.23</w:t>
            </w:r>
            <w:r>
              <w:rPr>
                <w:rFonts w:ascii="Times New Roman"/>
                <w:spacing w:val="-1"/>
                <w:sz w:val="18"/>
              </w:rPr>
            </w:r>
          </w:p>
        </w:tc>
        <w:tc>
          <w:tcPr>
            <w:tcW w:w="20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58,506,463.36</w:t>
            </w:r>
            <w:r>
              <w:rPr>
                <w:rFonts w:ascii="Times New Roman"/>
                <w:spacing w:val="-1"/>
                <w:sz w:val="18"/>
              </w:rPr>
            </w:r>
          </w:p>
        </w:tc>
      </w:tr>
    </w:tbl>
    <w:p>
      <w:pPr>
        <w:spacing w:before="79"/>
        <w:ind w:left="578" w:right="213"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21.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资产减值准备明细表</w:t>
      </w:r>
    </w:p>
    <w:p>
      <w:pPr>
        <w:spacing w:line="240" w:lineRule="auto" w:before="3"/>
        <w:rPr>
          <w:rFonts w:ascii="楷体" w:hAnsi="楷体" w:cs="楷体" w:eastAsia="楷体" w:hint="default"/>
          <w:sz w:val="11"/>
          <w:szCs w:val="11"/>
        </w:rPr>
      </w:pPr>
    </w:p>
    <w:p>
      <w:pPr>
        <w:spacing w:line="30" w:lineRule="exact"/>
        <w:ind w:left="409"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spacing w:after="0" w:line="30" w:lineRule="exact"/>
        <w:rPr>
          <w:rFonts w:ascii="楷体" w:hAnsi="楷体" w:cs="楷体" w:eastAsia="楷体" w:hint="default"/>
          <w:sz w:val="3"/>
          <w:szCs w:val="3"/>
        </w:rPr>
        <w:sectPr>
          <w:pgSz w:w="11910" w:h="16840"/>
          <w:pgMar w:header="610" w:footer="784" w:top="1080" w:bottom="980" w:left="1280" w:right="1060"/>
        </w:sectPr>
      </w:pPr>
    </w:p>
    <w:p>
      <w:pPr>
        <w:tabs>
          <w:tab w:pos="2869" w:val="left" w:leader="none"/>
          <w:tab w:pos="4212" w:val="left" w:leader="none"/>
        </w:tabs>
        <w:spacing w:before="65"/>
        <w:ind w:left="524" w:right="-18"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本年计提</w:t>
      </w:r>
      <w:r>
        <w:rPr>
          <w:rFonts w:ascii="Microsoft JhengHei" w:hAnsi="Microsoft JhengHei" w:cs="Microsoft JhengHei" w:eastAsia="Microsoft JhengHei" w:hint="default"/>
          <w:sz w:val="18"/>
          <w:szCs w:val="18"/>
        </w:rPr>
      </w:r>
    </w:p>
    <w:p>
      <w:pPr>
        <w:spacing w:line="236" w:lineRule="exact" w:before="0"/>
        <w:ind w:left="381" w:right="0"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p>
      <w:pPr>
        <w:tabs>
          <w:tab w:pos="1559" w:val="left" w:leader="none"/>
        </w:tabs>
        <w:spacing w:line="303" w:lineRule="exact" w:before="0"/>
        <w:ind w:left="524" w:right="0" w:firstLine="0"/>
        <w:jc w:val="center"/>
        <w:rPr>
          <w:rFonts w:ascii="Microsoft JhengHei" w:hAnsi="Microsoft JhengHei" w:cs="Microsoft JhengHei" w:eastAsia="Microsoft JhengHei" w:hint="default"/>
          <w:sz w:val="18"/>
          <w:szCs w:val="18"/>
        </w:rPr>
      </w:pPr>
      <w:r>
        <w:rPr/>
        <w:pict>
          <v:group style="position:absolute;margin-left:325.920013pt;margin-top:2.604646pt;width:121.6pt;height:.1pt;mso-position-horizontal-relative:page;mso-position-vertical-relative:paragraph;z-index:-898264" coordorigin="6518,52" coordsize="2432,2">
            <v:shape style="position:absolute;left:6518;top:52;width:2432;height:2" coordorigin="6518,52" coordsize="2432,0" path="m6518,52l8950,52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转回</w:t>
        <w:tab/>
        <w:t>其他转出</w:t>
      </w:r>
      <w:r>
        <w:rPr>
          <w:rFonts w:ascii="Microsoft JhengHei" w:hAnsi="Microsoft JhengHei" w:cs="Microsoft JhengHei" w:eastAsia="Microsoft JhengHei" w:hint="default"/>
          <w:sz w:val="18"/>
          <w:szCs w:val="18"/>
        </w:rPr>
      </w:r>
    </w:p>
    <w:p>
      <w:pPr>
        <w:spacing w:before="65"/>
        <w:ind w:left="524"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600" w:bottom="280" w:left="1280" w:right="1060"/>
          <w:cols w:num="3" w:equalWidth="0">
            <w:col w:w="4935" w:space="194"/>
            <w:col w:w="2282" w:space="71"/>
            <w:col w:w="2088"/>
          </w:cols>
        </w:sectPr>
      </w:pPr>
    </w:p>
    <w:p>
      <w:pPr>
        <w:spacing w:line="240" w:lineRule="auto" w:before="7"/>
        <w:rPr>
          <w:rFonts w:ascii="Microsoft JhengHei" w:hAnsi="Microsoft JhengHei" w:cs="Microsoft JhengHei" w:eastAsia="Microsoft JhengHei" w:hint="default"/>
          <w:b/>
          <w:bCs/>
          <w:sz w:val="2"/>
          <w:szCs w:val="2"/>
        </w:rPr>
      </w:pPr>
    </w:p>
    <w:tbl>
      <w:tblPr>
        <w:tblW w:w="0" w:type="auto"/>
        <w:jc w:val="left"/>
        <w:tblInd w:w="416" w:type="dxa"/>
        <w:tblLayout w:type="fixed"/>
        <w:tblCellMar>
          <w:top w:w="0" w:type="dxa"/>
          <w:left w:w="0" w:type="dxa"/>
          <w:bottom w:w="0" w:type="dxa"/>
          <w:right w:w="0" w:type="dxa"/>
        </w:tblCellMar>
        <w:tblLook w:val="01E0"/>
      </w:tblPr>
      <w:tblGrid>
        <w:gridCol w:w="629"/>
        <w:gridCol w:w="1452"/>
        <w:gridCol w:w="1407"/>
        <w:gridCol w:w="1350"/>
        <w:gridCol w:w="1170"/>
        <w:gridCol w:w="1206"/>
        <w:gridCol w:w="1424"/>
      </w:tblGrid>
      <w:tr>
        <w:trPr>
          <w:trHeight w:val="288" w:hRule="exact"/>
        </w:trPr>
        <w:tc>
          <w:tcPr>
            <w:tcW w:w="2081"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坏账减值准备</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376,355,182.38</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4"/>
              <w:jc w:val="right"/>
              <w:rPr>
                <w:rFonts w:ascii="Times New Roman" w:hAnsi="Times New Roman" w:cs="Times New Roman" w:eastAsia="Times New Roman" w:hint="default"/>
                <w:sz w:val="18"/>
                <w:szCs w:val="18"/>
              </w:rPr>
            </w:pPr>
            <w:r>
              <w:rPr>
                <w:rFonts w:ascii="Times New Roman"/>
                <w:spacing w:val="-1"/>
                <w:sz w:val="18"/>
              </w:rPr>
              <w:t>96,519,344.44</w:t>
            </w:r>
          </w:p>
        </w:tc>
        <w:tc>
          <w:tcPr>
            <w:tcW w:w="117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1"/>
              <w:jc w:val="right"/>
              <w:rPr>
                <w:rFonts w:ascii="Times New Roman" w:hAnsi="Times New Roman" w:cs="Times New Roman" w:eastAsia="Times New Roman" w:hint="default"/>
                <w:sz w:val="18"/>
                <w:szCs w:val="18"/>
              </w:rPr>
            </w:pPr>
            <w:r>
              <w:rPr>
                <w:rFonts w:ascii="Times New Roman"/>
                <w:spacing w:val="-1"/>
                <w:sz w:val="18"/>
              </w:rPr>
              <w:t>5,582,650.83</w:t>
            </w: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467,291,875.99</w:t>
            </w:r>
          </w:p>
        </w:tc>
      </w:tr>
      <w:tr>
        <w:trPr>
          <w:trHeight w:val="283" w:hRule="exact"/>
        </w:trPr>
        <w:tc>
          <w:tcPr>
            <w:tcW w:w="2081"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存货跌价准备</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118,848,206.95</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5"/>
              <w:jc w:val="right"/>
              <w:rPr>
                <w:rFonts w:ascii="Times New Roman" w:hAnsi="Times New Roman" w:cs="Times New Roman" w:eastAsia="Times New Roman" w:hint="default"/>
                <w:sz w:val="18"/>
                <w:szCs w:val="18"/>
              </w:rPr>
            </w:pPr>
            <w:r>
              <w:rPr>
                <w:rFonts w:ascii="Times New Roman"/>
                <w:spacing w:val="-1"/>
                <w:sz w:val="18"/>
              </w:rPr>
              <w:t>58,084,772.23</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8,622,890.71</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0"/>
              <w:jc w:val="right"/>
              <w:rPr>
                <w:rFonts w:ascii="Times New Roman" w:hAnsi="Times New Roman" w:cs="Times New Roman" w:eastAsia="Times New Roman" w:hint="default"/>
                <w:sz w:val="18"/>
                <w:szCs w:val="18"/>
              </w:rPr>
            </w:pPr>
            <w:r>
              <w:rPr>
                <w:rFonts w:ascii="Times New Roman"/>
                <w:spacing w:val="-1"/>
                <w:sz w:val="18"/>
              </w:rPr>
              <w:t>42,735,862.07</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pacing w:val="-1"/>
                <w:sz w:val="18"/>
              </w:rPr>
              <w:t>125,574,226.40</w:t>
            </w:r>
          </w:p>
        </w:tc>
      </w:tr>
      <w:tr>
        <w:trPr>
          <w:trHeight w:val="283" w:hRule="exact"/>
        </w:trPr>
        <w:tc>
          <w:tcPr>
            <w:tcW w:w="2081"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长期股权投资减值准备</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2,741,550.00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5"/>
              <w:jc w:val="right"/>
              <w:rPr>
                <w:rFonts w:ascii="Times New Roman" w:hAnsi="Times New Roman" w:cs="Times New Roman" w:eastAsia="Times New Roman" w:hint="default"/>
                <w:sz w:val="18"/>
                <w:szCs w:val="18"/>
              </w:rPr>
            </w:pPr>
            <w:r>
              <w:rPr>
                <w:rFonts w:ascii="Times New Roman"/>
                <w:sz w:val="18"/>
              </w:rPr>
              <w:t>184,534.20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1"/>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2,926,084.20</w:t>
            </w:r>
          </w:p>
        </w:tc>
      </w:tr>
      <w:tr>
        <w:trPr>
          <w:trHeight w:val="283" w:hRule="exact"/>
        </w:trPr>
        <w:tc>
          <w:tcPr>
            <w:tcW w:w="2081"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固定资产减值准备</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9,464,198.64</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6"/>
              <w:jc w:val="right"/>
              <w:rPr>
                <w:rFonts w:ascii="Times New Roman" w:hAnsi="Times New Roman" w:cs="Times New Roman" w:eastAsia="Times New Roman" w:hint="default"/>
                <w:sz w:val="18"/>
                <w:szCs w:val="18"/>
              </w:rPr>
            </w:pPr>
            <w:r>
              <w:rPr>
                <w:rFonts w:ascii="Times New Roman"/>
                <w:spacing w:val="-1"/>
                <w:sz w:val="18"/>
              </w:rPr>
              <w:t>18,516,209.10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1"/>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27,980,407.74</w:t>
            </w:r>
          </w:p>
        </w:tc>
      </w:tr>
      <w:tr>
        <w:trPr>
          <w:trHeight w:val="283" w:hRule="exact"/>
        </w:trPr>
        <w:tc>
          <w:tcPr>
            <w:tcW w:w="2081"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在建工程减值准备</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37,595.23</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z w:val="18"/>
              </w:rPr>
              <w:t>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1"/>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37,595.23</w:t>
            </w:r>
          </w:p>
        </w:tc>
      </w:tr>
      <w:tr>
        <w:trPr>
          <w:trHeight w:val="289" w:hRule="exact"/>
        </w:trPr>
        <w:tc>
          <w:tcPr>
            <w:tcW w:w="2081" w:type="dxa"/>
            <w:gridSpan w:val="2"/>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无形资产减值准备</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4,624,298.70</w:t>
            </w: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4"/>
              <w:jc w:val="right"/>
              <w:rPr>
                <w:rFonts w:ascii="Times New Roman" w:hAnsi="Times New Roman" w:cs="Times New Roman" w:eastAsia="Times New Roman" w:hint="default"/>
                <w:sz w:val="18"/>
                <w:szCs w:val="18"/>
              </w:rPr>
            </w:pPr>
            <w:r>
              <w:rPr>
                <w:rFonts w:ascii="Times New Roman"/>
                <w:sz w:val="18"/>
              </w:rPr>
              <w:t>0.00</w:t>
            </w:r>
          </w:p>
        </w:tc>
        <w:tc>
          <w:tcPr>
            <w:tcW w:w="117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1"/>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4,624,298.70</w:t>
            </w:r>
          </w:p>
        </w:tc>
      </w:tr>
      <w:tr>
        <w:trPr>
          <w:trHeight w:val="303" w:hRule="exact"/>
        </w:trPr>
        <w:tc>
          <w:tcPr>
            <w:tcW w:w="2081" w:type="dxa"/>
            <w:gridSpan w:val="2"/>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0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b/>
                <w:spacing w:val="-1"/>
                <w:sz w:val="18"/>
              </w:rPr>
              <w:t>512,071,031.90</w:t>
            </w:r>
            <w:r>
              <w:rPr>
                <w:rFonts w:ascii="Times New Roman"/>
                <w:spacing w:val="-1"/>
                <w:sz w:val="18"/>
              </w:rPr>
            </w:r>
          </w:p>
        </w:tc>
        <w:tc>
          <w:tcPr>
            <w:tcW w:w="13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3"/>
              <w:jc w:val="right"/>
              <w:rPr>
                <w:rFonts w:ascii="Times New Roman" w:hAnsi="Times New Roman" w:cs="Times New Roman" w:eastAsia="Times New Roman" w:hint="default"/>
                <w:sz w:val="18"/>
                <w:szCs w:val="18"/>
              </w:rPr>
            </w:pPr>
            <w:r>
              <w:rPr>
                <w:rFonts w:ascii="Times New Roman"/>
                <w:b/>
                <w:spacing w:val="-1"/>
                <w:sz w:val="18"/>
              </w:rPr>
              <w:t>173,304,859.97</w:t>
            </w:r>
            <w:r>
              <w:rPr>
                <w:rFonts w:ascii="Times New Roman"/>
                <w:spacing w:val="-1"/>
                <w:sz w:val="18"/>
              </w:rPr>
            </w:r>
          </w:p>
        </w:tc>
        <w:tc>
          <w:tcPr>
            <w:tcW w:w="11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b/>
                <w:spacing w:val="-1"/>
                <w:sz w:val="18"/>
              </w:rPr>
              <w:t>8,622,890.71</w:t>
            </w:r>
            <w:r>
              <w:rPr>
                <w:rFonts w:ascii="Times New Roman"/>
                <w:spacing w:val="-1"/>
                <w:sz w:val="18"/>
              </w:rPr>
            </w:r>
          </w:p>
        </w:tc>
        <w:tc>
          <w:tcPr>
            <w:tcW w:w="12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0"/>
              <w:jc w:val="right"/>
              <w:rPr>
                <w:rFonts w:ascii="Times New Roman" w:hAnsi="Times New Roman" w:cs="Times New Roman" w:eastAsia="Times New Roman" w:hint="default"/>
                <w:sz w:val="18"/>
                <w:szCs w:val="18"/>
              </w:rPr>
            </w:pPr>
            <w:r>
              <w:rPr>
                <w:rFonts w:ascii="Times New Roman"/>
                <w:b/>
                <w:spacing w:val="-1"/>
                <w:sz w:val="18"/>
              </w:rPr>
              <w:t>48,318,512.90</w:t>
            </w:r>
            <w:r>
              <w:rPr>
                <w:rFonts w:ascii="Times New Roman"/>
                <w:spacing w:val="-1"/>
                <w:sz w:val="18"/>
              </w:rPr>
            </w:r>
          </w:p>
        </w:tc>
        <w:tc>
          <w:tcPr>
            <w:tcW w:w="14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628,434,488.26</w:t>
            </w:r>
            <w:r>
              <w:rPr>
                <w:rFonts w:ascii="Times New Roman"/>
                <w:spacing w:val="-1"/>
                <w:sz w:val="18"/>
              </w:rPr>
            </w:r>
          </w:p>
        </w:tc>
      </w:tr>
      <w:tr>
        <w:trPr>
          <w:trHeight w:val="528" w:hRule="exact"/>
        </w:trPr>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61" w:right="0"/>
              <w:jc w:val="left"/>
              <w:rPr>
                <w:rFonts w:ascii="Times New Roman" w:hAnsi="Times New Roman" w:cs="Times New Roman" w:eastAsia="Times New Roman" w:hint="default"/>
                <w:sz w:val="22"/>
                <w:szCs w:val="22"/>
              </w:rPr>
            </w:pPr>
            <w:r>
              <w:rPr>
                <w:rFonts w:ascii="Times New Roman"/>
                <w:b/>
                <w:sz w:val="22"/>
              </w:rPr>
              <w:t>22.</w:t>
            </w:r>
            <w:r>
              <w:rPr>
                <w:rFonts w:ascii="Times New Roman"/>
                <w:sz w:val="22"/>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0"/>
              <w:jc w:val="left"/>
              <w:rPr>
                <w:rFonts w:ascii="楷体" w:hAnsi="楷体" w:cs="楷体" w:eastAsia="楷体" w:hint="default"/>
                <w:sz w:val="22"/>
                <w:szCs w:val="22"/>
              </w:rPr>
            </w:pPr>
            <w:r>
              <w:rPr>
                <w:rFonts w:ascii="楷体" w:hAnsi="楷体" w:cs="楷体" w:eastAsia="楷体" w:hint="default"/>
                <w:sz w:val="22"/>
                <w:szCs w:val="22"/>
              </w:rPr>
              <w:t>短期借款</w:t>
            </w:r>
          </w:p>
        </w:tc>
        <w:tc>
          <w:tcPr>
            <w:tcW w:w="3926" w:type="dxa"/>
            <w:gridSpan w:val="3"/>
            <w:tcBorders>
              <w:top w:val="nil" w:sz="6" w:space="0" w:color="auto"/>
              <w:left w:val="nil" w:sz="6" w:space="0" w:color="auto"/>
              <w:bottom w:val="nil" w:sz="6" w:space="0" w:color="auto"/>
              <w:right w:val="nil" w:sz="6" w:space="0" w:color="auto"/>
            </w:tcBorders>
          </w:tcPr>
          <w:p>
            <w:pPr/>
          </w:p>
        </w:tc>
        <w:tc>
          <w:tcPr>
            <w:tcW w:w="2630" w:type="dxa"/>
            <w:gridSpan w:val="2"/>
            <w:tcBorders>
              <w:top w:val="nil" w:sz="6" w:space="0" w:color="auto"/>
              <w:left w:val="nil" w:sz="6" w:space="0" w:color="auto"/>
              <w:bottom w:val="nil" w:sz="6" w:space="0" w:color="auto"/>
              <w:right w:val="nil" w:sz="6" w:space="0" w:color="auto"/>
            </w:tcBorders>
          </w:tcPr>
          <w:p>
            <w:pPr/>
          </w:p>
        </w:tc>
      </w:tr>
      <w:tr>
        <w:trPr>
          <w:trHeight w:val="516" w:hRule="exact"/>
        </w:trPr>
        <w:tc>
          <w:tcPr>
            <w:tcW w:w="629" w:type="dxa"/>
            <w:tcBorders>
              <w:top w:val="nil" w:sz="6" w:space="0" w:color="auto"/>
              <w:left w:val="nil" w:sz="6" w:space="0" w:color="auto"/>
              <w:bottom w:val="single" w:sz="12" w:space="0" w:color="000000"/>
              <w:right w:val="nil" w:sz="6" w:space="0" w:color="auto"/>
            </w:tcBorders>
          </w:tcPr>
          <w:p>
            <w:pPr>
              <w:pStyle w:val="TableParagraph"/>
              <w:spacing w:line="240" w:lineRule="auto" w:before="101"/>
              <w:ind w:left="175" w:right="0"/>
              <w:jc w:val="left"/>
              <w:rPr>
                <w:rFonts w:ascii="Times New Roman" w:hAnsi="Times New Roman" w:cs="Times New Roman" w:eastAsia="Times New Roman" w:hint="default"/>
                <w:sz w:val="22"/>
                <w:szCs w:val="22"/>
              </w:rPr>
            </w:pPr>
            <w:r>
              <w:rPr>
                <w:rFonts w:ascii="Times New Roman"/>
                <w:b/>
                <w:sz w:val="22"/>
              </w:rPr>
              <w:t>(1)</w:t>
            </w:r>
            <w:r>
              <w:rPr>
                <w:rFonts w:ascii="Times New Roman"/>
                <w:sz w:val="22"/>
              </w:rPr>
            </w:r>
          </w:p>
        </w:tc>
        <w:tc>
          <w:tcPr>
            <w:tcW w:w="1452"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0"/>
              <w:jc w:val="left"/>
              <w:rPr>
                <w:rFonts w:ascii="楷体" w:hAnsi="楷体" w:cs="楷体" w:eastAsia="楷体" w:hint="default"/>
                <w:sz w:val="22"/>
                <w:szCs w:val="22"/>
              </w:rPr>
            </w:pPr>
            <w:r>
              <w:rPr>
                <w:rFonts w:ascii="楷体" w:hAnsi="楷体" w:cs="楷体" w:eastAsia="楷体" w:hint="default"/>
                <w:sz w:val="22"/>
                <w:szCs w:val="22"/>
              </w:rPr>
              <w:t>按币种列示</w:t>
            </w:r>
          </w:p>
        </w:tc>
        <w:tc>
          <w:tcPr>
            <w:tcW w:w="3926" w:type="dxa"/>
            <w:gridSpan w:val="3"/>
            <w:tcBorders>
              <w:top w:val="nil" w:sz="6" w:space="0" w:color="auto"/>
              <w:left w:val="nil" w:sz="6" w:space="0" w:color="auto"/>
              <w:bottom w:val="single" w:sz="12" w:space="0" w:color="000000"/>
              <w:right w:val="nil" w:sz="6" w:space="0" w:color="auto"/>
            </w:tcBorders>
          </w:tcPr>
          <w:p>
            <w:pPr/>
          </w:p>
        </w:tc>
        <w:tc>
          <w:tcPr>
            <w:tcW w:w="2630"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62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币种</w:t>
            </w:r>
            <w:r>
              <w:rPr>
                <w:rFonts w:ascii="Microsoft JhengHei" w:hAnsi="Microsoft JhengHei" w:cs="Microsoft JhengHei" w:eastAsia="Microsoft JhengHei" w:hint="default"/>
                <w:sz w:val="18"/>
                <w:szCs w:val="18"/>
              </w:rPr>
            </w:r>
          </w:p>
        </w:tc>
        <w:tc>
          <w:tcPr>
            <w:tcW w:w="1452" w:type="dxa"/>
            <w:tcBorders>
              <w:top w:val="single" w:sz="12" w:space="0" w:color="000000"/>
              <w:left w:val="nil" w:sz="6" w:space="0" w:color="auto"/>
              <w:bottom w:val="single" w:sz="4" w:space="0" w:color="000000"/>
              <w:right w:val="nil" w:sz="6" w:space="0" w:color="auto"/>
            </w:tcBorders>
          </w:tcPr>
          <w:p>
            <w:pPr/>
          </w:p>
        </w:tc>
        <w:tc>
          <w:tcPr>
            <w:tcW w:w="3926" w:type="dxa"/>
            <w:gridSpan w:val="3"/>
            <w:tcBorders>
              <w:top w:val="single" w:sz="12" w:space="0" w:color="000000"/>
              <w:left w:val="nil" w:sz="6" w:space="0" w:color="auto"/>
              <w:bottom w:val="single" w:sz="4" w:space="0" w:color="000000"/>
              <w:right w:val="nil" w:sz="6" w:space="0" w:color="auto"/>
            </w:tcBorders>
          </w:tcPr>
          <w:p>
            <w:pPr>
              <w:pStyle w:val="TableParagraph"/>
              <w:spacing w:line="246" w:lineRule="exact"/>
              <w:ind w:left="24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630"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3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62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20"/>
              <w:jc w:val="left"/>
              <w:rPr>
                <w:rFonts w:ascii="楷体" w:hAnsi="楷体" w:cs="楷体" w:eastAsia="楷体" w:hint="default"/>
                <w:sz w:val="18"/>
                <w:szCs w:val="18"/>
              </w:rPr>
            </w:pPr>
            <w:r>
              <w:rPr>
                <w:rFonts w:ascii="楷体" w:hAnsi="楷体" w:cs="楷体" w:eastAsia="楷体" w:hint="default"/>
                <w:sz w:val="18"/>
                <w:szCs w:val="18"/>
              </w:rPr>
              <w:t>人民币</w:t>
            </w:r>
          </w:p>
        </w:tc>
        <w:tc>
          <w:tcPr>
            <w:tcW w:w="1452" w:type="dxa"/>
            <w:tcBorders>
              <w:top w:val="single" w:sz="4" w:space="0" w:color="000000"/>
              <w:left w:val="nil" w:sz="6" w:space="0" w:color="auto"/>
              <w:bottom w:val="nil" w:sz="6" w:space="0" w:color="auto"/>
              <w:right w:val="nil" w:sz="6" w:space="0" w:color="auto"/>
            </w:tcBorders>
          </w:tcPr>
          <w:p>
            <w:pPr/>
          </w:p>
        </w:tc>
        <w:tc>
          <w:tcPr>
            <w:tcW w:w="3926"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32"/>
              <w:ind w:left="2378" w:right="0"/>
              <w:jc w:val="left"/>
              <w:rPr>
                <w:rFonts w:ascii="Times New Roman" w:hAnsi="Times New Roman" w:cs="Times New Roman" w:eastAsia="Times New Roman" w:hint="default"/>
                <w:sz w:val="18"/>
                <w:szCs w:val="18"/>
              </w:rPr>
            </w:pPr>
            <w:r>
              <w:rPr>
                <w:rFonts w:ascii="Times New Roman"/>
                <w:sz w:val="18"/>
              </w:rPr>
              <w:t>2,479,900,000.00</w:t>
            </w:r>
          </w:p>
        </w:tc>
        <w:tc>
          <w:tcPr>
            <w:tcW w:w="263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1269" w:right="0"/>
              <w:jc w:val="left"/>
              <w:rPr>
                <w:rFonts w:ascii="Times New Roman" w:hAnsi="Times New Roman" w:cs="Times New Roman" w:eastAsia="Times New Roman" w:hint="default"/>
                <w:sz w:val="18"/>
                <w:szCs w:val="18"/>
              </w:rPr>
            </w:pPr>
            <w:r>
              <w:rPr>
                <w:rFonts w:ascii="Times New Roman"/>
                <w:sz w:val="18"/>
              </w:rPr>
              <w:t>2,671,768,195.60</w:t>
            </w:r>
          </w:p>
        </w:tc>
      </w:tr>
      <w:tr>
        <w:trPr>
          <w:trHeight w:val="289" w:hRule="exact"/>
        </w:trPr>
        <w:tc>
          <w:tcPr>
            <w:tcW w:w="629"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美元</w:t>
            </w:r>
          </w:p>
        </w:tc>
        <w:tc>
          <w:tcPr>
            <w:tcW w:w="1452" w:type="dxa"/>
            <w:tcBorders>
              <w:top w:val="nil" w:sz="6" w:space="0" w:color="auto"/>
              <w:left w:val="nil" w:sz="6" w:space="0" w:color="auto"/>
              <w:bottom w:val="single" w:sz="4" w:space="0" w:color="000000"/>
              <w:right w:val="nil" w:sz="6" w:space="0" w:color="auto"/>
            </w:tcBorders>
          </w:tcPr>
          <w:p>
            <w:pPr/>
          </w:p>
        </w:tc>
        <w:tc>
          <w:tcPr>
            <w:tcW w:w="392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3"/>
              <w:ind w:left="2602" w:right="0"/>
              <w:jc w:val="left"/>
              <w:rPr>
                <w:rFonts w:ascii="Times New Roman" w:hAnsi="Times New Roman" w:cs="Times New Roman" w:eastAsia="Times New Roman" w:hint="default"/>
                <w:sz w:val="18"/>
                <w:szCs w:val="18"/>
              </w:rPr>
            </w:pPr>
            <w:r>
              <w:rPr>
                <w:rFonts w:ascii="Times New Roman"/>
                <w:sz w:val="18"/>
              </w:rPr>
              <w:t>17,260,768.63</w:t>
            </w:r>
          </w:p>
        </w:tc>
        <w:tc>
          <w:tcPr>
            <w:tcW w:w="263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1583" w:right="0"/>
              <w:jc w:val="left"/>
              <w:rPr>
                <w:rFonts w:ascii="Times New Roman" w:hAnsi="Times New Roman" w:cs="Times New Roman" w:eastAsia="Times New Roman" w:hint="default"/>
                <w:sz w:val="18"/>
                <w:szCs w:val="18"/>
              </w:rPr>
            </w:pPr>
            <w:r>
              <w:rPr>
                <w:rFonts w:ascii="Times New Roman"/>
                <w:sz w:val="18"/>
              </w:rPr>
              <w:t>4,436,000.00</w:t>
            </w:r>
          </w:p>
        </w:tc>
      </w:tr>
      <w:tr>
        <w:trPr>
          <w:trHeight w:val="303" w:hRule="exact"/>
        </w:trPr>
        <w:tc>
          <w:tcPr>
            <w:tcW w:w="62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52" w:type="dxa"/>
            <w:tcBorders>
              <w:top w:val="single" w:sz="4" w:space="0" w:color="000000"/>
              <w:left w:val="nil" w:sz="6" w:space="0" w:color="auto"/>
              <w:bottom w:val="single" w:sz="12" w:space="0" w:color="000000"/>
              <w:right w:val="nil" w:sz="6" w:space="0" w:color="auto"/>
            </w:tcBorders>
          </w:tcPr>
          <w:p>
            <w:pPr/>
          </w:p>
        </w:tc>
        <w:tc>
          <w:tcPr>
            <w:tcW w:w="3926"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378" w:right="0"/>
              <w:jc w:val="left"/>
              <w:rPr>
                <w:rFonts w:ascii="Times New Roman" w:hAnsi="Times New Roman" w:cs="Times New Roman" w:eastAsia="Times New Roman" w:hint="default"/>
                <w:sz w:val="18"/>
                <w:szCs w:val="18"/>
              </w:rPr>
            </w:pPr>
            <w:r>
              <w:rPr>
                <w:rFonts w:ascii="Times New Roman"/>
                <w:b/>
                <w:sz w:val="18"/>
              </w:rPr>
              <w:t>2,497,160,768.63</w:t>
            </w:r>
            <w:r>
              <w:rPr>
                <w:rFonts w:ascii="Times New Roman"/>
                <w:sz w:val="18"/>
              </w:rPr>
            </w:r>
          </w:p>
        </w:tc>
        <w:tc>
          <w:tcPr>
            <w:tcW w:w="2630"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268" w:right="0"/>
              <w:jc w:val="left"/>
              <w:rPr>
                <w:rFonts w:ascii="Times New Roman" w:hAnsi="Times New Roman" w:cs="Times New Roman" w:eastAsia="Times New Roman" w:hint="default"/>
                <w:sz w:val="18"/>
                <w:szCs w:val="18"/>
              </w:rPr>
            </w:pPr>
            <w:r>
              <w:rPr>
                <w:rFonts w:ascii="Times New Roman"/>
                <w:b/>
                <w:sz w:val="18"/>
              </w:rPr>
              <w:t>2,676,204,195.60</w:t>
            </w:r>
            <w:r>
              <w:rPr>
                <w:rFonts w:ascii="Times New Roman"/>
                <w:sz w:val="18"/>
              </w:rPr>
            </w:r>
          </w:p>
        </w:tc>
      </w:tr>
    </w:tbl>
    <w:p>
      <w:pPr>
        <w:spacing w:before="79"/>
        <w:ind w:left="578" w:right="86" w:firstLine="0"/>
        <w:jc w:val="left"/>
        <w:rPr>
          <w:rFonts w:ascii="Times New Roman" w:hAnsi="Times New Roman" w:cs="Times New Roman" w:eastAsia="Times New Roman" w:hint="default"/>
          <w:sz w:val="22"/>
          <w:szCs w:val="22"/>
        </w:rPr>
      </w:pPr>
      <w:r>
        <w:rPr>
          <w:rFonts w:ascii="楷体" w:hAnsi="楷体" w:cs="楷体" w:eastAsia="楷体" w:hint="default"/>
          <w:spacing w:val="1"/>
          <w:w w:val="99"/>
          <w:sz w:val="22"/>
          <w:szCs w:val="22"/>
        </w:rPr>
        <w:t>截</w:t>
      </w:r>
      <w:r>
        <w:rPr>
          <w:rFonts w:ascii="楷体" w:hAnsi="楷体" w:cs="楷体" w:eastAsia="楷体" w:hint="default"/>
          <w:w w:val="99"/>
          <w:sz w:val="22"/>
          <w:szCs w:val="22"/>
        </w:rPr>
        <w:t>至</w:t>
      </w:r>
      <w:r>
        <w:rPr>
          <w:rFonts w:ascii="楷体" w:hAnsi="楷体" w:cs="楷体" w:eastAsia="楷体" w:hint="default"/>
          <w:spacing w:val="-77"/>
          <w:sz w:val="22"/>
          <w:szCs w:val="22"/>
        </w:rPr>
        <w:t> </w:t>
      </w:r>
      <w:r>
        <w:rPr>
          <w:rFonts w:ascii="Times New Roman" w:hAnsi="Times New Roman" w:cs="Times New Roman" w:eastAsia="Times New Roman" w:hint="default"/>
          <w:w w:val="99"/>
          <w:sz w:val="22"/>
          <w:szCs w:val="22"/>
        </w:rPr>
        <w:t>20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8</w:t>
      </w:r>
      <w:r>
        <w:rPr>
          <w:rFonts w:ascii="Times New Roman" w:hAnsi="Times New Roman" w:cs="Times New Roman" w:eastAsia="Times New Roman" w:hint="default"/>
          <w:spacing w:val="-21"/>
          <w:sz w:val="22"/>
          <w:szCs w:val="22"/>
        </w:rPr>
        <w:t> </w:t>
      </w:r>
      <w:r>
        <w:rPr>
          <w:rFonts w:ascii="楷体" w:hAnsi="楷体" w:cs="楷体" w:eastAsia="楷体" w:hint="default"/>
          <w:w w:val="99"/>
          <w:sz w:val="22"/>
          <w:szCs w:val="22"/>
        </w:rPr>
        <w:t>年</w:t>
      </w:r>
      <w:r>
        <w:rPr>
          <w:rFonts w:ascii="楷体" w:hAnsi="楷体" w:cs="楷体" w:eastAsia="楷体" w:hint="default"/>
          <w:spacing w:val="-77"/>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21"/>
          <w:sz w:val="22"/>
          <w:szCs w:val="22"/>
        </w:rPr>
        <w:t> </w:t>
      </w:r>
      <w:r>
        <w:rPr>
          <w:rFonts w:ascii="楷体" w:hAnsi="楷体" w:cs="楷体" w:eastAsia="楷体" w:hint="default"/>
          <w:w w:val="99"/>
          <w:sz w:val="22"/>
          <w:szCs w:val="22"/>
        </w:rPr>
        <w:t>月</w:t>
      </w:r>
      <w:r>
        <w:rPr>
          <w:rFonts w:ascii="楷体" w:hAnsi="楷体" w:cs="楷体" w:eastAsia="楷体" w:hint="default"/>
          <w:spacing w:val="-76"/>
          <w:sz w:val="22"/>
          <w:szCs w:val="22"/>
        </w:rPr>
        <w:t> </w:t>
      </w:r>
      <w:r>
        <w:rPr>
          <w:rFonts w:ascii="Times New Roman" w:hAnsi="Times New Roman" w:cs="Times New Roman" w:eastAsia="Times New Roman" w:hint="default"/>
          <w:spacing w:val="-1"/>
          <w:w w:val="99"/>
          <w:sz w:val="22"/>
          <w:szCs w:val="22"/>
        </w:rPr>
        <w:t>3</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21"/>
          <w:sz w:val="22"/>
          <w:szCs w:val="22"/>
        </w:rPr>
        <w:t> </w:t>
      </w:r>
      <w:r>
        <w:rPr>
          <w:rFonts w:ascii="楷体" w:hAnsi="楷体" w:cs="楷体" w:eastAsia="楷体" w:hint="default"/>
          <w:w w:val="99"/>
          <w:sz w:val="22"/>
          <w:szCs w:val="22"/>
        </w:rPr>
        <w:t>日</w:t>
      </w:r>
      <w:r>
        <w:rPr>
          <w:rFonts w:ascii="楷体" w:hAnsi="楷体" w:cs="楷体" w:eastAsia="楷体" w:hint="default"/>
          <w:spacing w:val="-111"/>
          <w:w w:val="99"/>
          <w:sz w:val="22"/>
          <w:szCs w:val="22"/>
        </w:rPr>
        <w:t>，</w:t>
      </w:r>
      <w:r>
        <w:rPr>
          <w:rFonts w:ascii="楷体" w:hAnsi="楷体" w:cs="楷体" w:eastAsia="楷体" w:hint="default"/>
          <w:spacing w:val="1"/>
          <w:w w:val="99"/>
          <w:sz w:val="22"/>
          <w:szCs w:val="22"/>
        </w:rPr>
        <w:t>本</w:t>
      </w:r>
      <w:r>
        <w:rPr>
          <w:rFonts w:ascii="楷体" w:hAnsi="楷体" w:cs="楷体" w:eastAsia="楷体" w:hint="default"/>
          <w:w w:val="99"/>
          <w:sz w:val="22"/>
          <w:szCs w:val="22"/>
        </w:rPr>
        <w:t>公司</w:t>
      </w:r>
      <w:r>
        <w:rPr>
          <w:rFonts w:ascii="楷体" w:hAnsi="楷体" w:cs="楷体" w:eastAsia="楷体" w:hint="default"/>
          <w:spacing w:val="1"/>
          <w:w w:val="99"/>
          <w:sz w:val="22"/>
          <w:szCs w:val="22"/>
        </w:rPr>
        <w:t>之</w:t>
      </w:r>
      <w:r>
        <w:rPr>
          <w:rFonts w:ascii="楷体" w:hAnsi="楷体" w:cs="楷体" w:eastAsia="楷体" w:hint="default"/>
          <w:w w:val="99"/>
          <w:sz w:val="22"/>
          <w:szCs w:val="22"/>
        </w:rPr>
        <w:t>子</w:t>
      </w:r>
      <w:r>
        <w:rPr>
          <w:rFonts w:ascii="楷体" w:hAnsi="楷体" w:cs="楷体" w:eastAsia="楷体" w:hint="default"/>
          <w:spacing w:val="1"/>
          <w:w w:val="99"/>
          <w:sz w:val="22"/>
          <w:szCs w:val="22"/>
        </w:rPr>
        <w:t>公</w:t>
      </w:r>
      <w:r>
        <w:rPr>
          <w:rFonts w:ascii="楷体" w:hAnsi="楷体" w:cs="楷体" w:eastAsia="楷体" w:hint="default"/>
          <w:w w:val="99"/>
          <w:sz w:val="22"/>
          <w:szCs w:val="22"/>
        </w:rPr>
        <w:t>司沈</w:t>
      </w:r>
      <w:r>
        <w:rPr>
          <w:rFonts w:ascii="楷体" w:hAnsi="楷体" w:cs="楷体" w:eastAsia="楷体" w:hint="default"/>
          <w:spacing w:val="1"/>
          <w:w w:val="99"/>
          <w:sz w:val="22"/>
          <w:szCs w:val="22"/>
        </w:rPr>
        <w:t>阳</w:t>
      </w:r>
      <w:r>
        <w:rPr>
          <w:rFonts w:ascii="楷体" w:hAnsi="楷体" w:cs="楷体" w:eastAsia="楷体" w:hint="default"/>
          <w:w w:val="99"/>
          <w:sz w:val="22"/>
          <w:szCs w:val="22"/>
        </w:rPr>
        <w:t>同</w:t>
      </w:r>
      <w:r>
        <w:rPr>
          <w:rFonts w:ascii="楷体" w:hAnsi="楷体" w:cs="楷体" w:eastAsia="楷体" w:hint="default"/>
          <w:spacing w:val="1"/>
          <w:w w:val="99"/>
          <w:sz w:val="22"/>
          <w:szCs w:val="22"/>
        </w:rPr>
        <w:t>方</w:t>
      </w:r>
      <w:r>
        <w:rPr>
          <w:rFonts w:ascii="楷体" w:hAnsi="楷体" w:cs="楷体" w:eastAsia="楷体" w:hint="default"/>
          <w:w w:val="99"/>
          <w:sz w:val="22"/>
          <w:szCs w:val="22"/>
        </w:rPr>
        <w:t>多媒</w:t>
      </w:r>
      <w:r>
        <w:rPr>
          <w:rFonts w:ascii="楷体" w:hAnsi="楷体" w:cs="楷体" w:eastAsia="楷体" w:hint="default"/>
          <w:spacing w:val="1"/>
          <w:w w:val="99"/>
          <w:sz w:val="22"/>
          <w:szCs w:val="22"/>
        </w:rPr>
        <w:t>体</w:t>
      </w:r>
      <w:r>
        <w:rPr>
          <w:rFonts w:ascii="楷体" w:hAnsi="楷体" w:cs="楷体" w:eastAsia="楷体" w:hint="default"/>
          <w:w w:val="99"/>
          <w:sz w:val="22"/>
          <w:szCs w:val="22"/>
        </w:rPr>
        <w:t>科</w:t>
      </w:r>
      <w:r>
        <w:rPr>
          <w:rFonts w:ascii="楷体" w:hAnsi="楷体" w:cs="楷体" w:eastAsia="楷体" w:hint="default"/>
          <w:spacing w:val="1"/>
          <w:w w:val="99"/>
          <w:sz w:val="22"/>
          <w:szCs w:val="22"/>
        </w:rPr>
        <w:t>技</w:t>
      </w:r>
      <w:r>
        <w:rPr>
          <w:rFonts w:ascii="楷体" w:hAnsi="楷体" w:cs="楷体" w:eastAsia="楷体" w:hint="default"/>
          <w:w w:val="99"/>
          <w:sz w:val="22"/>
          <w:szCs w:val="22"/>
        </w:rPr>
        <w:t>有限</w:t>
      </w:r>
      <w:r>
        <w:rPr>
          <w:rFonts w:ascii="楷体" w:hAnsi="楷体" w:cs="楷体" w:eastAsia="楷体" w:hint="default"/>
          <w:spacing w:val="1"/>
          <w:w w:val="99"/>
          <w:sz w:val="22"/>
          <w:szCs w:val="22"/>
        </w:rPr>
        <w:t>公</w:t>
      </w:r>
      <w:r>
        <w:rPr>
          <w:rFonts w:ascii="楷体" w:hAnsi="楷体" w:cs="楷体" w:eastAsia="楷体" w:hint="default"/>
          <w:w w:val="99"/>
          <w:sz w:val="22"/>
          <w:szCs w:val="22"/>
        </w:rPr>
        <w:t>司</w:t>
      </w:r>
      <w:r>
        <w:rPr>
          <w:rFonts w:ascii="楷体" w:hAnsi="楷体" w:cs="楷体" w:eastAsia="楷体" w:hint="default"/>
          <w:spacing w:val="1"/>
          <w:w w:val="99"/>
          <w:sz w:val="22"/>
          <w:szCs w:val="22"/>
        </w:rPr>
        <w:t>取</w:t>
      </w:r>
      <w:r>
        <w:rPr>
          <w:rFonts w:ascii="楷体" w:hAnsi="楷体" w:cs="楷体" w:eastAsia="楷体" w:hint="default"/>
          <w:w w:val="99"/>
          <w:sz w:val="22"/>
          <w:szCs w:val="22"/>
        </w:rPr>
        <w:t>得借款</w:t>
      </w:r>
      <w:r>
        <w:rPr>
          <w:rFonts w:ascii="楷体" w:hAnsi="楷体" w:cs="楷体" w:eastAsia="楷体" w:hint="default"/>
          <w:spacing w:val="-75"/>
          <w:sz w:val="22"/>
          <w:szCs w:val="22"/>
        </w:rPr>
        <w:t> </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22,</w:t>
      </w:r>
      <w:r>
        <w:rPr>
          <w:rFonts w:ascii="Times New Roman" w:hAnsi="Times New Roman" w:cs="Times New Roman" w:eastAsia="Times New Roman" w:hint="default"/>
          <w:spacing w:val="-1"/>
          <w:w w:val="99"/>
          <w:sz w:val="22"/>
          <w:szCs w:val="22"/>
        </w:rPr>
        <w:t>9</w:t>
      </w:r>
      <w:r>
        <w:rPr>
          <w:rFonts w:ascii="Times New Roman" w:hAnsi="Times New Roman" w:cs="Times New Roman" w:eastAsia="Times New Roman" w:hint="default"/>
          <w:w w:val="99"/>
          <w:sz w:val="22"/>
          <w:szCs w:val="22"/>
        </w:rPr>
        <w:t>44.</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w:t>
      </w:r>
      <w:r>
        <w:rPr>
          <w:rFonts w:ascii="Times New Roman" w:hAnsi="Times New Roman" w:cs="Times New Roman" w:eastAsia="Times New Roman" w:hint="default"/>
          <w:sz w:val="22"/>
          <w:szCs w:val="22"/>
        </w:rPr>
      </w:r>
    </w:p>
    <w:p>
      <w:pPr>
        <w:spacing w:before="85"/>
        <w:ind w:left="138" w:right="86" w:firstLine="0"/>
        <w:jc w:val="left"/>
        <w:rPr>
          <w:rFonts w:ascii="楷体" w:hAnsi="楷体" w:cs="楷体" w:eastAsia="楷体" w:hint="default"/>
          <w:sz w:val="22"/>
          <w:szCs w:val="22"/>
        </w:rPr>
      </w:pPr>
      <w:r>
        <w:rPr>
          <w:rFonts w:ascii="楷体" w:hAnsi="楷体" w:cs="楷体" w:eastAsia="楷体" w:hint="default"/>
          <w:spacing w:val="-4"/>
          <w:sz w:val="22"/>
          <w:szCs w:val="22"/>
        </w:rPr>
        <w:t>美元、</w:t>
      </w:r>
      <w:r>
        <w:rPr>
          <w:rFonts w:ascii="Times New Roman" w:hAnsi="Times New Roman" w:cs="Times New Roman" w:eastAsia="Times New Roman" w:hint="default"/>
          <w:spacing w:val="-4"/>
          <w:sz w:val="22"/>
          <w:szCs w:val="22"/>
        </w:rPr>
        <w:t>Technovator</w:t>
      </w:r>
      <w:r>
        <w:rPr>
          <w:rFonts w:ascii="Times New Roman" w:hAnsi="Times New Roman" w:cs="Times New Roman" w:eastAsia="Times New Roman" w:hint="default"/>
          <w:spacing w:val="-2"/>
          <w:sz w:val="22"/>
          <w:szCs w:val="22"/>
        </w:rPr>
        <w:t> </w:t>
      </w:r>
      <w:r>
        <w:rPr>
          <w:rFonts w:ascii="Times New Roman" w:hAnsi="Times New Roman" w:cs="Times New Roman" w:eastAsia="Times New Roman" w:hint="default"/>
          <w:sz w:val="22"/>
          <w:szCs w:val="22"/>
        </w:rPr>
        <w:t>Int.</w:t>
      </w:r>
      <w:r>
        <w:rPr>
          <w:rFonts w:ascii="Times New Roman" w:hAnsi="Times New Roman" w:cs="Times New Roman" w:eastAsia="Times New Roman" w:hint="default"/>
          <w:spacing w:val="-1"/>
          <w:sz w:val="22"/>
          <w:szCs w:val="22"/>
        </w:rPr>
        <w:t> </w:t>
      </w:r>
      <w:r>
        <w:rPr>
          <w:rFonts w:ascii="Times New Roman" w:hAnsi="Times New Roman" w:cs="Times New Roman" w:eastAsia="Times New Roman" w:hint="default"/>
          <w:sz w:val="22"/>
          <w:szCs w:val="22"/>
        </w:rPr>
        <w:t>Private</w:t>
      </w:r>
      <w:r>
        <w:rPr>
          <w:rFonts w:ascii="Times New Roman" w:hAnsi="Times New Roman" w:cs="Times New Roman" w:eastAsia="Times New Roman" w:hint="default"/>
          <w:spacing w:val="-1"/>
          <w:sz w:val="22"/>
          <w:szCs w:val="22"/>
        </w:rPr>
        <w:t> </w:t>
      </w:r>
      <w:r>
        <w:rPr>
          <w:rFonts w:ascii="Times New Roman" w:hAnsi="Times New Roman" w:cs="Times New Roman" w:eastAsia="Times New Roman" w:hint="default"/>
          <w:sz w:val="22"/>
          <w:szCs w:val="22"/>
        </w:rPr>
        <w:t>Ltd.</w:t>
      </w:r>
      <w:r>
        <w:rPr>
          <w:rFonts w:ascii="楷体" w:hAnsi="楷体" w:cs="楷体" w:eastAsia="楷体" w:hint="default"/>
          <w:sz w:val="22"/>
          <w:szCs w:val="22"/>
        </w:rPr>
        <w:t>取得借款</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1,502,554.00</w:t>
      </w:r>
      <w:r>
        <w:rPr>
          <w:rFonts w:ascii="Times New Roman" w:hAnsi="Times New Roman" w:cs="Times New Roman" w:eastAsia="Times New Roman" w:hint="default"/>
          <w:spacing w:val="-1"/>
          <w:sz w:val="22"/>
          <w:szCs w:val="22"/>
        </w:rPr>
        <w:t> </w:t>
      </w:r>
      <w:r>
        <w:rPr>
          <w:rFonts w:ascii="楷体" w:hAnsi="楷体" w:cs="楷体" w:eastAsia="楷体" w:hint="default"/>
          <w:spacing w:val="-3"/>
          <w:sz w:val="22"/>
          <w:szCs w:val="22"/>
        </w:rPr>
        <w:t>美元，共计折合人民币</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17,260,768.63</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元。</w:t>
      </w:r>
    </w:p>
    <w:p>
      <w:pPr>
        <w:spacing w:after="0"/>
        <w:jc w:val="left"/>
        <w:rPr>
          <w:rFonts w:ascii="楷体" w:hAnsi="楷体" w:cs="楷体" w:eastAsia="楷体" w:hint="default"/>
          <w:sz w:val="22"/>
          <w:szCs w:val="22"/>
        </w:rPr>
        <w:sectPr>
          <w:type w:val="continuous"/>
          <w:pgSz w:w="11910" w:h="16840"/>
          <w:pgMar w:top="1600" w:bottom="280" w:left="1280" w:right="106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tbl>
      <w:tblPr>
        <w:tblW w:w="0" w:type="auto"/>
        <w:jc w:val="left"/>
        <w:tblInd w:w="416" w:type="dxa"/>
        <w:tblLayout w:type="fixed"/>
        <w:tblCellMar>
          <w:top w:w="0" w:type="dxa"/>
          <w:left w:w="0" w:type="dxa"/>
          <w:bottom w:w="0" w:type="dxa"/>
          <w:right w:w="0" w:type="dxa"/>
        </w:tblCellMar>
        <w:tblLook w:val="01E0"/>
      </w:tblPr>
      <w:tblGrid>
        <w:gridCol w:w="3282"/>
        <w:gridCol w:w="3184"/>
        <w:gridCol w:w="2171"/>
      </w:tblGrid>
      <w:tr>
        <w:trPr>
          <w:trHeight w:val="497" w:hRule="exact"/>
        </w:trPr>
        <w:tc>
          <w:tcPr>
            <w:tcW w:w="3282"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按借款条件列示</w:t>
            </w:r>
          </w:p>
        </w:tc>
        <w:tc>
          <w:tcPr>
            <w:tcW w:w="5355"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28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借款类别</w:t>
            </w:r>
            <w:r>
              <w:rPr>
                <w:rFonts w:ascii="Microsoft JhengHei" w:hAnsi="Microsoft JhengHei" w:cs="Microsoft JhengHei" w:eastAsia="Microsoft JhengHei" w:hint="default"/>
                <w:sz w:val="18"/>
                <w:szCs w:val="18"/>
              </w:rPr>
            </w:r>
          </w:p>
        </w:tc>
        <w:tc>
          <w:tcPr>
            <w:tcW w:w="3184"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2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17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282"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信用借款</w:t>
            </w:r>
          </w:p>
        </w:tc>
        <w:tc>
          <w:tcPr>
            <w:tcW w:w="318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09"/>
              <w:jc w:val="right"/>
              <w:rPr>
                <w:rFonts w:ascii="Times New Roman" w:hAnsi="Times New Roman" w:cs="Times New Roman" w:eastAsia="Times New Roman" w:hint="default"/>
                <w:sz w:val="18"/>
                <w:szCs w:val="18"/>
              </w:rPr>
            </w:pPr>
            <w:r>
              <w:rPr>
                <w:rFonts w:ascii="Times New Roman"/>
                <w:spacing w:val="-1"/>
                <w:sz w:val="18"/>
              </w:rPr>
              <w:t>1,485,000,000.00</w:t>
            </w:r>
          </w:p>
        </w:tc>
        <w:tc>
          <w:tcPr>
            <w:tcW w:w="217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1,689,176,330.00</w:t>
            </w:r>
          </w:p>
        </w:tc>
      </w:tr>
      <w:tr>
        <w:trPr>
          <w:trHeight w:val="283"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抵押借款</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7"/>
              <w:jc w:val="right"/>
              <w:rPr>
                <w:rFonts w:ascii="Times New Roman" w:hAnsi="Times New Roman" w:cs="Times New Roman" w:eastAsia="Times New Roman" w:hint="default"/>
                <w:sz w:val="18"/>
                <w:szCs w:val="18"/>
              </w:rPr>
            </w:pPr>
            <w:r>
              <w:rPr>
                <w:rFonts w:ascii="Times New Roman"/>
                <w:spacing w:val="-1"/>
                <w:sz w:val="18"/>
              </w:rPr>
              <w:t>102,900,000.00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73,860,000.00</w:t>
            </w:r>
          </w:p>
        </w:tc>
      </w:tr>
      <w:tr>
        <w:trPr>
          <w:trHeight w:val="283"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保证借款</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7"/>
              <w:jc w:val="right"/>
              <w:rPr>
                <w:rFonts w:ascii="Times New Roman" w:hAnsi="Times New Roman" w:cs="Times New Roman" w:eastAsia="Times New Roman" w:hint="default"/>
                <w:sz w:val="18"/>
                <w:szCs w:val="18"/>
              </w:rPr>
            </w:pPr>
            <w:r>
              <w:rPr>
                <w:rFonts w:ascii="Times New Roman"/>
                <w:spacing w:val="-1"/>
                <w:sz w:val="18"/>
              </w:rPr>
              <w:t>842,269,355.57</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717,400,000.00</w:t>
            </w:r>
          </w:p>
        </w:tc>
      </w:tr>
      <w:tr>
        <w:trPr>
          <w:trHeight w:val="289" w:hRule="exact"/>
        </w:trPr>
        <w:tc>
          <w:tcPr>
            <w:tcW w:w="3282"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质押借款</w:t>
            </w:r>
          </w:p>
        </w:tc>
        <w:tc>
          <w:tcPr>
            <w:tcW w:w="318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809"/>
              <w:jc w:val="right"/>
              <w:rPr>
                <w:rFonts w:ascii="Times New Roman" w:hAnsi="Times New Roman" w:cs="Times New Roman" w:eastAsia="Times New Roman" w:hint="default"/>
                <w:sz w:val="18"/>
                <w:szCs w:val="18"/>
              </w:rPr>
            </w:pPr>
            <w:r>
              <w:rPr>
                <w:rFonts w:ascii="Times New Roman"/>
                <w:spacing w:val="-1"/>
                <w:sz w:val="18"/>
              </w:rPr>
              <w:t>66,991,413.06</w:t>
            </w:r>
          </w:p>
        </w:tc>
        <w:tc>
          <w:tcPr>
            <w:tcW w:w="217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195,767,865.60</w:t>
            </w:r>
          </w:p>
        </w:tc>
      </w:tr>
      <w:tr>
        <w:trPr>
          <w:trHeight w:val="303" w:hRule="exact"/>
        </w:trPr>
        <w:tc>
          <w:tcPr>
            <w:tcW w:w="3282"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09"/>
              <w:jc w:val="right"/>
              <w:rPr>
                <w:rFonts w:ascii="Times New Roman" w:hAnsi="Times New Roman" w:cs="Times New Roman" w:eastAsia="Times New Roman" w:hint="default"/>
                <w:sz w:val="18"/>
                <w:szCs w:val="18"/>
              </w:rPr>
            </w:pPr>
            <w:r>
              <w:rPr>
                <w:rFonts w:ascii="Times New Roman"/>
                <w:b/>
                <w:spacing w:val="-1"/>
                <w:sz w:val="18"/>
              </w:rPr>
              <w:t>2,497,160,768.63</w:t>
            </w:r>
            <w:r>
              <w:rPr>
                <w:rFonts w:ascii="Times New Roman"/>
                <w:spacing w:val="-1"/>
                <w:sz w:val="18"/>
              </w:rPr>
            </w:r>
          </w:p>
        </w:tc>
        <w:tc>
          <w:tcPr>
            <w:tcW w:w="2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2,676,204,195.60</w:t>
            </w:r>
            <w:r>
              <w:rPr>
                <w:rFonts w:ascii="Times New Roman"/>
                <w:spacing w:val="-1"/>
                <w:sz w:val="18"/>
              </w:rPr>
            </w:r>
          </w:p>
        </w:tc>
      </w:tr>
    </w:tbl>
    <w:p>
      <w:pPr>
        <w:spacing w:before="79"/>
        <w:ind w:left="578" w:right="0" w:firstLine="0"/>
        <w:jc w:val="left"/>
        <w:rPr>
          <w:rFonts w:ascii="楷体" w:hAnsi="楷体" w:cs="楷体" w:eastAsia="楷体" w:hint="default"/>
          <w:sz w:val="22"/>
          <w:szCs w:val="22"/>
        </w:rPr>
      </w:pPr>
      <w:r>
        <w:rPr>
          <w:rFonts w:ascii="楷体" w:hAnsi="楷体" w:cs="楷体" w:eastAsia="楷体" w:hint="default"/>
          <w:sz w:val="22"/>
          <w:szCs w:val="22"/>
        </w:rPr>
        <w:t>截至</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年</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日，本公司短期抵押借款的抵押情况详见附注七、</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及七、</w:t>
      </w:r>
      <w:r>
        <w:rPr>
          <w:rFonts w:ascii="Times New Roman" w:hAnsi="Times New Roman" w:cs="Times New Roman" w:eastAsia="Times New Roman" w:hint="default"/>
          <w:sz w:val="22"/>
          <w:szCs w:val="22"/>
        </w:rPr>
        <w:t>17</w:t>
      </w:r>
      <w:r>
        <w:rPr>
          <w:rFonts w:ascii="楷体" w:hAnsi="楷体" w:cs="楷体" w:eastAsia="楷体" w:hint="default"/>
          <w:sz w:val="22"/>
          <w:szCs w:val="22"/>
        </w:rPr>
        <w:t>。</w:t>
      </w:r>
    </w:p>
    <w:p>
      <w:pPr>
        <w:spacing w:before="163"/>
        <w:ind w:left="578" w:right="0" w:firstLine="0"/>
        <w:jc w:val="left"/>
        <w:rPr>
          <w:rFonts w:ascii="楷体" w:hAnsi="楷体" w:cs="楷体" w:eastAsia="楷体" w:hint="default"/>
          <w:sz w:val="22"/>
          <w:szCs w:val="22"/>
        </w:rPr>
      </w:pPr>
      <w:r>
        <w:rPr>
          <w:rFonts w:ascii="楷体" w:hAnsi="楷体" w:cs="楷体" w:eastAsia="楷体" w:hint="default"/>
          <w:w w:val="99"/>
          <w:sz w:val="22"/>
          <w:szCs w:val="22"/>
        </w:rPr>
        <w:t>截至</w:t>
      </w:r>
      <w:r>
        <w:rPr>
          <w:rFonts w:ascii="楷体" w:hAnsi="楷体" w:cs="楷体" w:eastAsia="楷体" w:hint="default"/>
          <w:spacing w:val="-54"/>
          <w:sz w:val="22"/>
          <w:szCs w:val="22"/>
        </w:rPr>
        <w:t> </w:t>
      </w:r>
      <w:r>
        <w:rPr>
          <w:rFonts w:ascii="Times New Roman" w:hAnsi="Times New Roman" w:cs="Times New Roman" w:eastAsia="Times New Roman" w:hint="default"/>
          <w:w w:val="99"/>
          <w:sz w:val="22"/>
          <w:szCs w:val="22"/>
        </w:rPr>
        <w:t>2</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08</w:t>
      </w:r>
      <w:r>
        <w:rPr>
          <w:rFonts w:ascii="Times New Roman" w:hAnsi="Times New Roman" w:cs="Times New Roman" w:eastAsia="Times New Roman" w:hint="default"/>
          <w:spacing w:val="-1"/>
          <w:sz w:val="22"/>
          <w:szCs w:val="22"/>
        </w:rPr>
        <w:t> </w:t>
      </w:r>
      <w:r>
        <w:rPr>
          <w:rFonts w:ascii="楷体" w:hAnsi="楷体" w:cs="楷体" w:eastAsia="楷体" w:hint="default"/>
          <w:w w:val="99"/>
          <w:sz w:val="22"/>
          <w:szCs w:val="22"/>
        </w:rPr>
        <w:t>年</w:t>
      </w:r>
      <w:r>
        <w:rPr>
          <w:rFonts w:ascii="楷体" w:hAnsi="楷体" w:cs="楷体" w:eastAsia="楷体" w:hint="default"/>
          <w:spacing w:val="-54"/>
          <w:sz w:val="22"/>
          <w:szCs w:val="22"/>
        </w:rPr>
        <w:t> </w:t>
      </w:r>
      <w:r>
        <w:rPr>
          <w:rFonts w:ascii="Times New Roman" w:hAnsi="Times New Roman" w:cs="Times New Roman" w:eastAsia="Times New Roman" w:hint="default"/>
          <w:spacing w:val="-1"/>
          <w:w w:val="99"/>
          <w:sz w:val="22"/>
          <w:szCs w:val="22"/>
        </w:rPr>
        <w:t>1</w:t>
      </w:r>
      <w:r>
        <w:rPr>
          <w:rFonts w:ascii="Times New Roman" w:hAnsi="Times New Roman" w:cs="Times New Roman" w:eastAsia="Times New Roman" w:hint="default"/>
          <w:w w:val="99"/>
          <w:sz w:val="22"/>
          <w:szCs w:val="22"/>
        </w:rPr>
        <w:t>2</w:t>
      </w:r>
      <w:r>
        <w:rPr>
          <w:rFonts w:ascii="Times New Roman" w:hAnsi="Times New Roman" w:cs="Times New Roman" w:eastAsia="Times New Roman" w:hint="default"/>
          <w:spacing w:val="-1"/>
          <w:sz w:val="22"/>
          <w:szCs w:val="22"/>
        </w:rPr>
        <w:t> </w:t>
      </w:r>
      <w:r>
        <w:rPr>
          <w:rFonts w:ascii="楷体" w:hAnsi="楷体" w:cs="楷体" w:eastAsia="楷体" w:hint="default"/>
          <w:w w:val="99"/>
          <w:sz w:val="22"/>
          <w:szCs w:val="22"/>
        </w:rPr>
        <w:t>月</w:t>
      </w:r>
      <w:r>
        <w:rPr>
          <w:rFonts w:ascii="楷体" w:hAnsi="楷体" w:cs="楷体" w:eastAsia="楷体" w:hint="default"/>
          <w:spacing w:val="-54"/>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
          <w:sz w:val="22"/>
          <w:szCs w:val="22"/>
        </w:rPr>
        <w:t> </w:t>
      </w:r>
      <w:r>
        <w:rPr>
          <w:rFonts w:ascii="楷体" w:hAnsi="楷体" w:cs="楷体" w:eastAsia="楷体" w:hint="default"/>
          <w:spacing w:val="1"/>
          <w:w w:val="99"/>
          <w:sz w:val="22"/>
          <w:szCs w:val="22"/>
        </w:rPr>
        <w:t>日</w:t>
      </w:r>
      <w:r>
        <w:rPr>
          <w:rFonts w:ascii="楷体" w:hAnsi="楷体" w:cs="楷体" w:eastAsia="楷体" w:hint="default"/>
          <w:w w:val="99"/>
          <w:sz w:val="22"/>
          <w:szCs w:val="22"/>
        </w:rPr>
        <w:t>，本</w:t>
      </w:r>
      <w:r>
        <w:rPr>
          <w:rFonts w:ascii="楷体" w:hAnsi="楷体" w:cs="楷体" w:eastAsia="楷体" w:hint="default"/>
          <w:spacing w:val="1"/>
          <w:w w:val="99"/>
          <w:sz w:val="22"/>
          <w:szCs w:val="22"/>
        </w:rPr>
        <w:t>公</w:t>
      </w:r>
      <w:r>
        <w:rPr>
          <w:rFonts w:ascii="楷体" w:hAnsi="楷体" w:cs="楷体" w:eastAsia="楷体" w:hint="default"/>
          <w:w w:val="99"/>
          <w:sz w:val="22"/>
          <w:szCs w:val="22"/>
        </w:rPr>
        <w:t>司</w:t>
      </w:r>
      <w:r>
        <w:rPr>
          <w:rFonts w:ascii="楷体" w:hAnsi="楷体" w:cs="楷体" w:eastAsia="楷体" w:hint="default"/>
          <w:spacing w:val="1"/>
          <w:w w:val="99"/>
          <w:sz w:val="22"/>
          <w:szCs w:val="22"/>
        </w:rPr>
        <w:t>短</w:t>
      </w:r>
      <w:r>
        <w:rPr>
          <w:rFonts w:ascii="楷体" w:hAnsi="楷体" w:cs="楷体" w:eastAsia="楷体" w:hint="default"/>
          <w:w w:val="99"/>
          <w:sz w:val="22"/>
          <w:szCs w:val="22"/>
        </w:rPr>
        <w:t>期保</w:t>
      </w:r>
      <w:r>
        <w:rPr>
          <w:rFonts w:ascii="楷体" w:hAnsi="楷体" w:cs="楷体" w:eastAsia="楷体" w:hint="default"/>
          <w:spacing w:val="1"/>
          <w:w w:val="99"/>
          <w:sz w:val="22"/>
          <w:szCs w:val="22"/>
        </w:rPr>
        <w:t>证</w:t>
      </w:r>
      <w:r>
        <w:rPr>
          <w:rFonts w:ascii="楷体" w:hAnsi="楷体" w:cs="楷体" w:eastAsia="楷体" w:hint="default"/>
          <w:w w:val="99"/>
          <w:sz w:val="22"/>
          <w:szCs w:val="22"/>
        </w:rPr>
        <w:t>借</w:t>
      </w:r>
      <w:r>
        <w:rPr>
          <w:rFonts w:ascii="楷体" w:hAnsi="楷体" w:cs="楷体" w:eastAsia="楷体" w:hint="default"/>
          <w:spacing w:val="1"/>
          <w:w w:val="99"/>
          <w:sz w:val="22"/>
          <w:szCs w:val="22"/>
        </w:rPr>
        <w:t>款</w:t>
      </w:r>
      <w:r>
        <w:rPr>
          <w:rFonts w:ascii="楷体" w:hAnsi="楷体" w:cs="楷体" w:eastAsia="楷体" w:hint="default"/>
          <w:w w:val="99"/>
          <w:sz w:val="22"/>
          <w:szCs w:val="22"/>
        </w:rPr>
        <w:t>的担</w:t>
      </w:r>
      <w:r>
        <w:rPr>
          <w:rFonts w:ascii="楷体" w:hAnsi="楷体" w:cs="楷体" w:eastAsia="楷体" w:hint="default"/>
          <w:spacing w:val="1"/>
          <w:w w:val="99"/>
          <w:sz w:val="22"/>
          <w:szCs w:val="22"/>
        </w:rPr>
        <w:t>保</w:t>
      </w:r>
      <w:r>
        <w:rPr>
          <w:rFonts w:ascii="楷体" w:hAnsi="楷体" w:cs="楷体" w:eastAsia="楷体" w:hint="default"/>
          <w:w w:val="99"/>
          <w:sz w:val="22"/>
          <w:szCs w:val="22"/>
        </w:rPr>
        <w:t>情</w:t>
      </w:r>
      <w:r>
        <w:rPr>
          <w:rFonts w:ascii="楷体" w:hAnsi="楷体" w:cs="楷体" w:eastAsia="楷体" w:hint="default"/>
          <w:spacing w:val="1"/>
          <w:w w:val="99"/>
          <w:sz w:val="22"/>
          <w:szCs w:val="22"/>
        </w:rPr>
        <w:t>况</w:t>
      </w:r>
      <w:r>
        <w:rPr>
          <w:rFonts w:ascii="楷体" w:hAnsi="楷体" w:cs="楷体" w:eastAsia="楷体" w:hint="default"/>
          <w:w w:val="99"/>
          <w:sz w:val="22"/>
          <w:szCs w:val="22"/>
        </w:rPr>
        <w:t>详见</w:t>
      </w:r>
      <w:r>
        <w:rPr>
          <w:rFonts w:ascii="楷体" w:hAnsi="楷体" w:cs="楷体" w:eastAsia="楷体" w:hint="default"/>
          <w:spacing w:val="1"/>
          <w:w w:val="99"/>
          <w:sz w:val="22"/>
          <w:szCs w:val="22"/>
        </w:rPr>
        <w:t>附</w:t>
      </w:r>
      <w:r>
        <w:rPr>
          <w:rFonts w:ascii="楷体" w:hAnsi="楷体" w:cs="楷体" w:eastAsia="楷体" w:hint="default"/>
          <w:w w:val="99"/>
          <w:sz w:val="22"/>
          <w:szCs w:val="22"/>
        </w:rPr>
        <w:t>注</w:t>
      </w:r>
      <w:r>
        <w:rPr>
          <w:rFonts w:ascii="楷体" w:hAnsi="楷体" w:cs="楷体" w:eastAsia="楷体" w:hint="default"/>
          <w:spacing w:val="1"/>
          <w:w w:val="99"/>
          <w:sz w:val="22"/>
          <w:szCs w:val="22"/>
        </w:rPr>
        <w:t>十</w:t>
      </w:r>
      <w:r>
        <w:rPr>
          <w:rFonts w:ascii="楷体" w:hAnsi="楷体" w:cs="楷体" w:eastAsia="楷体" w:hint="default"/>
          <w:w w:val="99"/>
          <w:sz w:val="22"/>
          <w:szCs w:val="22"/>
        </w:rPr>
        <w:t>一</w:t>
      </w:r>
      <w:r>
        <w:rPr>
          <w:rFonts w:ascii="楷体" w:hAnsi="楷体" w:cs="楷体" w:eastAsia="楷体" w:hint="default"/>
          <w:spacing w:val="-109"/>
          <w:w w:val="99"/>
          <w:sz w:val="22"/>
          <w:szCs w:val="22"/>
        </w:rPr>
        <w:t>、</w:t>
      </w:r>
      <w:r>
        <w:rPr>
          <w:rFonts w:ascii="楷体" w:hAnsi="楷体" w:cs="楷体" w:eastAsia="楷体" w:hint="default"/>
          <w:w w:val="99"/>
          <w:sz w:val="22"/>
          <w:szCs w:val="22"/>
        </w:rPr>
        <w:t>（</w:t>
      </w:r>
      <w:r>
        <w:rPr>
          <w:rFonts w:ascii="楷体" w:hAnsi="楷体" w:cs="楷体" w:eastAsia="楷体" w:hint="default"/>
          <w:spacing w:val="1"/>
          <w:w w:val="99"/>
          <w:sz w:val="22"/>
          <w:szCs w:val="22"/>
        </w:rPr>
        <w:t>二</w:t>
      </w:r>
      <w:r>
        <w:rPr>
          <w:rFonts w:ascii="楷体" w:hAnsi="楷体" w:cs="楷体" w:eastAsia="楷体" w:hint="default"/>
          <w:spacing w:val="-111"/>
          <w:w w:val="99"/>
          <w:sz w:val="22"/>
          <w:szCs w:val="22"/>
        </w:rPr>
        <w:t>）</w:t>
      </w:r>
      <w:r>
        <w:rPr>
          <w:rFonts w:ascii="楷体" w:hAnsi="楷体" w:cs="楷体" w:eastAsia="楷体" w:hint="default"/>
          <w:w w:val="99"/>
          <w:sz w:val="22"/>
          <w:szCs w:val="22"/>
        </w:rPr>
        <w:t>。</w:t>
      </w:r>
      <w:r>
        <w:rPr>
          <w:rFonts w:ascii="楷体" w:hAnsi="楷体" w:cs="楷体" w:eastAsia="楷体" w:hint="default"/>
          <w:sz w:val="22"/>
          <w:szCs w:val="22"/>
        </w:rPr>
      </w:r>
    </w:p>
    <w:p>
      <w:pPr>
        <w:spacing w:before="163"/>
        <w:ind w:left="578" w:right="0" w:firstLine="0"/>
        <w:jc w:val="left"/>
        <w:rPr>
          <w:rFonts w:ascii="楷体" w:hAnsi="楷体" w:cs="楷体" w:eastAsia="楷体" w:hint="default"/>
          <w:sz w:val="22"/>
          <w:szCs w:val="22"/>
        </w:rPr>
      </w:pPr>
      <w:r>
        <w:rPr>
          <w:rFonts w:ascii="楷体" w:hAnsi="楷体" w:cs="楷体" w:eastAsia="楷体" w:hint="default"/>
          <w:spacing w:val="10"/>
          <w:sz w:val="22"/>
          <w:szCs w:val="22"/>
        </w:rPr>
        <w:t>截至</w:t>
      </w:r>
      <w:r>
        <w:rPr>
          <w:rFonts w:ascii="楷体" w:hAnsi="楷体" w:cs="楷体" w:eastAsia="楷体" w:hint="default"/>
          <w:spacing w:val="19"/>
          <w:sz w:val="22"/>
          <w:szCs w:val="22"/>
        </w:rPr>
        <w:t> </w:t>
      </w:r>
      <w:r>
        <w:rPr>
          <w:rFonts w:ascii="Times New Roman" w:hAnsi="Times New Roman" w:cs="Times New Roman" w:eastAsia="Times New Roman" w:hint="default"/>
          <w:sz w:val="22"/>
          <w:szCs w:val="22"/>
        </w:rPr>
        <w:t>2008 </w:t>
      </w:r>
      <w:r>
        <w:rPr>
          <w:rFonts w:ascii="Times New Roman" w:hAnsi="Times New Roman" w:cs="Times New Roman" w:eastAsia="Times New Roman" w:hint="default"/>
          <w:spacing w:val="18"/>
          <w:sz w:val="22"/>
          <w:szCs w:val="22"/>
        </w:rPr>
        <w:t> </w:t>
      </w:r>
      <w:r>
        <w:rPr>
          <w:rFonts w:ascii="楷体" w:hAnsi="楷体" w:cs="楷体" w:eastAsia="楷体" w:hint="default"/>
          <w:sz w:val="22"/>
          <w:szCs w:val="22"/>
        </w:rPr>
        <w:t>年</w:t>
      </w:r>
      <w:r>
        <w:rPr>
          <w:rFonts w:ascii="楷体" w:hAnsi="楷体" w:cs="楷体" w:eastAsia="楷体" w:hint="default"/>
          <w:spacing w:val="20"/>
          <w:sz w:val="22"/>
          <w:szCs w:val="22"/>
        </w:rPr>
        <w:t> </w:t>
      </w:r>
      <w:r>
        <w:rPr>
          <w:rFonts w:ascii="Times New Roman" w:hAnsi="Times New Roman" w:cs="Times New Roman" w:eastAsia="Times New Roman" w:hint="default"/>
          <w:sz w:val="22"/>
          <w:szCs w:val="22"/>
        </w:rPr>
        <w:t>12 </w:t>
      </w:r>
      <w:r>
        <w:rPr>
          <w:rFonts w:ascii="Times New Roman" w:hAnsi="Times New Roman" w:cs="Times New Roman" w:eastAsia="Times New Roman" w:hint="default"/>
          <w:spacing w:val="19"/>
          <w:sz w:val="22"/>
          <w:szCs w:val="22"/>
        </w:rPr>
        <w:t> </w:t>
      </w:r>
      <w:r>
        <w:rPr>
          <w:rFonts w:ascii="楷体" w:hAnsi="楷体" w:cs="楷体" w:eastAsia="楷体" w:hint="default"/>
          <w:sz w:val="22"/>
          <w:szCs w:val="22"/>
        </w:rPr>
        <w:t>月</w:t>
      </w:r>
      <w:r>
        <w:rPr>
          <w:rFonts w:ascii="楷体" w:hAnsi="楷体" w:cs="楷体" w:eastAsia="楷体" w:hint="default"/>
          <w:spacing w:val="20"/>
          <w:sz w:val="22"/>
          <w:szCs w:val="22"/>
        </w:rPr>
        <w:t> </w:t>
      </w:r>
      <w:r>
        <w:rPr>
          <w:rFonts w:ascii="Times New Roman" w:hAnsi="Times New Roman" w:cs="Times New Roman" w:eastAsia="Times New Roman" w:hint="default"/>
          <w:sz w:val="22"/>
          <w:szCs w:val="22"/>
        </w:rPr>
        <w:t>31 </w:t>
      </w:r>
      <w:r>
        <w:rPr>
          <w:rFonts w:ascii="Times New Roman" w:hAnsi="Times New Roman" w:cs="Times New Roman" w:eastAsia="Times New Roman" w:hint="default"/>
          <w:spacing w:val="20"/>
          <w:sz w:val="22"/>
          <w:szCs w:val="22"/>
        </w:rPr>
        <w:t> </w:t>
      </w:r>
      <w:r>
        <w:rPr>
          <w:rFonts w:ascii="楷体" w:hAnsi="楷体" w:cs="楷体" w:eastAsia="楷体" w:hint="default"/>
          <w:spacing w:val="9"/>
          <w:sz w:val="22"/>
          <w:szCs w:val="22"/>
        </w:rPr>
        <w:t>日，</w:t>
      </w:r>
      <w:r>
        <w:rPr>
          <w:rFonts w:ascii="楷体" w:hAnsi="楷体" w:cs="楷体" w:eastAsia="楷体" w:hint="default"/>
          <w:spacing w:val="-90"/>
          <w:sz w:val="22"/>
          <w:szCs w:val="22"/>
        </w:rPr>
        <w:t> </w:t>
      </w:r>
      <w:r>
        <w:rPr>
          <w:rFonts w:ascii="楷体" w:hAnsi="楷体" w:cs="楷体" w:eastAsia="楷体" w:hint="default"/>
          <w:spacing w:val="18"/>
          <w:sz w:val="22"/>
          <w:szCs w:val="22"/>
        </w:rPr>
        <w:t>本公司之二级子公司同方江新造船有限公司以定期存单</w:t>
      </w:r>
    </w:p>
    <w:p>
      <w:pPr>
        <w:spacing w:before="85"/>
        <w:ind w:left="138" w:right="0" w:firstLine="0"/>
        <w:jc w:val="left"/>
        <w:rPr>
          <w:rFonts w:ascii="楷体" w:hAnsi="楷体" w:cs="楷体" w:eastAsia="楷体" w:hint="default"/>
          <w:sz w:val="22"/>
          <w:szCs w:val="22"/>
        </w:rPr>
      </w:pPr>
      <w:r>
        <w:rPr>
          <w:rFonts w:ascii="Times New Roman" w:hAnsi="Times New Roman" w:cs="Times New Roman" w:eastAsia="Times New Roman" w:hint="default"/>
          <w:w w:val="99"/>
          <w:sz w:val="22"/>
          <w:szCs w:val="22"/>
        </w:rPr>
        <w:t>67,</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w:t>
      </w:r>
      <w:r>
        <w:rPr>
          <w:rFonts w:ascii="Times New Roman" w:hAnsi="Times New Roman" w:cs="Times New Roman" w:eastAsia="Times New Roman" w:hint="default"/>
          <w:sz w:val="22"/>
          <w:szCs w:val="22"/>
        </w:rPr>
        <w:t> </w:t>
      </w:r>
      <w:r>
        <w:rPr>
          <w:rFonts w:ascii="楷体" w:hAnsi="楷体" w:cs="楷体" w:eastAsia="楷体" w:hint="default"/>
          <w:w w:val="99"/>
          <w:sz w:val="22"/>
          <w:szCs w:val="22"/>
        </w:rPr>
        <w:t>元为</w:t>
      </w:r>
      <w:r>
        <w:rPr>
          <w:rFonts w:ascii="楷体" w:hAnsi="楷体" w:cs="楷体" w:eastAsia="楷体" w:hint="default"/>
          <w:spacing w:val="1"/>
          <w:w w:val="99"/>
          <w:sz w:val="22"/>
          <w:szCs w:val="22"/>
        </w:rPr>
        <w:t>质</w:t>
      </w:r>
      <w:r>
        <w:rPr>
          <w:rFonts w:ascii="楷体" w:hAnsi="楷体" w:cs="楷体" w:eastAsia="楷体" w:hint="default"/>
          <w:w w:val="99"/>
          <w:sz w:val="22"/>
          <w:szCs w:val="22"/>
        </w:rPr>
        <w:t>押</w:t>
      </w:r>
      <w:r>
        <w:rPr>
          <w:rFonts w:ascii="楷体" w:hAnsi="楷体" w:cs="楷体" w:eastAsia="楷体" w:hint="default"/>
          <w:spacing w:val="1"/>
          <w:w w:val="99"/>
          <w:sz w:val="22"/>
          <w:szCs w:val="22"/>
        </w:rPr>
        <w:t>物</w:t>
      </w:r>
      <w:r>
        <w:rPr>
          <w:rFonts w:ascii="楷体" w:hAnsi="楷体" w:cs="楷体" w:eastAsia="楷体" w:hint="default"/>
          <w:w w:val="99"/>
          <w:sz w:val="22"/>
          <w:szCs w:val="22"/>
        </w:rPr>
        <w:t>取得</w:t>
      </w:r>
      <w:r>
        <w:rPr>
          <w:rFonts w:ascii="楷体" w:hAnsi="楷体" w:cs="楷体" w:eastAsia="楷体" w:hint="default"/>
          <w:spacing w:val="1"/>
          <w:w w:val="99"/>
          <w:sz w:val="22"/>
          <w:szCs w:val="22"/>
        </w:rPr>
        <w:t>短</w:t>
      </w:r>
      <w:r>
        <w:rPr>
          <w:rFonts w:ascii="楷体" w:hAnsi="楷体" w:cs="楷体" w:eastAsia="楷体" w:hint="default"/>
          <w:w w:val="99"/>
          <w:sz w:val="22"/>
          <w:szCs w:val="22"/>
        </w:rPr>
        <w:t>期借款</w:t>
      </w:r>
      <w:r>
        <w:rPr>
          <w:rFonts w:ascii="楷体" w:hAnsi="楷体" w:cs="楷体" w:eastAsia="楷体" w:hint="default"/>
          <w:spacing w:val="-54"/>
          <w:sz w:val="22"/>
          <w:szCs w:val="22"/>
        </w:rPr>
        <w:t> </w:t>
      </w:r>
      <w:r>
        <w:rPr>
          <w:rFonts w:ascii="Times New Roman" w:hAnsi="Times New Roman" w:cs="Times New Roman" w:eastAsia="Times New Roman" w:hint="default"/>
          <w:w w:val="99"/>
          <w:sz w:val="22"/>
          <w:szCs w:val="22"/>
        </w:rPr>
        <w:t>60</w:t>
      </w:r>
      <w:r>
        <w:rPr>
          <w:rFonts w:ascii="Times New Roman" w:hAnsi="Times New Roman" w:cs="Times New Roman" w:eastAsia="Times New Roman" w:hint="default"/>
          <w:spacing w:val="-1"/>
          <w:w w:val="99"/>
          <w:sz w:val="22"/>
          <w:szCs w:val="22"/>
        </w:rPr>
        <w:t>,</w:t>
      </w:r>
      <w:r>
        <w:rPr>
          <w:rFonts w:ascii="Times New Roman" w:hAnsi="Times New Roman" w:cs="Times New Roman" w:eastAsia="Times New Roman" w:hint="default"/>
          <w:w w:val="99"/>
          <w:sz w:val="22"/>
          <w:szCs w:val="22"/>
        </w:rPr>
        <w:t>00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000</w:t>
      </w:r>
      <w:r>
        <w:rPr>
          <w:rFonts w:ascii="Times New Roman" w:hAnsi="Times New Roman" w:cs="Times New Roman" w:eastAsia="Times New Roman" w:hint="default"/>
          <w:spacing w:val="-1"/>
          <w:w w:val="99"/>
          <w:sz w:val="22"/>
          <w:szCs w:val="22"/>
        </w:rPr>
        <w:t>.</w:t>
      </w:r>
      <w:r>
        <w:rPr>
          <w:rFonts w:ascii="Times New Roman" w:hAnsi="Times New Roman" w:cs="Times New Roman" w:eastAsia="Times New Roman" w:hint="default"/>
          <w:w w:val="99"/>
          <w:sz w:val="22"/>
          <w:szCs w:val="22"/>
        </w:rPr>
        <w:t>00</w:t>
      </w:r>
      <w:r>
        <w:rPr>
          <w:rFonts w:ascii="Times New Roman" w:hAnsi="Times New Roman" w:cs="Times New Roman" w:eastAsia="Times New Roman" w:hint="default"/>
          <w:spacing w:val="-1"/>
          <w:sz w:val="22"/>
          <w:szCs w:val="22"/>
        </w:rPr>
        <w:t> </w:t>
      </w:r>
      <w:r>
        <w:rPr>
          <w:rFonts w:ascii="楷体" w:hAnsi="楷体" w:cs="楷体" w:eastAsia="楷体" w:hint="default"/>
          <w:w w:val="99"/>
          <w:sz w:val="22"/>
          <w:szCs w:val="22"/>
        </w:rPr>
        <w:t>元</w:t>
      </w:r>
      <w:r>
        <w:rPr>
          <w:rFonts w:ascii="楷体" w:hAnsi="楷体" w:cs="楷体" w:eastAsia="楷体" w:hint="default"/>
          <w:spacing w:val="-93"/>
          <w:w w:val="99"/>
          <w:sz w:val="22"/>
          <w:szCs w:val="22"/>
        </w:rPr>
        <w:t>；</w:t>
      </w:r>
      <w:r>
        <w:rPr>
          <w:rFonts w:ascii="楷体" w:hAnsi="楷体" w:cs="楷体" w:eastAsia="楷体" w:hint="default"/>
          <w:w w:val="99"/>
          <w:sz w:val="22"/>
          <w:szCs w:val="22"/>
        </w:rPr>
        <w:t>本</w:t>
      </w:r>
      <w:r>
        <w:rPr>
          <w:rFonts w:ascii="楷体" w:hAnsi="楷体" w:cs="楷体" w:eastAsia="楷体" w:hint="default"/>
          <w:spacing w:val="1"/>
          <w:w w:val="99"/>
          <w:sz w:val="22"/>
          <w:szCs w:val="22"/>
        </w:rPr>
        <w:t>公</w:t>
      </w:r>
      <w:r>
        <w:rPr>
          <w:rFonts w:ascii="楷体" w:hAnsi="楷体" w:cs="楷体" w:eastAsia="楷体" w:hint="default"/>
          <w:w w:val="99"/>
          <w:sz w:val="22"/>
          <w:szCs w:val="22"/>
        </w:rPr>
        <w:t>司之</w:t>
      </w:r>
      <w:r>
        <w:rPr>
          <w:rFonts w:ascii="楷体" w:hAnsi="楷体" w:cs="楷体" w:eastAsia="楷体" w:hint="default"/>
          <w:spacing w:val="1"/>
          <w:w w:val="99"/>
          <w:sz w:val="22"/>
          <w:szCs w:val="22"/>
        </w:rPr>
        <w:t>子</w:t>
      </w:r>
      <w:r>
        <w:rPr>
          <w:rFonts w:ascii="楷体" w:hAnsi="楷体" w:cs="楷体" w:eastAsia="楷体" w:hint="default"/>
          <w:w w:val="99"/>
          <w:sz w:val="22"/>
          <w:szCs w:val="22"/>
        </w:rPr>
        <w:t>公</w:t>
      </w:r>
      <w:r>
        <w:rPr>
          <w:rFonts w:ascii="楷体" w:hAnsi="楷体" w:cs="楷体" w:eastAsia="楷体" w:hint="default"/>
          <w:spacing w:val="1"/>
          <w:w w:val="99"/>
          <w:sz w:val="22"/>
          <w:szCs w:val="22"/>
        </w:rPr>
        <w:t>司</w:t>
      </w:r>
      <w:r>
        <w:rPr>
          <w:rFonts w:ascii="楷体" w:hAnsi="楷体" w:cs="楷体" w:eastAsia="楷体" w:hint="default"/>
          <w:w w:val="99"/>
          <w:sz w:val="22"/>
          <w:szCs w:val="22"/>
        </w:rPr>
        <w:t>沈阳</w:t>
      </w:r>
      <w:r>
        <w:rPr>
          <w:rFonts w:ascii="楷体" w:hAnsi="楷体" w:cs="楷体" w:eastAsia="楷体" w:hint="default"/>
          <w:spacing w:val="1"/>
          <w:w w:val="99"/>
          <w:sz w:val="22"/>
          <w:szCs w:val="22"/>
        </w:rPr>
        <w:t>同</w:t>
      </w:r>
      <w:r>
        <w:rPr>
          <w:rFonts w:ascii="楷体" w:hAnsi="楷体" w:cs="楷体" w:eastAsia="楷体" w:hint="default"/>
          <w:w w:val="99"/>
          <w:sz w:val="22"/>
          <w:szCs w:val="22"/>
        </w:rPr>
        <w:t>方</w:t>
      </w:r>
      <w:r>
        <w:rPr>
          <w:rFonts w:ascii="楷体" w:hAnsi="楷体" w:cs="楷体" w:eastAsia="楷体" w:hint="default"/>
          <w:spacing w:val="1"/>
          <w:w w:val="99"/>
          <w:sz w:val="22"/>
          <w:szCs w:val="22"/>
        </w:rPr>
        <w:t>多</w:t>
      </w:r>
      <w:r>
        <w:rPr>
          <w:rFonts w:ascii="楷体" w:hAnsi="楷体" w:cs="楷体" w:eastAsia="楷体" w:hint="default"/>
          <w:w w:val="99"/>
          <w:sz w:val="22"/>
          <w:szCs w:val="22"/>
        </w:rPr>
        <w:t>媒体</w:t>
      </w:r>
      <w:r>
        <w:rPr>
          <w:rFonts w:ascii="楷体" w:hAnsi="楷体" w:cs="楷体" w:eastAsia="楷体" w:hint="default"/>
          <w:spacing w:val="1"/>
          <w:w w:val="99"/>
          <w:sz w:val="22"/>
          <w:szCs w:val="22"/>
        </w:rPr>
        <w:t>科</w:t>
      </w:r>
      <w:r>
        <w:rPr>
          <w:rFonts w:ascii="楷体" w:hAnsi="楷体" w:cs="楷体" w:eastAsia="楷体" w:hint="default"/>
          <w:w w:val="99"/>
          <w:sz w:val="22"/>
          <w:szCs w:val="22"/>
        </w:rPr>
        <w:t>技有</w:t>
      </w:r>
      <w:r>
        <w:rPr>
          <w:rFonts w:ascii="楷体" w:hAnsi="楷体" w:cs="楷体" w:eastAsia="楷体" w:hint="default"/>
          <w:sz w:val="22"/>
          <w:szCs w:val="22"/>
        </w:rPr>
      </w:r>
    </w:p>
    <w:p>
      <w:pPr>
        <w:spacing w:before="85"/>
        <w:ind w:left="137" w:right="0" w:firstLine="0"/>
        <w:jc w:val="left"/>
        <w:rPr>
          <w:rFonts w:ascii="Times New Roman" w:hAnsi="Times New Roman" w:cs="Times New Roman" w:eastAsia="Times New Roman" w:hint="default"/>
          <w:sz w:val="22"/>
          <w:szCs w:val="22"/>
        </w:rPr>
      </w:pPr>
      <w:r>
        <w:rPr>
          <w:rFonts w:ascii="楷体" w:hAnsi="楷体" w:cs="楷体" w:eastAsia="楷体" w:hint="default"/>
          <w:sz w:val="22"/>
          <w:szCs w:val="22"/>
        </w:rPr>
        <w:t>限公司以存入 </w:t>
      </w:r>
      <w:r>
        <w:rPr>
          <w:rFonts w:ascii="Times New Roman" w:hAnsi="Times New Roman" w:cs="Times New Roman" w:eastAsia="Times New Roman" w:hint="default"/>
          <w:sz w:val="22"/>
          <w:szCs w:val="22"/>
        </w:rPr>
        <w:t>7,193,324.10 </w:t>
      </w:r>
      <w:r>
        <w:rPr>
          <w:rFonts w:ascii="楷体" w:hAnsi="楷体" w:cs="楷体" w:eastAsia="楷体" w:hint="default"/>
          <w:sz w:val="22"/>
          <w:szCs w:val="22"/>
        </w:rPr>
        <w:t>元保证金方式取得借款 </w:t>
      </w:r>
      <w:r>
        <w:rPr>
          <w:rFonts w:ascii="Times New Roman" w:hAnsi="Times New Roman" w:cs="Times New Roman" w:eastAsia="Times New Roman" w:hint="default"/>
          <w:sz w:val="22"/>
          <w:szCs w:val="22"/>
        </w:rPr>
        <w:t>1,022,944.00 </w:t>
      </w:r>
      <w:r>
        <w:rPr>
          <w:rFonts w:ascii="楷体" w:hAnsi="楷体" w:cs="楷体" w:eastAsia="楷体" w:hint="default"/>
          <w:sz w:val="22"/>
          <w:szCs w:val="22"/>
        </w:rPr>
        <w:t>美元，折合人民币</w:t>
      </w:r>
      <w:r>
        <w:rPr>
          <w:rFonts w:ascii="楷体" w:hAnsi="楷体" w:cs="楷体" w:eastAsia="楷体" w:hint="default"/>
          <w:spacing w:val="-1"/>
          <w:sz w:val="22"/>
          <w:szCs w:val="22"/>
        </w:rPr>
        <w:t> </w:t>
      </w:r>
      <w:r>
        <w:rPr>
          <w:rFonts w:ascii="Times New Roman" w:hAnsi="Times New Roman" w:cs="Times New Roman" w:eastAsia="Times New Roman" w:hint="default"/>
          <w:sz w:val="22"/>
          <w:szCs w:val="22"/>
        </w:rPr>
        <w:t>6,991,413.06</w:t>
      </w:r>
    </w:p>
    <w:p>
      <w:pPr>
        <w:spacing w:before="85"/>
        <w:ind w:left="138" w:right="6555" w:firstLine="0"/>
        <w:jc w:val="left"/>
        <w:rPr>
          <w:rFonts w:ascii="楷体" w:hAnsi="楷体" w:cs="楷体" w:eastAsia="楷体" w:hint="default"/>
          <w:sz w:val="22"/>
          <w:szCs w:val="22"/>
        </w:rPr>
      </w:pPr>
      <w:r>
        <w:rPr>
          <w:rFonts w:ascii="楷体" w:hAnsi="楷体" w:cs="楷体" w:eastAsia="楷体" w:hint="default"/>
          <w:sz w:val="22"/>
          <w:szCs w:val="22"/>
        </w:rPr>
        <w:t>元。</w:t>
      </w:r>
    </w:p>
    <w:p>
      <w:pPr>
        <w:spacing w:line="240" w:lineRule="auto" w:before="4"/>
        <w:rPr>
          <w:rFonts w:ascii="楷体" w:hAnsi="楷体" w:cs="楷体" w:eastAsia="楷体" w:hint="default"/>
          <w:sz w:val="11"/>
          <w:szCs w:val="11"/>
        </w:rPr>
      </w:pPr>
    </w:p>
    <w:tbl>
      <w:tblPr>
        <w:tblW w:w="0" w:type="auto"/>
        <w:jc w:val="left"/>
        <w:tblInd w:w="416" w:type="dxa"/>
        <w:tblLayout w:type="fixed"/>
        <w:tblCellMar>
          <w:top w:w="0" w:type="dxa"/>
          <w:left w:w="0" w:type="dxa"/>
          <w:bottom w:w="0" w:type="dxa"/>
          <w:right w:w="0" w:type="dxa"/>
        </w:tblCellMar>
        <w:tblLook w:val="01E0"/>
      </w:tblPr>
      <w:tblGrid>
        <w:gridCol w:w="2956"/>
        <w:gridCol w:w="3511"/>
        <w:gridCol w:w="2171"/>
      </w:tblGrid>
      <w:tr>
        <w:trPr>
          <w:trHeight w:val="498" w:hRule="exact"/>
        </w:trPr>
        <w:tc>
          <w:tcPr>
            <w:tcW w:w="295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23.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应付票据</w:t>
            </w:r>
          </w:p>
        </w:tc>
        <w:tc>
          <w:tcPr>
            <w:tcW w:w="5682"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295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票据种类</w:t>
            </w:r>
            <w:r>
              <w:rPr>
                <w:rFonts w:ascii="Microsoft JhengHei" w:hAnsi="Microsoft JhengHei" w:cs="Microsoft JhengHei" w:eastAsia="Microsoft JhengHei" w:hint="default"/>
                <w:sz w:val="18"/>
                <w:szCs w:val="18"/>
              </w:rPr>
            </w:r>
          </w:p>
        </w:tc>
        <w:tc>
          <w:tcPr>
            <w:tcW w:w="35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7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17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93" w:hRule="exact"/>
        </w:trPr>
        <w:tc>
          <w:tcPr>
            <w:tcW w:w="2956"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银行承兑汇票</w:t>
            </w:r>
          </w:p>
        </w:tc>
        <w:tc>
          <w:tcPr>
            <w:tcW w:w="3511"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809"/>
              <w:jc w:val="right"/>
              <w:rPr>
                <w:rFonts w:ascii="Times New Roman" w:hAnsi="Times New Roman" w:cs="Times New Roman" w:eastAsia="Times New Roman" w:hint="default"/>
                <w:sz w:val="18"/>
                <w:szCs w:val="18"/>
              </w:rPr>
            </w:pPr>
            <w:r>
              <w:rPr>
                <w:rFonts w:ascii="Times New Roman"/>
                <w:spacing w:val="-1"/>
                <w:sz w:val="18"/>
              </w:rPr>
              <w:t>555,385,763.48</w:t>
            </w:r>
          </w:p>
        </w:tc>
        <w:tc>
          <w:tcPr>
            <w:tcW w:w="2171"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508,177,401.11</w:t>
            </w:r>
          </w:p>
        </w:tc>
      </w:tr>
      <w:tr>
        <w:trPr>
          <w:trHeight w:val="303" w:hRule="exact"/>
        </w:trPr>
        <w:tc>
          <w:tcPr>
            <w:tcW w:w="295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35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09"/>
              <w:jc w:val="right"/>
              <w:rPr>
                <w:rFonts w:ascii="Times New Roman" w:hAnsi="Times New Roman" w:cs="Times New Roman" w:eastAsia="Times New Roman" w:hint="default"/>
                <w:sz w:val="18"/>
                <w:szCs w:val="18"/>
              </w:rPr>
            </w:pPr>
            <w:r>
              <w:rPr>
                <w:rFonts w:ascii="Times New Roman"/>
                <w:b/>
                <w:spacing w:val="-1"/>
                <w:sz w:val="18"/>
              </w:rPr>
              <w:t>555,385,763.48</w:t>
            </w:r>
            <w:r>
              <w:rPr>
                <w:rFonts w:ascii="Times New Roman"/>
                <w:spacing w:val="-1"/>
                <w:sz w:val="18"/>
              </w:rPr>
            </w:r>
          </w:p>
        </w:tc>
        <w:tc>
          <w:tcPr>
            <w:tcW w:w="2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508,177,401.11</w:t>
            </w:r>
            <w:r>
              <w:rPr>
                <w:rFonts w:ascii="Times New Roman"/>
                <w:spacing w:val="-1"/>
                <w:sz w:val="18"/>
              </w:rPr>
            </w:r>
          </w:p>
        </w:tc>
      </w:tr>
      <w:tr>
        <w:trPr>
          <w:trHeight w:val="1044" w:hRule="exact"/>
        </w:trPr>
        <w:tc>
          <w:tcPr>
            <w:tcW w:w="295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24.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应付账款</w:t>
            </w:r>
          </w:p>
          <w:p>
            <w:pPr>
              <w:pStyle w:val="TableParagraph"/>
              <w:spacing w:line="240" w:lineRule="auto" w:before="163"/>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应付账款</w:t>
            </w:r>
          </w:p>
        </w:tc>
        <w:tc>
          <w:tcPr>
            <w:tcW w:w="3511" w:type="dxa"/>
            <w:tcBorders>
              <w:top w:val="single" w:sz="12" w:space="0" w:color="000000"/>
              <w:left w:val="nil" w:sz="6" w:space="0" w:color="auto"/>
              <w:bottom w:val="single" w:sz="12" w:space="0" w:color="000000"/>
              <w:right w:val="nil" w:sz="6" w:space="0" w:color="auto"/>
            </w:tcBorders>
          </w:tcPr>
          <w:p>
            <w:pPr/>
          </w:p>
        </w:tc>
        <w:tc>
          <w:tcPr>
            <w:tcW w:w="2171"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295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5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7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17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303" w:hRule="exact"/>
        </w:trPr>
        <w:tc>
          <w:tcPr>
            <w:tcW w:w="295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应付账款</w:t>
            </w:r>
            <w:r>
              <w:rPr>
                <w:rFonts w:ascii="Microsoft JhengHei" w:hAnsi="Microsoft JhengHei" w:cs="Microsoft JhengHei" w:eastAsia="Microsoft JhengHei" w:hint="default"/>
                <w:sz w:val="18"/>
                <w:szCs w:val="18"/>
              </w:rPr>
            </w:r>
          </w:p>
        </w:tc>
        <w:tc>
          <w:tcPr>
            <w:tcW w:w="35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10"/>
              <w:jc w:val="right"/>
              <w:rPr>
                <w:rFonts w:ascii="Times New Roman" w:hAnsi="Times New Roman" w:cs="Times New Roman" w:eastAsia="Times New Roman" w:hint="default"/>
                <w:sz w:val="18"/>
                <w:szCs w:val="18"/>
              </w:rPr>
            </w:pPr>
            <w:r>
              <w:rPr>
                <w:rFonts w:ascii="Times New Roman"/>
                <w:b/>
                <w:spacing w:val="-1"/>
                <w:sz w:val="18"/>
              </w:rPr>
              <w:t>3,042,211,051.29</w:t>
            </w:r>
            <w:r>
              <w:rPr>
                <w:rFonts w:ascii="Times New Roman"/>
                <w:spacing w:val="-1"/>
                <w:sz w:val="18"/>
              </w:rPr>
            </w:r>
          </w:p>
        </w:tc>
        <w:tc>
          <w:tcPr>
            <w:tcW w:w="2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3,494,426,303.79</w:t>
            </w:r>
            <w:r>
              <w:rPr>
                <w:rFonts w:ascii="Times New Roman"/>
                <w:spacing w:val="-1"/>
                <w:sz w:val="18"/>
              </w:rPr>
            </w:r>
          </w:p>
        </w:tc>
      </w:tr>
    </w:tbl>
    <w:p>
      <w:pPr>
        <w:spacing w:before="79"/>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楷体" w:hAnsi="楷体" w:cs="楷体" w:eastAsia="楷体" w:hint="default"/>
          <w:sz w:val="22"/>
          <w:szCs w:val="22"/>
        </w:rPr>
        <w:t>年末应付账款中不含应付持本公司 </w:t>
      </w:r>
      <w:r>
        <w:rPr>
          <w:rFonts w:ascii="Times New Roman" w:hAnsi="Times New Roman" w:cs="Times New Roman" w:eastAsia="Times New Roman" w:hint="default"/>
          <w:sz w:val="22"/>
          <w:szCs w:val="22"/>
        </w:rPr>
        <w:t>5%</w:t>
      </w:r>
      <w:r>
        <w:rPr>
          <w:rFonts w:ascii="楷体" w:hAnsi="楷体" w:cs="楷体" w:eastAsia="楷体" w:hint="default"/>
          <w:sz w:val="22"/>
          <w:szCs w:val="22"/>
        </w:rPr>
        <w:t>（含</w:t>
      </w:r>
      <w:r>
        <w:rPr>
          <w:rFonts w:ascii="楷体" w:hAnsi="楷体" w:cs="楷体" w:eastAsia="楷体" w:hint="default"/>
          <w:spacing w:val="-84"/>
          <w:sz w:val="22"/>
          <w:szCs w:val="22"/>
        </w:rPr>
        <w:t> </w:t>
      </w:r>
      <w:r>
        <w:rPr>
          <w:rFonts w:ascii="Times New Roman" w:hAnsi="Times New Roman" w:cs="Times New Roman" w:eastAsia="Times New Roman" w:hint="default"/>
          <w:sz w:val="22"/>
          <w:szCs w:val="22"/>
        </w:rPr>
        <w:t>5%</w:t>
      </w:r>
      <w:r>
        <w:rPr>
          <w:rFonts w:ascii="楷体" w:hAnsi="楷体" w:cs="楷体" w:eastAsia="楷体" w:hint="default"/>
          <w:sz w:val="22"/>
          <w:szCs w:val="22"/>
        </w:rPr>
        <w:t>）以上表决权股份的股东单位款项。</w:t>
      </w:r>
    </w:p>
    <w:p>
      <w:pPr>
        <w:spacing w:before="163"/>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应付账款中外币余额</w:t>
      </w:r>
    </w:p>
    <w:p>
      <w:pPr>
        <w:tabs>
          <w:tab w:pos="6804" w:val="left" w:leader="none"/>
        </w:tabs>
        <w:spacing w:before="109"/>
        <w:ind w:left="3067" w:right="0" w:firstLine="0"/>
        <w:jc w:val="left"/>
        <w:rPr>
          <w:rFonts w:ascii="Microsoft JhengHei" w:hAnsi="Microsoft JhengHei" w:cs="Microsoft JhengHei" w:eastAsia="Microsoft JhengHei" w:hint="default"/>
          <w:sz w:val="18"/>
          <w:szCs w:val="18"/>
        </w:rPr>
      </w:pPr>
      <w:r>
        <w:rPr/>
        <w:pict>
          <v:group style="position:absolute;margin-left:85.199997pt;margin-top:8.055542pt;width:431.55pt;height:.1pt;mso-position-horizontal-relative:page;mso-position-vertical-relative:paragraph;z-index:-898216" coordorigin="1704,161" coordsize="8631,2">
            <v:shape style="position:absolute;left:1704;top:161;width:8631;height:2" coordorigin="1704,161" coordsize="8631,0" path="m1704,161l10334,161e" filled="false" stroked="true" strokeweight="1.5pt" strokecolor="#000000">
              <v:path arrowok="t"/>
            </v:shape>
            <w10:wrap type="none"/>
          </v:group>
        </w:pict>
      </w:r>
      <w:r>
        <w:rPr/>
        <w:pict>
          <v:shape style="position:absolute;margin-left:84.839996pt;margin-top:17.690866pt;width:431.9pt;height:190.6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3"/>
                    <w:gridCol w:w="1406"/>
                    <w:gridCol w:w="1039"/>
                    <w:gridCol w:w="1357"/>
                    <w:gridCol w:w="1373"/>
                    <w:gridCol w:w="971"/>
                    <w:gridCol w:w="1429"/>
                  </w:tblGrid>
                  <w:tr>
                    <w:trPr>
                      <w:trHeight w:val="403" w:hRule="exact"/>
                    </w:trPr>
                    <w:tc>
                      <w:tcPr>
                        <w:tcW w:w="1063"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7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3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97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1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7" w:hRule="exact"/>
                    </w:trPr>
                    <w:tc>
                      <w:tcPr>
                        <w:tcW w:w="106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美元</w:t>
                        </w: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36"/>
                          <w:jc w:val="right"/>
                          <w:rPr>
                            <w:rFonts w:ascii="Times New Roman" w:hAnsi="Times New Roman" w:cs="Times New Roman" w:eastAsia="Times New Roman" w:hint="default"/>
                            <w:sz w:val="18"/>
                            <w:szCs w:val="18"/>
                          </w:rPr>
                        </w:pPr>
                        <w:r>
                          <w:rPr>
                            <w:rFonts w:ascii="Times New Roman"/>
                            <w:spacing w:val="-1"/>
                            <w:sz w:val="18"/>
                          </w:rPr>
                          <w:t>13,756,253.83</w:t>
                        </w: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2"/>
                          <w:jc w:val="right"/>
                          <w:rPr>
                            <w:rFonts w:ascii="Times New Roman" w:hAnsi="Times New Roman" w:cs="Times New Roman" w:eastAsia="Times New Roman" w:hint="default"/>
                            <w:sz w:val="18"/>
                            <w:szCs w:val="18"/>
                          </w:rPr>
                        </w:pPr>
                        <w:r>
                          <w:rPr>
                            <w:rFonts w:ascii="Times New Roman"/>
                            <w:sz w:val="18"/>
                          </w:rPr>
                          <w:t>6.8346</w:t>
                        </w:r>
                      </w:p>
                    </w:tc>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6"/>
                          <w:jc w:val="right"/>
                          <w:rPr>
                            <w:rFonts w:ascii="Times New Roman" w:hAnsi="Times New Roman" w:cs="Times New Roman" w:eastAsia="Times New Roman" w:hint="default"/>
                            <w:sz w:val="18"/>
                            <w:szCs w:val="18"/>
                          </w:rPr>
                        </w:pPr>
                        <w:r>
                          <w:rPr>
                            <w:rFonts w:ascii="Times New Roman"/>
                            <w:spacing w:val="-1"/>
                            <w:sz w:val="18"/>
                          </w:rPr>
                          <w:t>94,018,492.43</w:t>
                        </w: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30"/>
                          <w:jc w:val="right"/>
                          <w:rPr>
                            <w:rFonts w:ascii="Times New Roman" w:hAnsi="Times New Roman" w:cs="Times New Roman" w:eastAsia="Times New Roman" w:hint="default"/>
                            <w:sz w:val="18"/>
                            <w:szCs w:val="18"/>
                          </w:rPr>
                        </w:pPr>
                        <w:r>
                          <w:rPr>
                            <w:rFonts w:ascii="Times New Roman"/>
                            <w:spacing w:val="-1"/>
                            <w:sz w:val="18"/>
                          </w:rPr>
                          <w:t>13,923,505.66</w:t>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6"/>
                          <w:jc w:val="right"/>
                          <w:rPr>
                            <w:rFonts w:ascii="Times New Roman" w:hAnsi="Times New Roman" w:cs="Times New Roman" w:eastAsia="Times New Roman" w:hint="default"/>
                            <w:sz w:val="18"/>
                            <w:szCs w:val="18"/>
                          </w:rPr>
                        </w:pPr>
                        <w:r>
                          <w:rPr>
                            <w:rFonts w:ascii="Times New Roman"/>
                            <w:spacing w:val="-1"/>
                            <w:sz w:val="18"/>
                          </w:rPr>
                          <w:t>7.3046</w:t>
                        </w: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101,705,639.44</w:t>
                        </w:r>
                      </w:p>
                    </w:tc>
                  </w:tr>
                  <w:tr>
                    <w:trPr>
                      <w:trHeight w:val="283"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欧元</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6"/>
                          <w:jc w:val="right"/>
                          <w:rPr>
                            <w:rFonts w:ascii="Times New Roman" w:hAnsi="Times New Roman" w:cs="Times New Roman" w:eastAsia="Times New Roman" w:hint="default"/>
                            <w:sz w:val="18"/>
                            <w:szCs w:val="18"/>
                          </w:rPr>
                        </w:pPr>
                        <w:r>
                          <w:rPr>
                            <w:rFonts w:ascii="Times New Roman"/>
                            <w:sz w:val="18"/>
                          </w:rPr>
                          <w:t>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z w:val="18"/>
                          </w:rPr>
                          <w:t>9.6590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6"/>
                          <w:jc w:val="right"/>
                          <w:rPr>
                            <w:rFonts w:ascii="Times New Roman" w:hAnsi="Times New Roman" w:cs="Times New Roman" w:eastAsia="Times New Roman" w:hint="default"/>
                            <w:sz w:val="18"/>
                            <w:szCs w:val="18"/>
                          </w:rPr>
                        </w:pPr>
                        <w:r>
                          <w:rPr>
                            <w:rFonts w:ascii="Times New Roman"/>
                            <w:sz w:val="18"/>
                          </w:rPr>
                          <w:t>0.00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0"/>
                          <w:jc w:val="right"/>
                          <w:rPr>
                            <w:rFonts w:ascii="Times New Roman" w:hAnsi="Times New Roman" w:cs="Times New Roman" w:eastAsia="Times New Roman" w:hint="default"/>
                            <w:sz w:val="18"/>
                            <w:szCs w:val="18"/>
                          </w:rPr>
                        </w:pPr>
                        <w:r>
                          <w:rPr>
                            <w:rFonts w:ascii="Times New Roman"/>
                            <w:spacing w:val="-1"/>
                            <w:sz w:val="18"/>
                          </w:rPr>
                          <w:t>1,238,000.00</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
                          <w:jc w:val="right"/>
                          <w:rPr>
                            <w:rFonts w:ascii="Times New Roman" w:hAnsi="Times New Roman" w:cs="Times New Roman" w:eastAsia="Times New Roman" w:hint="default"/>
                            <w:sz w:val="18"/>
                            <w:szCs w:val="18"/>
                          </w:rPr>
                        </w:pPr>
                        <w:r>
                          <w:rPr>
                            <w:rFonts w:ascii="Times New Roman"/>
                            <w:sz w:val="18"/>
                          </w:rPr>
                          <w:t>10.6669</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13,205,622.20</w:t>
                        </w:r>
                      </w:p>
                    </w:tc>
                  </w:tr>
                  <w:tr>
                    <w:trPr>
                      <w:trHeight w:val="283"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日元</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6"/>
                          <w:jc w:val="right"/>
                          <w:rPr>
                            <w:rFonts w:ascii="Times New Roman" w:hAnsi="Times New Roman" w:cs="Times New Roman" w:eastAsia="Times New Roman" w:hint="default"/>
                            <w:sz w:val="18"/>
                            <w:szCs w:val="18"/>
                          </w:rPr>
                        </w:pPr>
                        <w:r>
                          <w:rPr>
                            <w:rFonts w:ascii="Times New Roman"/>
                            <w:spacing w:val="-1"/>
                            <w:sz w:val="18"/>
                          </w:rPr>
                          <w:t>6,700,000.00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3"/>
                          <w:jc w:val="right"/>
                          <w:rPr>
                            <w:rFonts w:ascii="Times New Roman" w:hAnsi="Times New Roman" w:cs="Times New Roman" w:eastAsia="Times New Roman" w:hint="default"/>
                            <w:sz w:val="18"/>
                            <w:szCs w:val="18"/>
                          </w:rPr>
                        </w:pPr>
                        <w:r>
                          <w:rPr>
                            <w:rFonts w:ascii="Times New Roman"/>
                            <w:sz w:val="18"/>
                          </w:rPr>
                          <w:t>0.0757</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z w:val="18"/>
                          </w:rPr>
                          <w:t>507,190.00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1"/>
                          <w:jc w:val="right"/>
                          <w:rPr>
                            <w:rFonts w:ascii="Times New Roman" w:hAnsi="Times New Roman" w:cs="Times New Roman" w:eastAsia="Times New Roman" w:hint="default"/>
                            <w:sz w:val="18"/>
                            <w:szCs w:val="18"/>
                          </w:rPr>
                        </w:pPr>
                        <w:r>
                          <w:rPr>
                            <w:rFonts w:ascii="Times New Roman"/>
                            <w:sz w:val="18"/>
                          </w:rPr>
                          <w:t>42,694.00</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
                          <w:jc w:val="right"/>
                          <w:rPr>
                            <w:rFonts w:ascii="Times New Roman" w:hAnsi="Times New Roman" w:cs="Times New Roman" w:eastAsia="Times New Roman" w:hint="default"/>
                            <w:sz w:val="18"/>
                            <w:szCs w:val="18"/>
                          </w:rPr>
                        </w:pPr>
                        <w:r>
                          <w:rPr>
                            <w:rFonts w:ascii="Times New Roman"/>
                            <w:sz w:val="18"/>
                          </w:rPr>
                          <w:t>0.0641</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2,736.69</w:t>
                        </w:r>
                      </w:p>
                    </w:tc>
                  </w:tr>
                  <w:tr>
                    <w:trPr>
                      <w:trHeight w:val="283"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港元</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6"/>
                          <w:jc w:val="right"/>
                          <w:rPr>
                            <w:rFonts w:ascii="Times New Roman" w:hAnsi="Times New Roman" w:cs="Times New Roman" w:eastAsia="Times New Roman" w:hint="default"/>
                            <w:sz w:val="18"/>
                            <w:szCs w:val="18"/>
                          </w:rPr>
                        </w:pPr>
                        <w:r>
                          <w:rPr>
                            <w:rFonts w:ascii="Times New Roman"/>
                            <w:spacing w:val="-1"/>
                            <w:sz w:val="18"/>
                          </w:rPr>
                          <w:t>37,582,821.00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z w:val="18"/>
                          </w:rPr>
                          <w:t>0.8819</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6"/>
                          <w:jc w:val="right"/>
                          <w:rPr>
                            <w:rFonts w:ascii="Times New Roman" w:hAnsi="Times New Roman" w:cs="Times New Roman" w:eastAsia="Times New Roman" w:hint="default"/>
                            <w:sz w:val="18"/>
                            <w:szCs w:val="18"/>
                          </w:rPr>
                        </w:pPr>
                        <w:r>
                          <w:rPr>
                            <w:rFonts w:ascii="Times New Roman"/>
                            <w:spacing w:val="-1"/>
                            <w:sz w:val="18"/>
                          </w:rPr>
                          <w:t>33,144,289.84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8"/>
                          <w:jc w:val="right"/>
                          <w:rPr>
                            <w:rFonts w:ascii="Times New Roman" w:hAnsi="Times New Roman" w:cs="Times New Roman" w:eastAsia="Times New Roman" w:hint="default"/>
                            <w:sz w:val="18"/>
                            <w:szCs w:val="18"/>
                          </w:rPr>
                        </w:pPr>
                        <w:r>
                          <w:rPr>
                            <w:rFonts w:ascii="Times New Roman"/>
                            <w:spacing w:val="-1"/>
                            <w:sz w:val="18"/>
                          </w:rPr>
                          <w:t>143,777,284.00</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6"/>
                          <w:jc w:val="right"/>
                          <w:rPr>
                            <w:rFonts w:ascii="Times New Roman" w:hAnsi="Times New Roman" w:cs="Times New Roman" w:eastAsia="Times New Roman" w:hint="default"/>
                            <w:sz w:val="18"/>
                            <w:szCs w:val="18"/>
                          </w:rPr>
                        </w:pPr>
                        <w:r>
                          <w:rPr>
                            <w:rFonts w:ascii="Times New Roman"/>
                            <w:spacing w:val="-1"/>
                            <w:sz w:val="18"/>
                          </w:rPr>
                          <w:t>0.9364</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134,633,048.74</w:t>
                        </w:r>
                      </w:p>
                    </w:tc>
                  </w:tr>
                  <w:tr>
                    <w:trPr>
                      <w:trHeight w:val="289" w:hRule="exact"/>
                    </w:trPr>
                    <w:tc>
                      <w:tcPr>
                        <w:tcW w:w="1063"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新加坡元</w:t>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36"/>
                          <w:jc w:val="right"/>
                          <w:rPr>
                            <w:rFonts w:ascii="Times New Roman" w:hAnsi="Times New Roman" w:cs="Times New Roman" w:eastAsia="Times New Roman" w:hint="default"/>
                            <w:sz w:val="18"/>
                            <w:szCs w:val="18"/>
                          </w:rPr>
                        </w:pPr>
                        <w:r>
                          <w:rPr>
                            <w:rFonts w:ascii="Times New Roman"/>
                            <w:sz w:val="18"/>
                          </w:rPr>
                          <w:t>155,615.65</w:t>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z w:val="18"/>
                          </w:rPr>
                          <w:t>4.7530</w:t>
                        </w: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z w:val="18"/>
                          </w:rPr>
                          <w:t>739,641.18</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31"/>
                          <w:jc w:val="right"/>
                          <w:rPr>
                            <w:rFonts w:ascii="Times New Roman" w:hAnsi="Times New Roman" w:cs="Times New Roman" w:eastAsia="Times New Roman" w:hint="default"/>
                            <w:sz w:val="18"/>
                            <w:szCs w:val="18"/>
                          </w:rPr>
                        </w:pPr>
                        <w:r>
                          <w:rPr>
                            <w:rFonts w:ascii="Times New Roman"/>
                            <w:sz w:val="18"/>
                          </w:rPr>
                          <w:t>0.00</w:t>
                        </w:r>
                      </w:p>
                    </w:tc>
                    <w:tc>
                      <w:tcPr>
                        <w:tcW w:w="97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6"/>
                          <w:jc w:val="right"/>
                          <w:rPr>
                            <w:rFonts w:ascii="Times New Roman" w:hAnsi="Times New Roman" w:cs="Times New Roman" w:eastAsia="Times New Roman" w:hint="default"/>
                            <w:sz w:val="18"/>
                            <w:szCs w:val="18"/>
                          </w:rPr>
                        </w:pPr>
                        <w:r>
                          <w:rPr>
                            <w:rFonts w:ascii="Times New Roman"/>
                            <w:sz w:val="18"/>
                          </w:rPr>
                          <w:t>5.0518</w:t>
                        </w: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1063"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06" w:type="dxa"/>
                        <w:tcBorders>
                          <w:top w:val="single" w:sz="4" w:space="0" w:color="000000"/>
                          <w:left w:val="nil" w:sz="6" w:space="0" w:color="auto"/>
                          <w:bottom w:val="single" w:sz="12" w:space="0" w:color="000000"/>
                          <w:right w:val="nil" w:sz="6" w:space="0" w:color="auto"/>
                        </w:tcBorders>
                      </w:tcPr>
                      <w:p>
                        <w:pPr/>
                      </w:p>
                    </w:tc>
                    <w:tc>
                      <w:tcPr>
                        <w:tcW w:w="1039" w:type="dxa"/>
                        <w:tcBorders>
                          <w:top w:val="single" w:sz="4" w:space="0" w:color="000000"/>
                          <w:left w:val="nil" w:sz="6" w:space="0" w:color="auto"/>
                          <w:bottom w:val="single" w:sz="12" w:space="0" w:color="000000"/>
                          <w:right w:val="nil" w:sz="6" w:space="0" w:color="auto"/>
                        </w:tcBorders>
                      </w:tcPr>
                      <w:p>
                        <w:pPr/>
                      </w:p>
                    </w:tc>
                    <w:tc>
                      <w:tcPr>
                        <w:tcW w:w="135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5"/>
                          <w:jc w:val="right"/>
                          <w:rPr>
                            <w:rFonts w:ascii="Times New Roman" w:hAnsi="Times New Roman" w:cs="Times New Roman" w:eastAsia="Times New Roman" w:hint="default"/>
                            <w:sz w:val="18"/>
                            <w:szCs w:val="18"/>
                          </w:rPr>
                        </w:pPr>
                        <w:r>
                          <w:rPr>
                            <w:rFonts w:ascii="Times New Roman"/>
                            <w:b/>
                            <w:spacing w:val="-1"/>
                            <w:sz w:val="18"/>
                          </w:rPr>
                          <w:t>128,409,613.45</w:t>
                        </w:r>
                        <w:r>
                          <w:rPr>
                            <w:rFonts w:ascii="Times New Roman"/>
                            <w:spacing w:val="-1"/>
                            <w:sz w:val="18"/>
                          </w:rPr>
                        </w:r>
                      </w:p>
                    </w:tc>
                    <w:tc>
                      <w:tcPr>
                        <w:tcW w:w="1373" w:type="dxa"/>
                        <w:tcBorders>
                          <w:top w:val="single" w:sz="4" w:space="0" w:color="000000"/>
                          <w:left w:val="nil" w:sz="6" w:space="0" w:color="auto"/>
                          <w:bottom w:val="single" w:sz="12" w:space="0" w:color="000000"/>
                          <w:right w:val="nil" w:sz="6" w:space="0" w:color="auto"/>
                        </w:tcBorders>
                      </w:tcPr>
                      <w:p>
                        <w:pPr/>
                      </w:p>
                    </w:tc>
                    <w:tc>
                      <w:tcPr>
                        <w:tcW w:w="971" w:type="dxa"/>
                        <w:tcBorders>
                          <w:top w:val="single" w:sz="4" w:space="0" w:color="000000"/>
                          <w:left w:val="nil" w:sz="6" w:space="0" w:color="auto"/>
                          <w:bottom w:val="single" w:sz="12" w:space="0" w:color="000000"/>
                          <w:right w:val="nil" w:sz="6" w:space="0" w:color="auto"/>
                        </w:tcBorders>
                      </w:tcPr>
                      <w:p>
                        <w:pPr/>
                      </w:p>
                    </w:tc>
                    <w:tc>
                      <w:tcPr>
                        <w:tcW w:w="142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249,547,047.07</w:t>
                        </w:r>
                        <w:r>
                          <w:rPr>
                            <w:rFonts w:ascii="Times New Roman"/>
                            <w:spacing w:val="-1"/>
                            <w:sz w:val="18"/>
                          </w:rPr>
                        </w:r>
                      </w:p>
                    </w:tc>
                  </w:tr>
                  <w:tr>
                    <w:trPr>
                      <w:trHeight w:val="528" w:hRule="exact"/>
                    </w:trPr>
                    <w:tc>
                      <w:tcPr>
                        <w:tcW w:w="24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25.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预收款项</w:t>
                        </w:r>
                      </w:p>
                    </w:tc>
                    <w:tc>
                      <w:tcPr>
                        <w:tcW w:w="3769" w:type="dxa"/>
                        <w:gridSpan w:val="3"/>
                        <w:tcBorders>
                          <w:top w:val="nil" w:sz="6" w:space="0" w:color="auto"/>
                          <w:left w:val="nil" w:sz="6" w:space="0" w:color="auto"/>
                          <w:bottom w:val="nil" w:sz="6" w:space="0" w:color="auto"/>
                          <w:right w:val="nil" w:sz="6" w:space="0" w:color="auto"/>
                        </w:tcBorders>
                      </w:tcPr>
                      <w:p>
                        <w:pPr/>
                      </w:p>
                    </w:tc>
                    <w:tc>
                      <w:tcPr>
                        <w:tcW w:w="2400" w:type="dxa"/>
                        <w:gridSpan w:val="2"/>
                        <w:tcBorders>
                          <w:top w:val="nil" w:sz="6" w:space="0" w:color="auto"/>
                          <w:left w:val="nil" w:sz="6" w:space="0" w:color="auto"/>
                          <w:bottom w:val="nil" w:sz="6" w:space="0" w:color="auto"/>
                          <w:right w:val="nil" w:sz="6" w:space="0" w:color="auto"/>
                        </w:tcBorders>
                      </w:tcPr>
                      <w:p>
                        <w:pPr/>
                      </w:p>
                    </w:tc>
                  </w:tr>
                  <w:tr>
                    <w:trPr>
                      <w:trHeight w:val="516" w:hRule="exact"/>
                    </w:trPr>
                    <w:tc>
                      <w:tcPr>
                        <w:tcW w:w="2468"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50"/>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预收款项</w:t>
                        </w:r>
                      </w:p>
                    </w:tc>
                    <w:tc>
                      <w:tcPr>
                        <w:tcW w:w="3769" w:type="dxa"/>
                        <w:gridSpan w:val="3"/>
                        <w:tcBorders>
                          <w:top w:val="nil" w:sz="6" w:space="0" w:color="auto"/>
                          <w:left w:val="nil" w:sz="6" w:space="0" w:color="auto"/>
                          <w:bottom w:val="single" w:sz="12" w:space="0" w:color="000000"/>
                          <w:right w:val="nil" w:sz="6" w:space="0" w:color="auto"/>
                        </w:tcBorders>
                      </w:tcPr>
                      <w:p>
                        <w:pPr/>
                      </w:p>
                    </w:tc>
                    <w:tc>
                      <w:tcPr>
                        <w:tcW w:w="2400"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2468"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769" w:type="dxa"/>
                        <w:gridSpan w:val="3"/>
                        <w:tcBorders>
                          <w:top w:val="single" w:sz="12" w:space="0" w:color="000000"/>
                          <w:left w:val="nil" w:sz="6" w:space="0" w:color="auto"/>
                          <w:bottom w:val="single" w:sz="4" w:space="0" w:color="000000"/>
                          <w:right w:val="nil" w:sz="6" w:space="0" w:color="auto"/>
                        </w:tcBorders>
                      </w:tcPr>
                      <w:p>
                        <w:pPr>
                          <w:pStyle w:val="TableParagraph"/>
                          <w:spacing w:line="246" w:lineRule="exact"/>
                          <w:ind w:left="22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400"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3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303" w:hRule="exact"/>
                    </w:trPr>
                    <w:tc>
                      <w:tcPr>
                        <w:tcW w:w="2468" w:type="dxa"/>
                        <w:gridSpan w:val="2"/>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预收款项</w:t>
                        </w:r>
                        <w:r>
                          <w:rPr>
                            <w:rFonts w:ascii="Microsoft JhengHei" w:hAnsi="Microsoft JhengHei" w:cs="Microsoft JhengHei" w:eastAsia="Microsoft JhengHei" w:hint="default"/>
                            <w:sz w:val="18"/>
                            <w:szCs w:val="18"/>
                          </w:rPr>
                        </w:r>
                      </w:p>
                    </w:tc>
                    <w:tc>
                      <w:tcPr>
                        <w:tcW w:w="3769"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926" w:right="0"/>
                          <w:jc w:val="left"/>
                          <w:rPr>
                            <w:rFonts w:ascii="Times New Roman" w:hAnsi="Times New Roman" w:cs="Times New Roman" w:eastAsia="Times New Roman" w:hint="default"/>
                            <w:sz w:val="18"/>
                            <w:szCs w:val="18"/>
                          </w:rPr>
                        </w:pPr>
                        <w:r>
                          <w:rPr>
                            <w:rFonts w:ascii="Times New Roman"/>
                            <w:b/>
                            <w:sz w:val="18"/>
                          </w:rPr>
                          <w:t>1,506,906,460.79</w:t>
                        </w:r>
                        <w:r>
                          <w:rPr>
                            <w:rFonts w:ascii="Times New Roman"/>
                            <w:sz w:val="18"/>
                          </w:rPr>
                        </w:r>
                      </w:p>
                    </w:tc>
                    <w:tc>
                      <w:tcPr>
                        <w:tcW w:w="2400"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039" w:right="0"/>
                          <w:jc w:val="left"/>
                          <w:rPr>
                            <w:rFonts w:ascii="Times New Roman" w:hAnsi="Times New Roman" w:cs="Times New Roman" w:eastAsia="Times New Roman" w:hint="default"/>
                            <w:sz w:val="18"/>
                            <w:szCs w:val="18"/>
                          </w:rPr>
                        </w:pPr>
                        <w:r>
                          <w:rPr>
                            <w:rFonts w:ascii="Times New Roman"/>
                            <w:b/>
                            <w:sz w:val="18"/>
                          </w:rPr>
                          <w:t>2,067,705,324.83</w:t>
                        </w:r>
                        <w:r>
                          <w:rPr>
                            <w:rFonts w:ascii="Times New Roman"/>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57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74.2pt;height:.5pt;mso-position-horizontal-relative:char;mso-position-vertical-relative:line" coordorigin="0,0" coordsize="7484,10">
            <v:group style="position:absolute;left:5;top:5;width:7474;height:2" coordorigin="5,5" coordsize="7474,2">
              <v:shape style="position:absolute;left:5;top:5;width:7474;height:2" coordorigin="5,5" coordsize="7474,0" path="m5,5l7478,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4"/>
          <w:szCs w:val="14"/>
        </w:rPr>
      </w:pPr>
    </w:p>
    <w:p>
      <w:pPr>
        <w:spacing w:before="31"/>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楷体" w:hAnsi="楷体" w:cs="楷体" w:eastAsia="楷体" w:hint="default"/>
          <w:sz w:val="22"/>
          <w:szCs w:val="22"/>
        </w:rPr>
        <w:t>年末预收款项中不含预收持本公司 </w:t>
      </w:r>
      <w:r>
        <w:rPr>
          <w:rFonts w:ascii="Times New Roman" w:hAnsi="Times New Roman" w:cs="Times New Roman" w:eastAsia="Times New Roman" w:hint="default"/>
          <w:sz w:val="22"/>
          <w:szCs w:val="22"/>
        </w:rPr>
        <w:t>5%</w:t>
      </w:r>
      <w:r>
        <w:rPr>
          <w:rFonts w:ascii="楷体" w:hAnsi="楷体" w:cs="楷体" w:eastAsia="楷体" w:hint="default"/>
          <w:sz w:val="22"/>
          <w:szCs w:val="22"/>
        </w:rPr>
        <w:t>（含</w:t>
      </w:r>
      <w:r>
        <w:rPr>
          <w:rFonts w:ascii="楷体" w:hAnsi="楷体" w:cs="楷体" w:eastAsia="楷体" w:hint="default"/>
          <w:spacing w:val="-84"/>
          <w:sz w:val="22"/>
          <w:szCs w:val="22"/>
        </w:rPr>
        <w:t> </w:t>
      </w:r>
      <w:r>
        <w:rPr>
          <w:rFonts w:ascii="Times New Roman" w:hAnsi="Times New Roman" w:cs="Times New Roman" w:eastAsia="Times New Roman" w:hint="default"/>
          <w:sz w:val="22"/>
          <w:szCs w:val="22"/>
        </w:rPr>
        <w:t>5%</w:t>
      </w:r>
      <w:r>
        <w:rPr>
          <w:rFonts w:ascii="楷体" w:hAnsi="楷体" w:cs="楷体" w:eastAsia="楷体" w:hint="default"/>
          <w:sz w:val="22"/>
          <w:szCs w:val="22"/>
        </w:rPr>
        <w:t>）以上表决权股份的股东单位款项。</w:t>
      </w:r>
    </w:p>
    <w:p>
      <w:pPr>
        <w:spacing w:after="0"/>
        <w:jc w:val="left"/>
        <w:rPr>
          <w:rFonts w:ascii="楷体" w:hAnsi="楷体" w:cs="楷体" w:eastAsia="楷体" w:hint="default"/>
          <w:sz w:val="22"/>
          <w:szCs w:val="22"/>
        </w:rPr>
        <w:sectPr>
          <w:pgSz w:w="11910" w:h="16840"/>
          <w:pgMar w:header="610" w:footer="784" w:top="1080" w:bottom="9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预收款项中外币余额</w:t>
      </w:r>
    </w:p>
    <w:p>
      <w:pPr>
        <w:spacing w:line="240" w:lineRule="auto" w:before="2"/>
        <w:rPr>
          <w:rFonts w:ascii="楷体" w:hAnsi="楷体" w:cs="楷体" w:eastAsia="楷体" w:hint="default"/>
          <w:sz w:val="11"/>
          <w:szCs w:val="11"/>
        </w:rPr>
      </w:pPr>
    </w:p>
    <w:p>
      <w:pPr>
        <w:spacing w:line="30" w:lineRule="exact"/>
        <w:ind w:left="409"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tabs>
          <w:tab w:pos="6825" w:val="left" w:leader="none"/>
        </w:tabs>
        <w:spacing w:line="246" w:lineRule="exact" w:before="0"/>
        <w:ind w:left="3028" w:right="0" w:firstLine="0"/>
        <w:jc w:val="left"/>
        <w:rPr>
          <w:rFonts w:ascii="Microsoft JhengHei" w:hAnsi="Microsoft JhengHei" w:cs="Microsoft JhengHei" w:eastAsia="Microsoft JhengHei" w:hint="default"/>
          <w:sz w:val="18"/>
          <w:szCs w:val="18"/>
        </w:rPr>
      </w:pPr>
      <w:r>
        <w:rPr/>
        <w:pict>
          <v:shape style="position:absolute;margin-left:84.839996pt;margin-top:8.885325pt;width:431.9pt;height:422.4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2"/>
                    <w:gridCol w:w="4823"/>
                    <w:gridCol w:w="1333"/>
                  </w:tblGrid>
                  <w:tr>
                    <w:trPr>
                      <w:trHeight w:val="403" w:hRule="exact"/>
                    </w:trPr>
                    <w:tc>
                      <w:tcPr>
                        <w:tcW w:w="2482" w:type="dxa"/>
                        <w:tcBorders>
                          <w:top w:val="nil" w:sz="6" w:space="0" w:color="auto"/>
                          <w:left w:val="nil" w:sz="6" w:space="0" w:color="auto"/>
                          <w:bottom w:val="single" w:sz="4" w:space="0" w:color="000000"/>
                          <w:right w:val="nil" w:sz="6" w:space="0" w:color="auto"/>
                        </w:tcBorders>
                      </w:tcPr>
                      <w:p>
                        <w:pPr>
                          <w:pStyle w:val="TableParagraph"/>
                          <w:spacing w:line="124"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p>
                        <w:pPr>
                          <w:pStyle w:val="TableParagraph"/>
                          <w:spacing w:line="237" w:lineRule="exact"/>
                          <w:ind w:left="14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4823" w:type="dxa"/>
                        <w:tcBorders>
                          <w:top w:val="nil" w:sz="6" w:space="0" w:color="auto"/>
                          <w:left w:val="nil" w:sz="6" w:space="0" w:color="auto"/>
                          <w:bottom w:val="single" w:sz="4" w:space="0" w:color="000000"/>
                          <w:right w:val="nil" w:sz="6" w:space="0" w:color="auto"/>
                        </w:tcBorders>
                      </w:tcPr>
                      <w:p>
                        <w:pPr>
                          <w:pStyle w:val="TableParagraph"/>
                          <w:tabs>
                            <w:tab w:pos="1239" w:val="left" w:leader="none"/>
                            <w:tab w:pos="2860" w:val="left" w:leader="none"/>
                            <w:tab w:pos="3884" w:val="left" w:leader="none"/>
                          </w:tabs>
                          <w:spacing w:line="240" w:lineRule="auto" w:before="48"/>
                          <w:ind w:left="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tab/>
                          <w:t>折合人民币</w:t>
                          <w:tab/>
                          <w:t>原币</w:t>
                          <w:tab/>
                          <w:t>折算汇率</w:t>
                        </w:r>
                        <w:r>
                          <w:rPr>
                            <w:rFonts w:ascii="Microsoft JhengHei" w:hAnsi="Microsoft JhengHei" w:cs="Microsoft JhengHei" w:eastAsia="Microsoft JhengHei" w:hint="default"/>
                            <w:sz w:val="18"/>
                            <w:szCs w:val="18"/>
                          </w:rPr>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1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8" w:hRule="exact"/>
                    </w:trPr>
                    <w:tc>
                      <w:tcPr>
                        <w:tcW w:w="2482" w:type="dxa"/>
                        <w:tcBorders>
                          <w:top w:val="single" w:sz="4" w:space="0" w:color="000000"/>
                          <w:left w:val="nil" w:sz="6" w:space="0" w:color="auto"/>
                          <w:bottom w:val="nil" w:sz="6" w:space="0" w:color="auto"/>
                          <w:right w:val="nil" w:sz="6" w:space="0" w:color="auto"/>
                        </w:tcBorders>
                      </w:tcPr>
                      <w:p>
                        <w:pPr>
                          <w:pStyle w:val="TableParagraph"/>
                          <w:tabs>
                            <w:tab w:pos="1249" w:val="left" w:leader="none"/>
                          </w:tabs>
                          <w:spacing w:line="239"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美元</w:t>
                          <w:tab/>
                        </w:r>
                        <w:r>
                          <w:rPr>
                            <w:rFonts w:ascii="Times New Roman" w:hAnsi="Times New Roman" w:cs="Times New Roman" w:eastAsia="Times New Roman" w:hint="default"/>
                            <w:sz w:val="18"/>
                            <w:szCs w:val="18"/>
                          </w:rPr>
                          <w:t>8,685,472.86</w:t>
                        </w:r>
                      </w:p>
                    </w:tc>
                    <w:tc>
                      <w:tcPr>
                        <w:tcW w:w="4823" w:type="dxa"/>
                        <w:tcBorders>
                          <w:top w:val="single" w:sz="4" w:space="0" w:color="000000"/>
                          <w:left w:val="nil" w:sz="6" w:space="0" w:color="auto"/>
                          <w:bottom w:val="nil" w:sz="6" w:space="0" w:color="auto"/>
                          <w:right w:val="nil" w:sz="6" w:space="0" w:color="auto"/>
                        </w:tcBorders>
                      </w:tcPr>
                      <w:p>
                        <w:pPr>
                          <w:pStyle w:val="TableParagraph"/>
                          <w:tabs>
                            <w:tab w:pos="907" w:val="left" w:leader="none"/>
                            <w:tab w:pos="2161" w:val="left" w:leader="none"/>
                            <w:tab w:pos="3854" w:val="left" w:leader="none"/>
                          </w:tabs>
                          <w:spacing w:line="240" w:lineRule="auto" w:before="32"/>
                          <w:ind w:right="106"/>
                          <w:jc w:val="right"/>
                          <w:rPr>
                            <w:rFonts w:ascii="Times New Roman" w:hAnsi="Times New Roman" w:cs="Times New Roman" w:eastAsia="Times New Roman" w:hint="default"/>
                            <w:sz w:val="18"/>
                            <w:szCs w:val="18"/>
                          </w:rPr>
                        </w:pPr>
                        <w:r>
                          <w:rPr>
                            <w:rFonts w:ascii="Times New Roman"/>
                            <w:sz w:val="18"/>
                          </w:rPr>
                          <w:t>6.8346</w:t>
                          <w:tab/>
                        </w:r>
                        <w:r>
                          <w:rPr>
                            <w:rFonts w:ascii="Times New Roman"/>
                            <w:spacing w:val="-1"/>
                            <w:sz w:val="18"/>
                          </w:rPr>
                          <w:t>59,361,732.81</w:t>
                          <w:tab/>
                          <w:t>12,012,414.71</w:t>
                          <w:tab/>
                          <w:t>7.3046</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87,745,884.49</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tabs>
                            <w:tab w:pos="1383" w:val="left" w:leader="none"/>
                          </w:tabs>
                          <w:spacing w:line="241"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欧元</w:t>
                          <w:tab/>
                        </w:r>
                        <w:r>
                          <w:rPr>
                            <w:rFonts w:ascii="Times New Roman" w:hAnsi="Times New Roman" w:cs="Times New Roman" w:eastAsia="Times New Roman" w:hint="default"/>
                            <w:sz w:val="18"/>
                            <w:szCs w:val="18"/>
                          </w:rPr>
                          <w:t>279,028.00</w:t>
                        </w:r>
                      </w:p>
                    </w:tc>
                    <w:tc>
                      <w:tcPr>
                        <w:tcW w:w="4823" w:type="dxa"/>
                        <w:tcBorders>
                          <w:top w:val="nil" w:sz="6" w:space="0" w:color="auto"/>
                          <w:left w:val="nil" w:sz="6" w:space="0" w:color="auto"/>
                          <w:bottom w:val="nil" w:sz="6" w:space="0" w:color="auto"/>
                          <w:right w:val="nil" w:sz="6" w:space="0" w:color="auto"/>
                        </w:tcBorders>
                      </w:tcPr>
                      <w:p>
                        <w:pPr>
                          <w:pStyle w:val="TableParagraph"/>
                          <w:tabs>
                            <w:tab w:pos="997" w:val="left" w:leader="none"/>
                            <w:tab w:pos="2250" w:val="left" w:leader="none"/>
                            <w:tab w:pos="3764" w:val="left" w:leader="none"/>
                          </w:tabs>
                          <w:spacing w:line="240" w:lineRule="auto" w:before="34"/>
                          <w:ind w:right="105"/>
                          <w:jc w:val="right"/>
                          <w:rPr>
                            <w:rFonts w:ascii="Times New Roman" w:hAnsi="Times New Roman" w:cs="Times New Roman" w:eastAsia="Times New Roman" w:hint="default"/>
                            <w:sz w:val="18"/>
                            <w:szCs w:val="18"/>
                          </w:rPr>
                        </w:pPr>
                        <w:r>
                          <w:rPr>
                            <w:rFonts w:ascii="Times New Roman"/>
                            <w:sz w:val="18"/>
                          </w:rPr>
                          <w:t>9.6590</w:t>
                          <w:tab/>
                        </w:r>
                        <w:r>
                          <w:rPr>
                            <w:rFonts w:ascii="Times New Roman"/>
                            <w:spacing w:val="-1"/>
                            <w:sz w:val="18"/>
                          </w:rPr>
                          <w:t>2,695,131.45</w:t>
                          <w:tab/>
                          <w:t>6,641,757.16</w:t>
                          <w:tab/>
                        </w:r>
                        <w:r>
                          <w:rPr>
                            <w:rFonts w:ascii="Times New Roman"/>
                            <w:sz w:val="18"/>
                          </w:rPr>
                          <w:t>10.6669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70,846,959.45</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tabs>
                            <w:tab w:pos="1249" w:val="left" w:leader="none"/>
                          </w:tabs>
                          <w:spacing w:line="240" w:lineRule="exact"/>
                          <w:ind w:left="108"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日元</w:t>
                          <w:tab/>
                        </w:r>
                        <w:r>
                          <w:rPr>
                            <w:rFonts w:ascii="Times New Roman" w:hAnsi="Times New Roman" w:cs="Times New Roman" w:eastAsia="Times New Roman" w:hint="default"/>
                            <w:sz w:val="18"/>
                            <w:szCs w:val="18"/>
                          </w:rPr>
                          <w:t>8,992,440.00</w:t>
                        </w:r>
                      </w:p>
                    </w:tc>
                    <w:tc>
                      <w:tcPr>
                        <w:tcW w:w="4823" w:type="dxa"/>
                        <w:tcBorders>
                          <w:top w:val="nil" w:sz="6" w:space="0" w:color="auto"/>
                          <w:left w:val="nil" w:sz="6" w:space="0" w:color="auto"/>
                          <w:bottom w:val="nil" w:sz="6" w:space="0" w:color="auto"/>
                          <w:right w:val="nil" w:sz="6" w:space="0" w:color="auto"/>
                        </w:tcBorders>
                      </w:tcPr>
                      <w:p>
                        <w:pPr>
                          <w:pStyle w:val="TableParagraph"/>
                          <w:tabs>
                            <w:tab w:pos="1131" w:val="left" w:leader="none"/>
                            <w:tab w:pos="2386" w:val="left" w:leader="none"/>
                            <w:tab w:pos="3854" w:val="left" w:leader="none"/>
                          </w:tabs>
                          <w:spacing w:line="240" w:lineRule="auto" w:before="32"/>
                          <w:ind w:right="106"/>
                          <w:jc w:val="right"/>
                          <w:rPr>
                            <w:rFonts w:ascii="Times New Roman" w:hAnsi="Times New Roman" w:cs="Times New Roman" w:eastAsia="Times New Roman" w:hint="default"/>
                            <w:sz w:val="18"/>
                            <w:szCs w:val="18"/>
                          </w:rPr>
                        </w:pPr>
                        <w:r>
                          <w:rPr>
                            <w:rFonts w:ascii="Times New Roman"/>
                            <w:sz w:val="18"/>
                          </w:rPr>
                          <w:t>0.0757</w:t>
                          <w:tab/>
                          <w:t>680,727.71</w:t>
                          <w:tab/>
                          <w:t>487,240.00</w:t>
                          <w:tab/>
                          <w:t>0.0641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31,232.08</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tabs>
                            <w:tab w:pos="1159" w:val="left" w:leader="none"/>
                          </w:tabs>
                          <w:spacing w:line="240"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港元</w:t>
                          <w:tab/>
                        </w:r>
                        <w:r>
                          <w:rPr>
                            <w:rFonts w:ascii="Times New Roman" w:hAnsi="Times New Roman" w:cs="Times New Roman" w:eastAsia="Times New Roman" w:hint="default"/>
                            <w:sz w:val="18"/>
                            <w:szCs w:val="18"/>
                          </w:rPr>
                          <w:t>40,774,025.00</w:t>
                        </w:r>
                      </w:p>
                    </w:tc>
                    <w:tc>
                      <w:tcPr>
                        <w:tcW w:w="4823" w:type="dxa"/>
                        <w:tcBorders>
                          <w:top w:val="nil" w:sz="6" w:space="0" w:color="auto"/>
                          <w:left w:val="nil" w:sz="6" w:space="0" w:color="auto"/>
                          <w:bottom w:val="nil" w:sz="6" w:space="0" w:color="auto"/>
                          <w:right w:val="nil" w:sz="6" w:space="0" w:color="auto"/>
                        </w:tcBorders>
                      </w:tcPr>
                      <w:p>
                        <w:pPr>
                          <w:pStyle w:val="TableParagraph"/>
                          <w:tabs>
                            <w:tab w:pos="907" w:val="left" w:leader="none"/>
                            <w:tab w:pos="2880" w:val="left" w:leader="none"/>
                            <w:tab w:pos="3853" w:val="left" w:leader="none"/>
                          </w:tabs>
                          <w:spacing w:line="240" w:lineRule="auto" w:before="33"/>
                          <w:ind w:right="106"/>
                          <w:jc w:val="right"/>
                          <w:rPr>
                            <w:rFonts w:ascii="Times New Roman" w:hAnsi="Times New Roman" w:cs="Times New Roman" w:eastAsia="Times New Roman" w:hint="default"/>
                            <w:sz w:val="18"/>
                            <w:szCs w:val="18"/>
                          </w:rPr>
                        </w:pPr>
                        <w:r>
                          <w:rPr>
                            <w:rFonts w:ascii="Times New Roman"/>
                            <w:sz w:val="18"/>
                          </w:rPr>
                          <w:t>0.8819</w:t>
                          <w:tab/>
                        </w:r>
                        <w:r>
                          <w:rPr>
                            <w:rFonts w:ascii="Times New Roman"/>
                            <w:spacing w:val="-1"/>
                            <w:sz w:val="18"/>
                          </w:rPr>
                          <w:t>35,958,612.65</w:t>
                          <w:tab/>
                          <w:t>0.00</w:t>
                          <w:tab/>
                          <w:t>0.9364</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2482" w:type="dxa"/>
                        <w:tcBorders>
                          <w:top w:val="nil" w:sz="6" w:space="0" w:color="auto"/>
                          <w:left w:val="nil" w:sz="6" w:space="0" w:color="auto"/>
                          <w:bottom w:val="single" w:sz="4" w:space="0" w:color="000000"/>
                          <w:right w:val="nil" w:sz="6" w:space="0" w:color="auto"/>
                        </w:tcBorders>
                      </w:tcPr>
                      <w:p>
                        <w:pPr>
                          <w:pStyle w:val="TableParagraph"/>
                          <w:tabs>
                            <w:tab w:pos="1879" w:val="left" w:leader="none"/>
                          </w:tabs>
                          <w:spacing w:line="240"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英镑</w:t>
                        </w:r>
                        <w:r>
                          <w:rPr>
                            <w:rFonts w:ascii="Times New Roman" w:hAnsi="Times New Roman" w:cs="Times New Roman" w:eastAsia="Times New Roman" w:hint="default"/>
                            <w:sz w:val="18"/>
                            <w:szCs w:val="18"/>
                          </w:rPr>
                          <w:tab/>
                          <w:t>0.00</w:t>
                        </w:r>
                      </w:p>
                    </w:tc>
                    <w:tc>
                      <w:tcPr>
                        <w:tcW w:w="4823" w:type="dxa"/>
                        <w:tcBorders>
                          <w:top w:val="nil" w:sz="6" w:space="0" w:color="auto"/>
                          <w:left w:val="nil" w:sz="6" w:space="0" w:color="auto"/>
                          <w:bottom w:val="single" w:sz="4" w:space="0" w:color="000000"/>
                          <w:right w:val="nil" w:sz="6" w:space="0" w:color="auto"/>
                        </w:tcBorders>
                      </w:tcPr>
                      <w:p>
                        <w:pPr>
                          <w:pStyle w:val="TableParagraph"/>
                          <w:tabs>
                            <w:tab w:pos="1627" w:val="left" w:leader="none"/>
                            <w:tab w:pos="2475" w:val="left" w:leader="none"/>
                            <w:tab w:pos="3764" w:val="left" w:leader="none"/>
                          </w:tabs>
                          <w:spacing w:line="240" w:lineRule="auto" w:before="33"/>
                          <w:ind w:right="105"/>
                          <w:jc w:val="right"/>
                          <w:rPr>
                            <w:rFonts w:ascii="Times New Roman" w:hAnsi="Times New Roman" w:cs="Times New Roman" w:eastAsia="Times New Roman" w:hint="default"/>
                            <w:sz w:val="18"/>
                            <w:szCs w:val="18"/>
                          </w:rPr>
                        </w:pPr>
                        <w:r>
                          <w:rPr>
                            <w:rFonts w:ascii="Times New Roman"/>
                            <w:sz w:val="18"/>
                          </w:rPr>
                          <w:t>9.8798</w:t>
                          <w:tab/>
                          <w:t>0.00</w:t>
                          <w:tab/>
                          <w:t>51,675.00</w:t>
                          <w:tab/>
                          <w:t>14.5807</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753,457.67</w:t>
                        </w:r>
                      </w:p>
                    </w:tc>
                  </w:tr>
                  <w:tr>
                    <w:trPr>
                      <w:trHeight w:val="303" w:hRule="exact"/>
                    </w:trPr>
                    <w:tc>
                      <w:tcPr>
                        <w:tcW w:w="2482"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48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271" w:right="0"/>
                          <w:jc w:val="left"/>
                          <w:rPr>
                            <w:rFonts w:ascii="Times New Roman" w:hAnsi="Times New Roman" w:cs="Times New Roman" w:eastAsia="Times New Roman" w:hint="default"/>
                            <w:sz w:val="18"/>
                            <w:szCs w:val="18"/>
                          </w:rPr>
                        </w:pPr>
                        <w:r>
                          <w:rPr>
                            <w:rFonts w:ascii="Times New Roman"/>
                            <w:b/>
                            <w:sz w:val="18"/>
                          </w:rPr>
                          <w:t>98,696,204.62</w:t>
                        </w:r>
                        <w:r>
                          <w:rPr>
                            <w:rFonts w:ascii="Times New Roman"/>
                            <w:sz w:val="18"/>
                          </w:rPr>
                        </w:r>
                      </w:p>
                    </w:tc>
                    <w:tc>
                      <w:tcPr>
                        <w:tcW w:w="1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159,377,533.69</w:t>
                        </w:r>
                        <w:r>
                          <w:rPr>
                            <w:rFonts w:ascii="Times New Roman"/>
                            <w:spacing w:val="-1"/>
                            <w:sz w:val="18"/>
                          </w:rPr>
                        </w:r>
                      </w:p>
                    </w:tc>
                  </w:tr>
                  <w:tr>
                    <w:trPr>
                      <w:trHeight w:val="576" w:hRule="exact"/>
                    </w:trPr>
                    <w:tc>
                      <w:tcPr>
                        <w:tcW w:w="24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26.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应付职工薪酬</w:t>
                        </w:r>
                      </w:p>
                    </w:tc>
                    <w:tc>
                      <w:tcPr>
                        <w:tcW w:w="4823" w:type="dxa"/>
                        <w:tcBorders>
                          <w:top w:val="single" w:sz="12" w:space="0" w:color="000000"/>
                          <w:left w:val="nil" w:sz="6" w:space="0" w:color="auto"/>
                          <w:bottom w:val="single" w:sz="12" w:space="0" w:color="000000"/>
                          <w:right w:val="nil" w:sz="6" w:space="0" w:color="auto"/>
                        </w:tcBorders>
                      </w:tcPr>
                      <w:p>
                        <w:pPr/>
                      </w:p>
                    </w:tc>
                    <w:tc>
                      <w:tcPr>
                        <w:tcW w:w="1333"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248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4823" w:type="dxa"/>
                        <w:tcBorders>
                          <w:top w:val="single" w:sz="12" w:space="0" w:color="000000"/>
                          <w:left w:val="nil" w:sz="6" w:space="0" w:color="auto"/>
                          <w:bottom w:val="single" w:sz="4" w:space="0" w:color="000000"/>
                          <w:right w:val="nil" w:sz="6" w:space="0" w:color="auto"/>
                        </w:tcBorders>
                      </w:tcPr>
                      <w:p>
                        <w:pPr>
                          <w:pStyle w:val="TableParagraph"/>
                          <w:tabs>
                            <w:tab w:pos="2243" w:val="left" w:leader="none"/>
                            <w:tab w:pos="3721" w:val="left" w:leader="none"/>
                          </w:tabs>
                          <w:spacing w:line="246" w:lineRule="exact"/>
                          <w:ind w:left="8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tab/>
                          <w:t>本年增加</w:t>
                          <w:tab/>
                          <w:t>本年减少</w:t>
                        </w:r>
                        <w:r>
                          <w:rPr>
                            <w:rFonts w:ascii="Microsoft JhengHei" w:hAnsi="Microsoft JhengHei" w:cs="Microsoft JhengHei" w:eastAsia="Microsoft JhengHei" w:hint="default"/>
                            <w:sz w:val="18"/>
                            <w:szCs w:val="18"/>
                          </w:rPr>
                        </w:r>
                      </w:p>
                    </w:tc>
                    <w:tc>
                      <w:tcPr>
                        <w:tcW w:w="133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2482" w:type="dxa"/>
                        <w:tcBorders>
                          <w:top w:val="single" w:sz="4" w:space="0" w:color="000000"/>
                          <w:left w:val="nil" w:sz="6" w:space="0" w:color="auto"/>
                          <w:bottom w:val="nil" w:sz="6" w:space="0" w:color="auto"/>
                          <w:right w:val="nil" w:sz="6" w:space="0" w:color="auto"/>
                        </w:tcBorders>
                      </w:tcPr>
                      <w:p>
                        <w:pPr>
                          <w:pStyle w:val="TableParagraph"/>
                          <w:spacing w:line="239"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工资</w:t>
                        </w:r>
                        <w:r>
                          <w:rPr>
                            <w:rFonts w:ascii="Times New Roman" w:hAnsi="Times New Roman" w:cs="Times New Roman" w:eastAsia="Times New Roman" w:hint="default"/>
                            <w:sz w:val="18"/>
                            <w:szCs w:val="18"/>
                          </w:rPr>
                          <w:t>(</w:t>
                        </w:r>
                        <w:r>
                          <w:rPr>
                            <w:rFonts w:ascii="楷体" w:hAnsi="楷体" w:cs="楷体" w:eastAsia="楷体" w:hint="default"/>
                            <w:sz w:val="18"/>
                            <w:szCs w:val="18"/>
                          </w:rPr>
                          <w:t>含奖金、津贴和补贴</w:t>
                        </w:r>
                        <w:r>
                          <w:rPr>
                            <w:rFonts w:ascii="Times New Roman" w:hAnsi="Times New Roman" w:cs="Times New Roman" w:eastAsia="Times New Roman" w:hint="default"/>
                            <w:sz w:val="18"/>
                            <w:szCs w:val="18"/>
                          </w:rPr>
                          <w:t>)</w:t>
                        </w:r>
                      </w:p>
                    </w:tc>
                    <w:tc>
                      <w:tcPr>
                        <w:tcW w:w="4823" w:type="dxa"/>
                        <w:tcBorders>
                          <w:top w:val="single" w:sz="4" w:space="0" w:color="000000"/>
                          <w:left w:val="nil" w:sz="6" w:space="0" w:color="auto"/>
                          <w:bottom w:val="nil" w:sz="6" w:space="0" w:color="auto"/>
                          <w:right w:val="nil" w:sz="6" w:space="0" w:color="auto"/>
                        </w:tcBorders>
                      </w:tcPr>
                      <w:p>
                        <w:pPr>
                          <w:pStyle w:val="TableParagraph"/>
                          <w:tabs>
                            <w:tab w:pos="1387" w:val="left" w:leader="none"/>
                            <w:tab w:pos="2864" w:val="left" w:leader="none"/>
                          </w:tabs>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81,534,770.88</w:t>
                          <w:tab/>
                          <w:t>907,024,397.58</w:t>
                          <w:tab/>
                          <w:t>908,877,527.48</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79,681,640.98</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职工福利费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386" w:val="left" w:leader="none"/>
                            <w:tab w:pos="2863" w:val="left" w:leader="none"/>
                          </w:tabs>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2,669,538.05</w:t>
                          <w:tab/>
                          <w:t>56,070,220.35</w:t>
                          <w:tab/>
                          <w:t>58,739,758.40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社会保险费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224" w:val="left" w:leader="none"/>
                            <w:tab w:pos="2707"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z w:val="18"/>
                          </w:rPr>
                          <w:t>-921,984.91</w:t>
                          <w:tab/>
                        </w:r>
                        <w:r>
                          <w:rPr>
                            <w:rFonts w:ascii="Times New Roman"/>
                            <w:spacing w:val="-1"/>
                            <w:sz w:val="18"/>
                          </w:rPr>
                          <w:t>170,107,631.89</w:t>
                          <w:tab/>
                          <w:t>160,265,081.11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8,920,565.87</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其中：医疗保险费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447" w:val="left" w:leader="none"/>
                            <w:tab w:pos="2924"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-6,853,655.43</w:t>
                          <w:tab/>
                          <w:t>36,680,450.62</w:t>
                          <w:tab/>
                          <w:t>27,595,938.02</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2,230,857.17</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楷体" w:hAnsi="楷体" w:cs="楷体" w:eastAsia="楷体" w:hint="default"/>
                            <w:sz w:val="18"/>
                            <w:szCs w:val="18"/>
                          </w:rPr>
                        </w:pPr>
                        <w:r>
                          <w:rPr>
                            <w:rFonts w:ascii="楷体" w:hAnsi="楷体" w:cs="楷体" w:eastAsia="楷体" w:hint="default"/>
                            <w:sz w:val="18"/>
                            <w:szCs w:val="18"/>
                          </w:rPr>
                          <w:t>基本养老保险费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311" w:val="left" w:leader="none"/>
                            <w:tab w:pos="2788" w:val="left" w:leader="none"/>
                          </w:tabs>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2,959,924.30</w:t>
                          <w:tab/>
                        </w:r>
                        <w:r>
                          <w:rPr>
                            <w:rFonts w:ascii="Times New Roman"/>
                            <w:spacing w:val="-2"/>
                            <w:sz w:val="18"/>
                          </w:rPr>
                          <w:t>111,125,054.38</w:t>
                          <w:tab/>
                          <w:t>111,355,328.37</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2,729,650.31</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6" w:lineRule="exact"/>
                          <w:ind w:left="648" w:right="0"/>
                          <w:jc w:val="left"/>
                          <w:rPr>
                            <w:rFonts w:ascii="楷体" w:hAnsi="楷体" w:cs="楷体" w:eastAsia="楷体" w:hint="default"/>
                            <w:sz w:val="18"/>
                            <w:szCs w:val="18"/>
                          </w:rPr>
                        </w:pPr>
                        <w:r>
                          <w:rPr>
                            <w:rFonts w:ascii="楷体" w:hAnsi="楷体" w:cs="楷体" w:eastAsia="楷体" w:hint="default"/>
                            <w:sz w:val="18"/>
                            <w:szCs w:val="18"/>
                          </w:rPr>
                          <w:t>年金缴费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162" w:val="left" w:leader="none"/>
                            <w:tab w:pos="2639" w:val="left" w:leader="none"/>
                          </w:tabs>
                          <w:spacing w:line="240" w:lineRule="auto" w:before="32"/>
                          <w:ind w:right="107"/>
                          <w:jc w:val="right"/>
                          <w:rPr>
                            <w:rFonts w:ascii="Times New Roman" w:hAnsi="Times New Roman" w:cs="Times New Roman" w:eastAsia="Times New Roman" w:hint="default"/>
                            <w:sz w:val="18"/>
                            <w:szCs w:val="18"/>
                          </w:rPr>
                        </w:pPr>
                        <w:r>
                          <w:rPr>
                            <w:rFonts w:ascii="Times New Roman"/>
                            <w:sz w:val="18"/>
                          </w:rPr>
                          <w:t>4,836.30</w:t>
                          <w:tab/>
                        </w:r>
                        <w:r>
                          <w:rPr>
                            <w:rFonts w:ascii="Times New Roman"/>
                            <w:spacing w:val="-1"/>
                            <w:sz w:val="18"/>
                          </w:rPr>
                          <w:t>3,560,960.00</w:t>
                          <w:tab/>
                          <w:t>3,746,698.36</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-180,902.06</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楷体" w:hAnsi="楷体" w:cs="楷体" w:eastAsia="楷体" w:hint="default"/>
                            <w:sz w:val="18"/>
                            <w:szCs w:val="18"/>
                          </w:rPr>
                        </w:pPr>
                        <w:r>
                          <w:rPr>
                            <w:rFonts w:ascii="楷体" w:hAnsi="楷体" w:cs="楷体" w:eastAsia="楷体" w:hint="default"/>
                            <w:sz w:val="18"/>
                            <w:szCs w:val="18"/>
                          </w:rPr>
                          <w:t>失业保险费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342" w:val="left" w:leader="none"/>
                            <w:tab w:pos="2819"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z w:val="18"/>
                          </w:rPr>
                          <w:t>228,235.67</w:t>
                          <w:tab/>
                        </w:r>
                        <w:r>
                          <w:rPr>
                            <w:rFonts w:ascii="Times New Roman"/>
                            <w:spacing w:val="-1"/>
                            <w:sz w:val="18"/>
                          </w:rPr>
                          <w:t>8,015,808.42</w:t>
                          <w:tab/>
                          <w:t>8,076,732.84</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167,311.25</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楷体" w:hAnsi="楷体" w:cs="楷体" w:eastAsia="楷体" w:hint="default"/>
                            <w:sz w:val="18"/>
                            <w:szCs w:val="18"/>
                          </w:rPr>
                        </w:pPr>
                        <w:r>
                          <w:rPr>
                            <w:rFonts w:ascii="楷体" w:hAnsi="楷体" w:cs="楷体" w:eastAsia="楷体" w:hint="default"/>
                            <w:sz w:val="18"/>
                            <w:szCs w:val="18"/>
                          </w:rPr>
                          <w:t>工伤保险费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252" w:val="left" w:leader="none"/>
                            <w:tab w:pos="2729"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z w:val="18"/>
                          </w:rPr>
                          <w:t>79,198.57</w:t>
                          <w:tab/>
                        </w:r>
                        <w:r>
                          <w:rPr>
                            <w:rFonts w:ascii="Times New Roman"/>
                            <w:spacing w:val="-1"/>
                            <w:sz w:val="18"/>
                          </w:rPr>
                          <w:t>2,737,941.28</w:t>
                          <w:tab/>
                          <w:t>2,741,156.09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75,983.76</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楷体" w:hAnsi="楷体" w:cs="楷体" w:eastAsia="楷体" w:hint="default"/>
                            <w:sz w:val="18"/>
                            <w:szCs w:val="18"/>
                          </w:rPr>
                        </w:pPr>
                        <w:r>
                          <w:rPr>
                            <w:rFonts w:ascii="楷体" w:hAnsi="楷体" w:cs="楷体" w:eastAsia="楷体" w:hint="default"/>
                            <w:sz w:val="18"/>
                            <w:szCs w:val="18"/>
                          </w:rPr>
                          <w:t>生育保险费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342" w:val="left" w:leader="none"/>
                            <w:tab w:pos="2819"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z w:val="18"/>
                          </w:rPr>
                          <w:t>198,478.71</w:t>
                          <w:tab/>
                        </w:r>
                        <w:r>
                          <w:rPr>
                            <w:rFonts w:ascii="Times New Roman"/>
                            <w:spacing w:val="-1"/>
                            <w:sz w:val="18"/>
                          </w:rPr>
                          <w:t>2,626,323.88</w:t>
                          <w:tab/>
                          <w:t>2,596,236.70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228,565.89</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楷体" w:hAnsi="楷体" w:cs="楷体" w:eastAsia="楷体" w:hint="default"/>
                            <w:sz w:val="18"/>
                            <w:szCs w:val="18"/>
                          </w:rPr>
                        </w:pPr>
                        <w:r>
                          <w:rPr>
                            <w:rFonts w:ascii="楷体" w:hAnsi="楷体" w:cs="楷体" w:eastAsia="楷体" w:hint="default"/>
                            <w:sz w:val="18"/>
                            <w:szCs w:val="18"/>
                          </w:rPr>
                          <w:t>其他社保费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476" w:val="left" w:leader="none"/>
                            <w:tab w:pos="2953"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2,460,996.97</w:t>
                          <w:tab/>
                          <w:t>5,361,093.31</w:t>
                          <w:tab/>
                          <w:t>4,152,990.73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3,669,099.55</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住房公积金</w:t>
                        </w:r>
                      </w:p>
                    </w:tc>
                    <w:tc>
                      <w:tcPr>
                        <w:tcW w:w="4823" w:type="dxa"/>
                        <w:tcBorders>
                          <w:top w:val="nil" w:sz="6" w:space="0" w:color="auto"/>
                          <w:left w:val="nil" w:sz="6" w:space="0" w:color="auto"/>
                          <w:bottom w:val="nil" w:sz="6" w:space="0" w:color="auto"/>
                          <w:right w:val="nil" w:sz="6" w:space="0" w:color="auto"/>
                        </w:tcBorders>
                      </w:tcPr>
                      <w:p>
                        <w:pPr>
                          <w:pStyle w:val="TableParagraph"/>
                          <w:tabs>
                            <w:tab w:pos="1386" w:val="left" w:leader="none"/>
                            <w:tab w:pos="2864"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2,467,932.43</w:t>
                          <w:tab/>
                          <w:t>68,453,661.06</w:t>
                          <w:tab/>
                          <w:t>72,869,097.69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-1,947,504.20</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工会经费和职工教育经费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476" w:val="left" w:leader="none"/>
                            <w:tab w:pos="2954" w:val="left" w:leader="none"/>
                          </w:tabs>
                          <w:spacing w:line="240" w:lineRule="auto" w:before="32"/>
                          <w:ind w:right="107"/>
                          <w:jc w:val="right"/>
                          <w:rPr>
                            <w:rFonts w:ascii="Times New Roman" w:hAnsi="Times New Roman" w:cs="Times New Roman" w:eastAsia="Times New Roman" w:hint="default"/>
                            <w:sz w:val="18"/>
                            <w:szCs w:val="18"/>
                          </w:rPr>
                        </w:pPr>
                        <w:r>
                          <w:rPr>
                            <w:rFonts w:ascii="Times New Roman"/>
                            <w:spacing w:val="-1"/>
                            <w:sz w:val="18"/>
                          </w:rPr>
                          <w:t>60,161,659.55</w:t>
                          <w:tab/>
                          <w:t>34,593,414.80</w:t>
                          <w:tab/>
                          <w:t>24,921,075.46</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69,833,998.89</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其中：工会经费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482" w:val="left" w:leader="none"/>
                            <w:tab w:pos="2954"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31,562,869.89</w:t>
                          <w:tab/>
                          <w:t>17,494,115.83</w:t>
                          <w:tab/>
                          <w:t>12,500,531.73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36,556,453.99</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楷体" w:hAnsi="楷体" w:cs="楷体" w:eastAsia="楷体" w:hint="default"/>
                            <w:sz w:val="18"/>
                            <w:szCs w:val="18"/>
                          </w:rPr>
                        </w:pPr>
                        <w:r>
                          <w:rPr>
                            <w:rFonts w:ascii="楷体" w:hAnsi="楷体" w:cs="楷体" w:eastAsia="楷体" w:hint="default"/>
                            <w:sz w:val="18"/>
                            <w:szCs w:val="18"/>
                          </w:rPr>
                          <w:t>职工教育经费</w:t>
                        </w:r>
                      </w:p>
                    </w:tc>
                    <w:tc>
                      <w:tcPr>
                        <w:tcW w:w="4823" w:type="dxa"/>
                        <w:tcBorders>
                          <w:top w:val="nil" w:sz="6" w:space="0" w:color="auto"/>
                          <w:left w:val="nil" w:sz="6" w:space="0" w:color="auto"/>
                          <w:bottom w:val="nil" w:sz="6" w:space="0" w:color="auto"/>
                          <w:right w:val="nil" w:sz="6" w:space="0" w:color="auto"/>
                        </w:tcBorders>
                      </w:tcPr>
                      <w:p>
                        <w:pPr>
                          <w:pStyle w:val="TableParagraph"/>
                          <w:tabs>
                            <w:tab w:pos="1476" w:val="left" w:leader="none"/>
                            <w:tab w:pos="2954"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28,598,789.66</w:t>
                          <w:tab/>
                          <w:t>17,099,298.97</w:t>
                          <w:tab/>
                          <w:t>12,420,543.73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33,277,544.90</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非货币性福利</w:t>
                        </w:r>
                      </w:p>
                    </w:tc>
                    <w:tc>
                      <w:tcPr>
                        <w:tcW w:w="4823" w:type="dxa"/>
                        <w:tcBorders>
                          <w:top w:val="nil" w:sz="6" w:space="0" w:color="auto"/>
                          <w:left w:val="nil" w:sz="6" w:space="0" w:color="auto"/>
                          <w:bottom w:val="nil" w:sz="6" w:space="0" w:color="auto"/>
                          <w:right w:val="nil" w:sz="6" w:space="0" w:color="auto"/>
                        </w:tcBorders>
                      </w:tcPr>
                      <w:p>
                        <w:pPr>
                          <w:pStyle w:val="TableParagraph"/>
                          <w:tabs>
                            <w:tab w:pos="1071" w:val="left" w:leader="none"/>
                            <w:tab w:pos="2548"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tab/>
                          <w:t>24,097.23</w:t>
                          <w:tab/>
                          <w:t>24,097.23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因解除劳动关系给予的补偿</w:t>
                        </w:r>
                      </w:p>
                    </w:tc>
                    <w:tc>
                      <w:tcPr>
                        <w:tcW w:w="4823" w:type="dxa"/>
                        <w:tcBorders>
                          <w:top w:val="nil" w:sz="6" w:space="0" w:color="auto"/>
                          <w:left w:val="nil" w:sz="6" w:space="0" w:color="auto"/>
                          <w:bottom w:val="nil" w:sz="6" w:space="0" w:color="auto"/>
                          <w:right w:val="nil" w:sz="6" w:space="0" w:color="auto"/>
                        </w:tcBorders>
                      </w:tcPr>
                      <w:p>
                        <w:pPr>
                          <w:pStyle w:val="TableParagraph"/>
                          <w:tabs>
                            <w:tab w:pos="1222" w:val="left" w:leader="none"/>
                            <w:tab w:pos="2699"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z w:val="18"/>
                          </w:rPr>
                          <w:t>-6,936.62</w:t>
                          <w:tab/>
                        </w:r>
                        <w:r>
                          <w:rPr>
                            <w:rFonts w:ascii="Times New Roman"/>
                            <w:spacing w:val="-1"/>
                            <w:sz w:val="18"/>
                          </w:rPr>
                          <w:t>3,058,229.85</w:t>
                          <w:tab/>
                          <w:t>3,058,229.85</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-6,936.62</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4823" w:type="dxa"/>
                        <w:tcBorders>
                          <w:top w:val="nil" w:sz="6" w:space="0" w:color="auto"/>
                          <w:left w:val="nil" w:sz="6" w:space="0" w:color="auto"/>
                          <w:bottom w:val="nil" w:sz="6" w:space="0" w:color="auto"/>
                          <w:right w:val="nil" w:sz="6" w:space="0" w:color="auto"/>
                        </w:tcBorders>
                      </w:tcPr>
                      <w:p>
                        <w:pPr>
                          <w:pStyle w:val="TableParagraph"/>
                          <w:tabs>
                            <w:tab w:pos="1476" w:val="left" w:leader="none"/>
                            <w:tab w:pos="2953" w:val="left" w:leader="none"/>
                          </w:tabs>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3,784,440.84</w:t>
                          <w:tab/>
                          <w:t>1,070,524.60</w:t>
                          <w:tab/>
                          <w:t>1,907,279.18</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2,947,686.26</w:t>
                        </w:r>
                      </w:p>
                    </w:tc>
                  </w:tr>
                  <w:tr>
                    <w:trPr>
                      <w:trHeight w:val="289" w:hRule="exact"/>
                    </w:trPr>
                    <w:tc>
                      <w:tcPr>
                        <w:tcW w:w="2482" w:type="dxa"/>
                        <w:tcBorders>
                          <w:top w:val="nil" w:sz="6" w:space="0" w:color="auto"/>
                          <w:left w:val="nil" w:sz="6" w:space="0" w:color="auto"/>
                          <w:bottom w:val="single" w:sz="4" w:space="0" w:color="000000"/>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其中：以现金结算的股份支付</w:t>
                        </w:r>
                      </w:p>
                    </w:tc>
                    <w:tc>
                      <w:tcPr>
                        <w:tcW w:w="4823" w:type="dxa"/>
                        <w:tcBorders>
                          <w:top w:val="nil" w:sz="6" w:space="0" w:color="auto"/>
                          <w:left w:val="nil" w:sz="6" w:space="0" w:color="auto"/>
                          <w:bottom w:val="single" w:sz="4" w:space="0" w:color="000000"/>
                          <w:right w:val="nil" w:sz="6" w:space="0" w:color="auto"/>
                        </w:tcBorders>
                      </w:tcPr>
                      <w:p>
                        <w:pPr>
                          <w:pStyle w:val="TableParagraph"/>
                          <w:tabs>
                            <w:tab w:pos="1476" w:val="left" w:leader="none"/>
                            <w:tab w:pos="2953" w:val="left" w:leader="none"/>
                          </w:tabs>
                          <w:spacing w:line="240" w:lineRule="auto" w:before="32"/>
                          <w:ind w:right="107"/>
                          <w:jc w:val="right"/>
                          <w:rPr>
                            <w:rFonts w:ascii="Times New Roman" w:hAnsi="Times New Roman" w:cs="Times New Roman" w:eastAsia="Times New Roman" w:hint="default"/>
                            <w:sz w:val="18"/>
                            <w:szCs w:val="18"/>
                          </w:rPr>
                        </w:pPr>
                        <w:r>
                          <w:rPr>
                            <w:rFonts w:ascii="Times New Roman"/>
                            <w:sz w:val="18"/>
                          </w:rPr>
                          <w:t>0.00</w:t>
                          <w:tab/>
                          <w:t>0.00</w:t>
                          <w:tab/>
                          <w:t>0.00</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2482"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4823" w:type="dxa"/>
                        <w:tcBorders>
                          <w:top w:val="single" w:sz="4" w:space="0" w:color="000000"/>
                          <w:left w:val="nil" w:sz="6" w:space="0" w:color="auto"/>
                          <w:bottom w:val="single" w:sz="12" w:space="0" w:color="000000"/>
                          <w:right w:val="nil" w:sz="6" w:space="0" w:color="auto"/>
                        </w:tcBorders>
                      </w:tcPr>
                      <w:p>
                        <w:pPr>
                          <w:pStyle w:val="TableParagraph"/>
                          <w:tabs>
                            <w:tab w:pos="1341" w:val="left" w:leader="none"/>
                            <w:tab w:pos="2818" w:val="left" w:leader="none"/>
                          </w:tabs>
                          <w:spacing w:line="240" w:lineRule="auto" w:before="32"/>
                          <w:ind w:right="107"/>
                          <w:jc w:val="right"/>
                          <w:rPr>
                            <w:rFonts w:ascii="Times New Roman" w:hAnsi="Times New Roman" w:cs="Times New Roman" w:eastAsia="Times New Roman" w:hint="default"/>
                            <w:sz w:val="18"/>
                            <w:szCs w:val="18"/>
                          </w:rPr>
                        </w:pPr>
                        <w:r>
                          <w:rPr>
                            <w:rFonts w:ascii="Times New Roman"/>
                            <w:b/>
                            <w:spacing w:val="-1"/>
                            <w:sz w:val="18"/>
                          </w:rPr>
                          <w:t>149,689,420.22</w:t>
                          <w:tab/>
                          <w:t>1,240,402,177.36</w:t>
                          <w:tab/>
                          <w:t>1,230,662,146.40</w:t>
                        </w:r>
                        <w:r>
                          <w:rPr>
                            <w:rFonts w:ascii="Times New Roman"/>
                            <w:spacing w:val="-1"/>
                            <w:sz w:val="18"/>
                          </w:rPr>
                        </w:r>
                      </w:p>
                    </w:tc>
                    <w:tc>
                      <w:tcPr>
                        <w:tcW w:w="1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159,429,451.18</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45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80.2pt;height:.5pt;mso-position-horizontal-relative:char;mso-position-vertical-relative:line" coordorigin="0,0" coordsize="7604,10">
            <v:group style="position:absolute;left:5;top:5;width:7594;height:2" coordorigin="5,5" coordsize="7594,2">
              <v:shape style="position:absolute;left:5;top:5;width:7594;height:2" coordorigin="5,5" coordsize="7594,0" path="m5,5l7598,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610" w:footer="784" w:top="1080" w:bottom="9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4"/>
          <w:szCs w:val="14"/>
        </w:rPr>
      </w:pPr>
    </w:p>
    <w:tbl>
      <w:tblPr>
        <w:tblW w:w="0" w:type="auto"/>
        <w:jc w:val="left"/>
        <w:tblInd w:w="416" w:type="dxa"/>
        <w:tblLayout w:type="fixed"/>
        <w:tblCellMar>
          <w:top w:w="0" w:type="dxa"/>
          <w:left w:w="0" w:type="dxa"/>
          <w:bottom w:w="0" w:type="dxa"/>
          <w:right w:w="0" w:type="dxa"/>
        </w:tblCellMar>
        <w:tblLook w:val="01E0"/>
      </w:tblPr>
      <w:tblGrid>
        <w:gridCol w:w="1827"/>
        <w:gridCol w:w="2732"/>
        <w:gridCol w:w="2311"/>
        <w:gridCol w:w="1768"/>
      </w:tblGrid>
      <w:tr>
        <w:trPr>
          <w:trHeight w:val="497" w:hRule="exact"/>
        </w:trPr>
        <w:tc>
          <w:tcPr>
            <w:tcW w:w="1827"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27.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应交税费</w:t>
            </w:r>
          </w:p>
        </w:tc>
        <w:tc>
          <w:tcPr>
            <w:tcW w:w="6811" w:type="dxa"/>
            <w:gridSpan w:val="3"/>
            <w:tcBorders>
              <w:top w:val="nil" w:sz="6" w:space="0" w:color="auto"/>
              <w:left w:val="nil" w:sz="6" w:space="0" w:color="auto"/>
              <w:bottom w:val="single" w:sz="12" w:space="0" w:color="000000"/>
              <w:right w:val="nil" w:sz="6" w:space="0" w:color="auto"/>
            </w:tcBorders>
          </w:tcPr>
          <w:p>
            <w:pPr/>
          </w:p>
        </w:tc>
      </w:tr>
      <w:tr>
        <w:trPr>
          <w:trHeight w:val="303" w:hRule="exact"/>
        </w:trPr>
        <w:tc>
          <w:tcPr>
            <w:tcW w:w="182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732"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6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适用税率</w:t>
            </w:r>
            <w:r>
              <w:rPr>
                <w:rFonts w:ascii="Microsoft JhengHei" w:hAnsi="Microsoft JhengHei" w:cs="Microsoft JhengHei" w:eastAsia="Microsoft JhengHei" w:hint="default"/>
                <w:sz w:val="18"/>
                <w:szCs w:val="18"/>
              </w:rPr>
            </w:r>
          </w:p>
        </w:tc>
        <w:tc>
          <w:tcPr>
            <w:tcW w:w="23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76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182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增值税</w:t>
            </w:r>
          </w:p>
        </w:tc>
        <w:tc>
          <w:tcPr>
            <w:tcW w:w="2732" w:type="dxa"/>
            <w:tcBorders>
              <w:top w:val="single" w:sz="4" w:space="0" w:color="000000"/>
              <w:left w:val="nil" w:sz="6" w:space="0" w:color="auto"/>
              <w:bottom w:val="nil" w:sz="6" w:space="0" w:color="auto"/>
              <w:right w:val="nil" w:sz="6" w:space="0" w:color="auto"/>
            </w:tcBorders>
          </w:tcPr>
          <w:p>
            <w:pPr>
              <w:pStyle w:val="TableParagraph"/>
              <w:spacing w:line="239" w:lineRule="exact"/>
              <w:ind w:right="263"/>
              <w:jc w:val="center"/>
              <w:rPr>
                <w:rFonts w:ascii="Times New Roman" w:hAnsi="Times New Roman" w:cs="Times New Roman" w:eastAsia="Times New Roman" w:hint="default"/>
                <w:sz w:val="18"/>
                <w:szCs w:val="18"/>
              </w:rPr>
            </w:pPr>
            <w:r>
              <w:rPr>
                <w:rFonts w:ascii="楷体" w:hAnsi="楷体" w:cs="楷体" w:eastAsia="楷体" w:hint="default"/>
                <w:sz w:val="18"/>
                <w:szCs w:val="18"/>
              </w:rPr>
              <w:t>应税收入的</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13%</w:t>
            </w:r>
            <w:r>
              <w:rPr>
                <w:rFonts w:ascii="楷体" w:hAnsi="楷体" w:cs="楷体" w:eastAsia="楷体" w:hint="default"/>
                <w:sz w:val="18"/>
                <w:szCs w:val="18"/>
              </w:rPr>
              <w:t>或</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17%</w:t>
            </w:r>
          </w:p>
        </w:tc>
        <w:tc>
          <w:tcPr>
            <w:tcW w:w="231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29"/>
              <w:jc w:val="right"/>
              <w:rPr>
                <w:rFonts w:ascii="Times New Roman" w:hAnsi="Times New Roman" w:cs="Times New Roman" w:eastAsia="Times New Roman" w:hint="default"/>
                <w:sz w:val="18"/>
                <w:szCs w:val="18"/>
              </w:rPr>
            </w:pPr>
            <w:r>
              <w:rPr>
                <w:rFonts w:ascii="Times New Roman"/>
                <w:spacing w:val="-1"/>
                <w:sz w:val="18"/>
              </w:rPr>
              <w:t>-64,031,148.43</w:t>
            </w:r>
          </w:p>
        </w:tc>
        <w:tc>
          <w:tcPr>
            <w:tcW w:w="176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-7,938,024.47</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营业税</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exact"/>
              <w:ind w:right="263"/>
              <w:jc w:val="center"/>
              <w:rPr>
                <w:rFonts w:ascii="Times New Roman" w:hAnsi="Times New Roman" w:cs="Times New Roman" w:eastAsia="Times New Roman" w:hint="default"/>
                <w:sz w:val="18"/>
                <w:szCs w:val="18"/>
              </w:rPr>
            </w:pPr>
            <w:r>
              <w:rPr>
                <w:rFonts w:ascii="楷体" w:hAnsi="楷体" w:cs="楷体" w:eastAsia="楷体" w:hint="default"/>
                <w:sz w:val="18"/>
                <w:szCs w:val="18"/>
              </w:rPr>
              <w:t>应税收入的</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3%</w:t>
            </w:r>
            <w:r>
              <w:rPr>
                <w:rFonts w:ascii="楷体" w:hAnsi="楷体" w:cs="楷体" w:eastAsia="楷体" w:hint="default"/>
                <w:sz w:val="18"/>
                <w:szCs w:val="18"/>
              </w:rPr>
              <w:t>或</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5%</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30"/>
              <w:jc w:val="right"/>
              <w:rPr>
                <w:rFonts w:ascii="Times New Roman" w:hAnsi="Times New Roman" w:cs="Times New Roman" w:eastAsia="Times New Roman" w:hint="default"/>
                <w:sz w:val="18"/>
                <w:szCs w:val="18"/>
              </w:rPr>
            </w:pPr>
            <w:r>
              <w:rPr>
                <w:rFonts w:ascii="Times New Roman"/>
                <w:spacing w:val="-1"/>
                <w:sz w:val="18"/>
              </w:rPr>
              <w:t>23,852,814.06</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17,829,351.78</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城市维护建设税</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exact"/>
              <w:ind w:right="264"/>
              <w:jc w:val="center"/>
              <w:rPr>
                <w:rFonts w:ascii="Times New Roman" w:hAnsi="Times New Roman" w:cs="Times New Roman" w:eastAsia="Times New Roman" w:hint="default"/>
                <w:sz w:val="18"/>
                <w:szCs w:val="18"/>
              </w:rPr>
            </w:pPr>
            <w:r>
              <w:rPr>
                <w:rFonts w:ascii="楷体" w:hAnsi="楷体" w:cs="楷体" w:eastAsia="楷体" w:hint="default"/>
                <w:sz w:val="18"/>
                <w:szCs w:val="18"/>
              </w:rPr>
              <w:t>应交流转税的</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7%</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30"/>
              <w:jc w:val="right"/>
              <w:rPr>
                <w:rFonts w:ascii="Times New Roman" w:hAnsi="Times New Roman" w:cs="Times New Roman" w:eastAsia="Times New Roman" w:hint="default"/>
                <w:sz w:val="18"/>
                <w:szCs w:val="18"/>
              </w:rPr>
            </w:pPr>
            <w:r>
              <w:rPr>
                <w:rFonts w:ascii="Times New Roman"/>
                <w:spacing w:val="-1"/>
                <w:sz w:val="18"/>
              </w:rPr>
              <w:t>6,896,496.90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6,481,977.47</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企业所得税</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exact"/>
              <w:ind w:right="264"/>
              <w:jc w:val="center"/>
              <w:rPr>
                <w:rFonts w:ascii="Times New Roman" w:hAnsi="Times New Roman" w:cs="Times New Roman" w:eastAsia="Times New Roman" w:hint="default"/>
                <w:sz w:val="18"/>
                <w:szCs w:val="18"/>
              </w:rPr>
            </w:pPr>
            <w:r>
              <w:rPr>
                <w:rFonts w:ascii="楷体" w:hAnsi="楷体" w:cs="楷体" w:eastAsia="楷体" w:hint="default"/>
                <w:sz w:val="18"/>
                <w:szCs w:val="18"/>
              </w:rPr>
              <w:t>参见附注</w:t>
            </w:r>
            <w:r>
              <w:rPr>
                <w:rFonts w:ascii="Times New Roman" w:hAnsi="Times New Roman" w:cs="Times New Roman" w:eastAsia="Times New Roman" w:hint="default"/>
                <w:sz w:val="18"/>
                <w:szCs w:val="18"/>
              </w:rPr>
              <w:t>“</w:t>
            </w:r>
            <w:r>
              <w:rPr>
                <w:rFonts w:ascii="楷体" w:hAnsi="楷体" w:cs="楷体" w:eastAsia="楷体" w:hint="default"/>
                <w:sz w:val="18"/>
                <w:szCs w:val="18"/>
              </w:rPr>
              <w:t>五、</w:t>
            </w:r>
            <w:r>
              <w:rPr>
                <w:rFonts w:ascii="Times New Roman" w:hAnsi="Times New Roman" w:cs="Times New Roman" w:eastAsia="Times New Roman" w:hint="default"/>
                <w:sz w:val="18"/>
                <w:szCs w:val="18"/>
              </w:rPr>
              <w:t>1”</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30"/>
              <w:jc w:val="right"/>
              <w:rPr>
                <w:rFonts w:ascii="Times New Roman" w:hAnsi="Times New Roman" w:cs="Times New Roman" w:eastAsia="Times New Roman" w:hint="default"/>
                <w:sz w:val="18"/>
                <w:szCs w:val="18"/>
              </w:rPr>
            </w:pPr>
            <w:r>
              <w:rPr>
                <w:rFonts w:ascii="Times New Roman"/>
                <w:spacing w:val="-1"/>
                <w:sz w:val="18"/>
              </w:rPr>
              <w:t>18,756,417.09</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41,371,947.58</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个人所得税</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3"/>
              <w:jc w:val="center"/>
              <w:rPr>
                <w:rFonts w:ascii="Times New Roman" w:hAnsi="Times New Roman" w:cs="Times New Roman" w:eastAsia="Times New Roman" w:hint="default"/>
                <w:sz w:val="18"/>
                <w:szCs w:val="18"/>
              </w:rPr>
            </w:pPr>
            <w:r>
              <w:rPr>
                <w:rFonts w:ascii="Times New Roman"/>
                <w:sz w:val="18"/>
              </w:rPr>
              <w:t>5%-45%</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30"/>
              <w:jc w:val="right"/>
              <w:rPr>
                <w:rFonts w:ascii="Times New Roman" w:hAnsi="Times New Roman" w:cs="Times New Roman" w:eastAsia="Times New Roman" w:hint="default"/>
                <w:sz w:val="18"/>
                <w:szCs w:val="18"/>
              </w:rPr>
            </w:pPr>
            <w:r>
              <w:rPr>
                <w:rFonts w:ascii="Times New Roman"/>
                <w:spacing w:val="-1"/>
                <w:sz w:val="18"/>
              </w:rPr>
              <w:t>5,519,665.50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5,306,979.75</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土地增值税</w:t>
            </w:r>
          </w:p>
        </w:tc>
        <w:tc>
          <w:tcPr>
            <w:tcW w:w="2732" w:type="dxa"/>
            <w:tcBorders>
              <w:top w:val="nil" w:sz="6" w:space="0" w:color="auto"/>
              <w:left w:val="nil" w:sz="6" w:space="0" w:color="auto"/>
              <w:bottom w:val="nil" w:sz="6" w:space="0" w:color="auto"/>
              <w:right w:val="nil" w:sz="6" w:space="0" w:color="auto"/>
            </w:tcBorders>
          </w:tcPr>
          <w:p>
            <w:pP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30"/>
              <w:jc w:val="right"/>
              <w:rPr>
                <w:rFonts w:ascii="Times New Roman" w:hAnsi="Times New Roman" w:cs="Times New Roman" w:eastAsia="Times New Roman" w:hint="default"/>
                <w:sz w:val="18"/>
                <w:szCs w:val="18"/>
              </w:rPr>
            </w:pPr>
            <w:r>
              <w:rPr>
                <w:rFonts w:ascii="Times New Roman"/>
                <w:sz w:val="18"/>
              </w:rPr>
              <w:t>-190,618.62</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694,352.03</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房产税</w:t>
            </w:r>
          </w:p>
        </w:tc>
        <w:tc>
          <w:tcPr>
            <w:tcW w:w="2732" w:type="dxa"/>
            <w:tcBorders>
              <w:top w:val="nil" w:sz="6" w:space="0" w:color="auto"/>
              <w:left w:val="nil" w:sz="6" w:space="0" w:color="auto"/>
              <w:bottom w:val="nil" w:sz="6" w:space="0" w:color="auto"/>
              <w:right w:val="nil" w:sz="6" w:space="0" w:color="auto"/>
            </w:tcBorders>
          </w:tcPr>
          <w:p>
            <w:pP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31"/>
              <w:jc w:val="right"/>
              <w:rPr>
                <w:rFonts w:ascii="Times New Roman" w:hAnsi="Times New Roman" w:cs="Times New Roman" w:eastAsia="Times New Roman" w:hint="default"/>
                <w:sz w:val="18"/>
                <w:szCs w:val="18"/>
              </w:rPr>
            </w:pPr>
            <w:r>
              <w:rPr>
                <w:rFonts w:ascii="Times New Roman"/>
                <w:spacing w:val="-1"/>
                <w:sz w:val="18"/>
              </w:rPr>
              <w:t>1,356,947.84</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429,487.32</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土地使用税</w:t>
            </w:r>
          </w:p>
        </w:tc>
        <w:tc>
          <w:tcPr>
            <w:tcW w:w="2732" w:type="dxa"/>
            <w:tcBorders>
              <w:top w:val="nil" w:sz="6" w:space="0" w:color="auto"/>
              <w:left w:val="nil" w:sz="6" w:space="0" w:color="auto"/>
              <w:bottom w:val="nil" w:sz="6" w:space="0" w:color="auto"/>
              <w:right w:val="nil" w:sz="6" w:space="0" w:color="auto"/>
            </w:tcBorders>
          </w:tcPr>
          <w:p>
            <w:pP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1"/>
              <w:jc w:val="right"/>
              <w:rPr>
                <w:rFonts w:ascii="Times New Roman" w:hAnsi="Times New Roman" w:cs="Times New Roman" w:eastAsia="Times New Roman" w:hint="default"/>
                <w:sz w:val="18"/>
                <w:szCs w:val="18"/>
              </w:rPr>
            </w:pPr>
            <w:r>
              <w:rPr>
                <w:rFonts w:ascii="Times New Roman"/>
                <w:spacing w:val="-1"/>
                <w:sz w:val="18"/>
              </w:rPr>
              <w:t>2,294,238.78</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108,607.28</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车船使用税</w:t>
            </w:r>
          </w:p>
        </w:tc>
        <w:tc>
          <w:tcPr>
            <w:tcW w:w="2732" w:type="dxa"/>
            <w:tcBorders>
              <w:top w:val="nil" w:sz="6" w:space="0" w:color="auto"/>
              <w:left w:val="nil" w:sz="6" w:space="0" w:color="auto"/>
              <w:bottom w:val="nil" w:sz="6" w:space="0" w:color="auto"/>
              <w:right w:val="nil" w:sz="6" w:space="0" w:color="auto"/>
            </w:tcBorders>
          </w:tcPr>
          <w:p>
            <w:pP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30"/>
              <w:jc w:val="right"/>
              <w:rPr>
                <w:rFonts w:ascii="Times New Roman" w:hAnsi="Times New Roman" w:cs="Times New Roman" w:eastAsia="Times New Roman" w:hint="default"/>
                <w:sz w:val="18"/>
                <w:szCs w:val="18"/>
              </w:rPr>
            </w:pPr>
            <w:r>
              <w:rPr>
                <w:rFonts w:ascii="Times New Roman"/>
                <w:sz w:val="18"/>
              </w:rPr>
              <w:t>6,160.00</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印花税</w:t>
            </w:r>
          </w:p>
        </w:tc>
        <w:tc>
          <w:tcPr>
            <w:tcW w:w="2732" w:type="dxa"/>
            <w:tcBorders>
              <w:top w:val="nil" w:sz="6" w:space="0" w:color="auto"/>
              <w:left w:val="nil" w:sz="6" w:space="0" w:color="auto"/>
              <w:bottom w:val="nil" w:sz="6" w:space="0" w:color="auto"/>
              <w:right w:val="nil" w:sz="6" w:space="0" w:color="auto"/>
            </w:tcBorders>
          </w:tcPr>
          <w:p>
            <w:pP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30"/>
              <w:jc w:val="right"/>
              <w:rPr>
                <w:rFonts w:ascii="Times New Roman" w:hAnsi="Times New Roman" w:cs="Times New Roman" w:eastAsia="Times New Roman" w:hint="default"/>
                <w:sz w:val="18"/>
                <w:szCs w:val="18"/>
              </w:rPr>
            </w:pPr>
            <w:r>
              <w:rPr>
                <w:rFonts w:ascii="Times New Roman"/>
                <w:sz w:val="18"/>
              </w:rPr>
              <w:t>188,795.09</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65,261.66</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教育费附加</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exact"/>
              <w:ind w:right="263"/>
              <w:jc w:val="center"/>
              <w:rPr>
                <w:rFonts w:ascii="Times New Roman" w:hAnsi="Times New Roman" w:cs="Times New Roman" w:eastAsia="Times New Roman" w:hint="default"/>
                <w:sz w:val="18"/>
                <w:szCs w:val="18"/>
              </w:rPr>
            </w:pPr>
            <w:r>
              <w:rPr>
                <w:rFonts w:ascii="楷体" w:hAnsi="楷体" w:cs="楷体" w:eastAsia="楷体" w:hint="default"/>
                <w:sz w:val="18"/>
                <w:szCs w:val="18"/>
              </w:rPr>
              <w:t>应交流转税的</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3%</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30"/>
              <w:jc w:val="right"/>
              <w:rPr>
                <w:rFonts w:ascii="Times New Roman" w:hAnsi="Times New Roman" w:cs="Times New Roman" w:eastAsia="Times New Roman" w:hint="default"/>
                <w:sz w:val="18"/>
                <w:szCs w:val="18"/>
              </w:rPr>
            </w:pPr>
            <w:r>
              <w:rPr>
                <w:rFonts w:ascii="Times New Roman"/>
                <w:spacing w:val="-1"/>
                <w:sz w:val="18"/>
              </w:rPr>
              <w:t>3,047,109.65</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2,881,981.96</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防洪保安资金</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exact"/>
              <w:ind w:right="263"/>
              <w:jc w:val="center"/>
              <w:rPr>
                <w:rFonts w:ascii="Times New Roman" w:hAnsi="Times New Roman" w:cs="Times New Roman" w:eastAsia="Times New Roman" w:hint="default"/>
                <w:sz w:val="18"/>
                <w:szCs w:val="18"/>
              </w:rPr>
            </w:pPr>
            <w:r>
              <w:rPr>
                <w:rFonts w:ascii="楷体" w:hAnsi="楷体" w:cs="楷体" w:eastAsia="楷体" w:hint="default"/>
                <w:sz w:val="18"/>
                <w:szCs w:val="18"/>
              </w:rPr>
              <w:t>应税收入的</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0.12%</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30"/>
              <w:jc w:val="right"/>
              <w:rPr>
                <w:rFonts w:ascii="Times New Roman" w:hAnsi="Times New Roman" w:cs="Times New Roman" w:eastAsia="Times New Roman" w:hint="default"/>
                <w:sz w:val="18"/>
                <w:szCs w:val="18"/>
              </w:rPr>
            </w:pPr>
            <w:r>
              <w:rPr>
                <w:rFonts w:ascii="Times New Roman"/>
                <w:spacing w:val="-1"/>
                <w:sz w:val="18"/>
              </w:rPr>
              <w:t>4,339,757.81</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3,371,101.14</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价格调节基金</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exact"/>
              <w:ind w:right="263"/>
              <w:jc w:val="center"/>
              <w:rPr>
                <w:rFonts w:ascii="Times New Roman" w:hAnsi="Times New Roman" w:cs="Times New Roman" w:eastAsia="Times New Roman" w:hint="default"/>
                <w:sz w:val="18"/>
                <w:szCs w:val="18"/>
              </w:rPr>
            </w:pPr>
            <w:r>
              <w:rPr>
                <w:rFonts w:ascii="楷体" w:hAnsi="楷体" w:cs="楷体" w:eastAsia="楷体" w:hint="default"/>
                <w:sz w:val="18"/>
                <w:szCs w:val="18"/>
              </w:rPr>
              <w:t>应税收入的</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0.10%</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30"/>
              <w:jc w:val="right"/>
              <w:rPr>
                <w:rFonts w:ascii="Times New Roman" w:hAnsi="Times New Roman" w:cs="Times New Roman" w:eastAsia="Times New Roman" w:hint="default"/>
                <w:sz w:val="18"/>
                <w:szCs w:val="18"/>
              </w:rPr>
            </w:pPr>
            <w:r>
              <w:rPr>
                <w:rFonts w:ascii="Times New Roman"/>
                <w:spacing w:val="-1"/>
                <w:sz w:val="18"/>
              </w:rPr>
              <w:t>4,571,514.08</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4,038,674.75</w:t>
            </w:r>
          </w:p>
        </w:tc>
      </w:tr>
      <w:tr>
        <w:trPr>
          <w:trHeight w:val="283" w:hRule="exact"/>
        </w:trPr>
        <w:tc>
          <w:tcPr>
            <w:tcW w:w="182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能源基金</w:t>
            </w:r>
          </w:p>
        </w:tc>
        <w:tc>
          <w:tcPr>
            <w:tcW w:w="2732" w:type="dxa"/>
            <w:tcBorders>
              <w:top w:val="nil" w:sz="6" w:space="0" w:color="auto"/>
              <w:left w:val="nil" w:sz="6" w:space="0" w:color="auto"/>
              <w:bottom w:val="nil" w:sz="6" w:space="0" w:color="auto"/>
              <w:right w:val="nil" w:sz="6" w:space="0" w:color="auto"/>
            </w:tcBorders>
          </w:tcPr>
          <w:p>
            <w:pP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18"/>
                <w:szCs w:val="18"/>
              </w:rPr>
            </w:pPr>
            <w:r>
              <w:rPr>
                <w:rFonts w:ascii="Times New Roman"/>
                <w:spacing w:val="-1"/>
                <w:sz w:val="18"/>
              </w:rPr>
              <w:t>1,282,393.43</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pacing w:val="-1"/>
                <w:sz w:val="18"/>
              </w:rPr>
              <w:t>1,282,393.43</w:t>
            </w:r>
          </w:p>
        </w:tc>
      </w:tr>
      <w:tr>
        <w:trPr>
          <w:trHeight w:val="289" w:hRule="exact"/>
        </w:trPr>
        <w:tc>
          <w:tcPr>
            <w:tcW w:w="1827"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2732" w:type="dxa"/>
            <w:tcBorders>
              <w:top w:val="nil" w:sz="6" w:space="0" w:color="auto"/>
              <w:left w:val="nil" w:sz="6" w:space="0" w:color="auto"/>
              <w:bottom w:val="single" w:sz="4" w:space="0" w:color="000000"/>
              <w:right w:val="nil" w:sz="6" w:space="0" w:color="auto"/>
            </w:tcBorders>
          </w:tcPr>
          <w:p>
            <w:pPr/>
          </w:p>
        </w:tc>
        <w:tc>
          <w:tcPr>
            <w:tcW w:w="231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30"/>
              <w:jc w:val="right"/>
              <w:rPr>
                <w:rFonts w:ascii="Times New Roman" w:hAnsi="Times New Roman" w:cs="Times New Roman" w:eastAsia="Times New Roman" w:hint="default"/>
                <w:sz w:val="18"/>
                <w:szCs w:val="18"/>
              </w:rPr>
            </w:pPr>
            <w:r>
              <w:rPr>
                <w:rFonts w:ascii="Times New Roman"/>
                <w:sz w:val="18"/>
              </w:rPr>
              <w:t>414,880.35</w:t>
            </w:r>
          </w:p>
        </w:tc>
        <w:tc>
          <w:tcPr>
            <w:tcW w:w="176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-28,948.55</w:t>
            </w:r>
          </w:p>
        </w:tc>
      </w:tr>
      <w:tr>
        <w:trPr>
          <w:trHeight w:val="303" w:hRule="exact"/>
        </w:trPr>
        <w:tc>
          <w:tcPr>
            <w:tcW w:w="182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32" w:type="dxa"/>
            <w:tcBorders>
              <w:top w:val="single" w:sz="4" w:space="0" w:color="000000"/>
              <w:left w:val="nil" w:sz="6" w:space="0" w:color="auto"/>
              <w:bottom w:val="single" w:sz="12" w:space="0" w:color="000000"/>
              <w:right w:val="nil" w:sz="6" w:space="0" w:color="auto"/>
            </w:tcBorders>
          </w:tcPr>
          <w:p>
            <w:pPr/>
          </w:p>
        </w:tc>
        <w:tc>
          <w:tcPr>
            <w:tcW w:w="23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30"/>
              <w:jc w:val="right"/>
              <w:rPr>
                <w:rFonts w:ascii="Times New Roman" w:hAnsi="Times New Roman" w:cs="Times New Roman" w:eastAsia="Times New Roman" w:hint="default"/>
                <w:sz w:val="18"/>
                <w:szCs w:val="18"/>
              </w:rPr>
            </w:pPr>
            <w:r>
              <w:rPr>
                <w:rFonts w:ascii="Times New Roman"/>
                <w:b/>
                <w:spacing w:val="-1"/>
                <w:sz w:val="18"/>
              </w:rPr>
              <w:t>8,305,423.53</w:t>
            </w:r>
            <w:r>
              <w:rPr>
                <w:rFonts w:ascii="Times New Roman"/>
                <w:spacing w:val="-1"/>
                <w:sz w:val="18"/>
              </w:rPr>
            </w:r>
          </w:p>
        </w:tc>
        <w:tc>
          <w:tcPr>
            <w:tcW w:w="176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75,895,143.13</w:t>
            </w:r>
            <w:r>
              <w:rPr>
                <w:rFonts w:ascii="Times New Roman"/>
                <w:spacing w:val="-1"/>
                <w:sz w:val="18"/>
              </w:rPr>
            </w:r>
          </w:p>
        </w:tc>
      </w:tr>
    </w:tbl>
    <w:p>
      <w:pPr>
        <w:spacing w:line="324" w:lineRule="auto" w:before="79"/>
        <w:ind w:left="138" w:right="142" w:firstLine="440"/>
        <w:jc w:val="both"/>
        <w:rPr>
          <w:rFonts w:ascii="楷体" w:hAnsi="楷体" w:cs="楷体" w:eastAsia="楷体" w:hint="default"/>
          <w:sz w:val="22"/>
          <w:szCs w:val="22"/>
        </w:rPr>
      </w:pPr>
      <w:r>
        <w:rPr>
          <w:rFonts w:ascii="楷体" w:hAnsi="楷体" w:cs="楷体" w:eastAsia="楷体" w:hint="default"/>
          <w:spacing w:val="-1"/>
          <w:sz w:val="22"/>
          <w:szCs w:val="22"/>
        </w:rPr>
        <w:t>其中，防洪保安资金、价格调节基金主要为本公司之控股子公司泰豪科技股份有限公司按江</w:t>
      </w:r>
      <w:r>
        <w:rPr>
          <w:rFonts w:ascii="楷体" w:hAnsi="楷体" w:cs="楷体" w:eastAsia="楷体" w:hint="default"/>
          <w:w w:val="99"/>
          <w:sz w:val="22"/>
          <w:szCs w:val="22"/>
        </w:rPr>
        <w:t> </w:t>
      </w:r>
      <w:r>
        <w:rPr>
          <w:rFonts w:ascii="楷体" w:hAnsi="楷体" w:cs="楷体" w:eastAsia="楷体" w:hint="default"/>
          <w:sz w:val="22"/>
          <w:szCs w:val="22"/>
        </w:rPr>
        <w:t>西省有关规定计缴的税费。</w:t>
      </w:r>
    </w:p>
    <w:p>
      <w:pPr>
        <w:spacing w:line="316" w:lineRule="auto" w:before="103"/>
        <w:ind w:left="138" w:right="142" w:firstLine="440"/>
        <w:jc w:val="both"/>
        <w:rPr>
          <w:rFonts w:ascii="楷体" w:hAnsi="楷体" w:cs="楷体" w:eastAsia="楷体" w:hint="default"/>
          <w:sz w:val="22"/>
          <w:szCs w:val="22"/>
        </w:rPr>
      </w:pPr>
      <w:r>
        <w:rPr>
          <w:rFonts w:ascii="楷体" w:hAnsi="楷体" w:cs="楷体" w:eastAsia="楷体" w:hint="default"/>
          <w:sz w:val="22"/>
          <w:szCs w:val="22"/>
        </w:rPr>
        <w:t>本年末的应交税费较上年末减少 </w:t>
      </w:r>
      <w:r>
        <w:rPr>
          <w:rFonts w:ascii="Times New Roman" w:hAnsi="Times New Roman" w:cs="Times New Roman" w:eastAsia="Times New Roman" w:hint="default"/>
          <w:sz w:val="22"/>
          <w:szCs w:val="22"/>
        </w:rPr>
        <w:t>67,589,719.60 </w:t>
      </w:r>
      <w:r>
        <w:rPr>
          <w:rFonts w:ascii="楷体" w:hAnsi="楷体" w:cs="楷体" w:eastAsia="楷体" w:hint="default"/>
          <w:sz w:val="22"/>
          <w:szCs w:val="22"/>
        </w:rPr>
        <w:t>元，减幅</w:t>
      </w:r>
      <w:r>
        <w:rPr>
          <w:rFonts w:ascii="楷体" w:hAnsi="楷体" w:cs="楷体" w:eastAsia="楷体" w:hint="default"/>
          <w:spacing w:val="-69"/>
          <w:sz w:val="22"/>
          <w:szCs w:val="22"/>
        </w:rPr>
        <w:t> </w:t>
      </w:r>
      <w:r>
        <w:rPr>
          <w:rFonts w:ascii="Times New Roman" w:hAnsi="Times New Roman" w:cs="Times New Roman" w:eastAsia="Times New Roman" w:hint="default"/>
          <w:sz w:val="22"/>
          <w:szCs w:val="22"/>
        </w:rPr>
        <w:t>89.06%</w:t>
      </w:r>
      <w:r>
        <w:rPr>
          <w:rFonts w:ascii="楷体" w:hAnsi="楷体" w:cs="楷体" w:eastAsia="楷体" w:hint="default"/>
          <w:sz w:val="22"/>
          <w:szCs w:val="22"/>
        </w:rPr>
        <w:t>，主要系本公司之二级子公</w:t>
      </w:r>
      <w:r>
        <w:rPr>
          <w:rFonts w:ascii="楷体" w:hAnsi="楷体" w:cs="楷体" w:eastAsia="楷体" w:hint="default"/>
          <w:w w:val="99"/>
          <w:sz w:val="22"/>
          <w:szCs w:val="22"/>
        </w:rPr>
        <w:t> </w:t>
      </w:r>
      <w:r>
        <w:rPr>
          <w:rFonts w:ascii="楷体" w:hAnsi="楷体" w:cs="楷体" w:eastAsia="楷体" w:hint="default"/>
          <w:spacing w:val="-1"/>
          <w:sz w:val="22"/>
          <w:szCs w:val="22"/>
        </w:rPr>
        <w:t>司同方江新造船有限公司生产规模扩大，材料采购大幅增加，相应增值税进项税增加，而其收入</w:t>
      </w:r>
      <w:r>
        <w:rPr>
          <w:rFonts w:ascii="楷体" w:hAnsi="楷体" w:cs="楷体" w:eastAsia="楷体" w:hint="default"/>
          <w:w w:val="99"/>
          <w:sz w:val="22"/>
          <w:szCs w:val="22"/>
        </w:rPr>
        <w:t> </w:t>
      </w:r>
      <w:r>
        <w:rPr>
          <w:rFonts w:ascii="楷体" w:hAnsi="楷体" w:cs="楷体" w:eastAsia="楷体" w:hint="default"/>
          <w:sz w:val="22"/>
          <w:szCs w:val="22"/>
        </w:rPr>
        <w:t>来源主要为免税的出口船舶，导致留抵的进项税余额较大所致。</w:t>
      </w:r>
    </w:p>
    <w:p>
      <w:pPr>
        <w:spacing w:line="240" w:lineRule="auto" w:before="12"/>
        <w:rPr>
          <w:rFonts w:ascii="楷体" w:hAnsi="楷体" w:cs="楷体" w:eastAsia="楷体" w:hint="default"/>
          <w:sz w:val="5"/>
          <w:szCs w:val="5"/>
        </w:rPr>
      </w:pPr>
    </w:p>
    <w:tbl>
      <w:tblPr>
        <w:tblW w:w="0" w:type="auto"/>
        <w:jc w:val="left"/>
        <w:tblInd w:w="416" w:type="dxa"/>
        <w:tblLayout w:type="fixed"/>
        <w:tblCellMar>
          <w:top w:w="0" w:type="dxa"/>
          <w:left w:w="0" w:type="dxa"/>
          <w:bottom w:w="0" w:type="dxa"/>
          <w:right w:w="0" w:type="dxa"/>
        </w:tblCellMar>
        <w:tblLook w:val="01E0"/>
      </w:tblPr>
      <w:tblGrid>
        <w:gridCol w:w="4479"/>
        <w:gridCol w:w="2235"/>
        <w:gridCol w:w="1924"/>
      </w:tblGrid>
      <w:tr>
        <w:trPr>
          <w:trHeight w:val="498" w:hRule="exact"/>
        </w:trPr>
        <w:tc>
          <w:tcPr>
            <w:tcW w:w="4479"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28.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应付利息</w:t>
            </w:r>
          </w:p>
        </w:tc>
        <w:tc>
          <w:tcPr>
            <w:tcW w:w="4159"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447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223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92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93" w:hRule="exact"/>
        </w:trPr>
        <w:tc>
          <w:tcPr>
            <w:tcW w:w="4479"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借款利息（泰豪科技并入）</w:t>
            </w:r>
          </w:p>
        </w:tc>
        <w:tc>
          <w:tcPr>
            <w:tcW w:w="2235"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699"/>
              <w:jc w:val="right"/>
              <w:rPr>
                <w:rFonts w:ascii="Times New Roman" w:hAnsi="Times New Roman" w:cs="Times New Roman" w:eastAsia="Times New Roman" w:hint="default"/>
                <w:sz w:val="18"/>
                <w:szCs w:val="18"/>
              </w:rPr>
            </w:pPr>
            <w:r>
              <w:rPr>
                <w:rFonts w:ascii="Times New Roman"/>
                <w:spacing w:val="-1"/>
                <w:sz w:val="18"/>
              </w:rPr>
              <w:t>1,344,226.86</w:t>
            </w:r>
          </w:p>
        </w:tc>
        <w:tc>
          <w:tcPr>
            <w:tcW w:w="1924"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986,555.89</w:t>
            </w:r>
          </w:p>
        </w:tc>
      </w:tr>
      <w:tr>
        <w:trPr>
          <w:trHeight w:val="303" w:hRule="exact"/>
        </w:trPr>
        <w:tc>
          <w:tcPr>
            <w:tcW w:w="447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98"/>
              <w:jc w:val="right"/>
              <w:rPr>
                <w:rFonts w:ascii="Times New Roman" w:hAnsi="Times New Roman" w:cs="Times New Roman" w:eastAsia="Times New Roman" w:hint="default"/>
                <w:sz w:val="18"/>
                <w:szCs w:val="18"/>
              </w:rPr>
            </w:pPr>
            <w:r>
              <w:rPr>
                <w:rFonts w:ascii="Times New Roman"/>
                <w:b/>
                <w:spacing w:val="-1"/>
                <w:sz w:val="18"/>
              </w:rPr>
              <w:t>1,344,226.86</w:t>
            </w:r>
            <w:r>
              <w:rPr>
                <w:rFonts w:ascii="Times New Roman"/>
                <w:spacing w:val="-1"/>
                <w:sz w:val="18"/>
              </w:rPr>
            </w:r>
          </w:p>
        </w:tc>
        <w:tc>
          <w:tcPr>
            <w:tcW w:w="19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z w:val="18"/>
              </w:rPr>
              <w:t>986,555.89</w:t>
            </w:r>
            <w:r>
              <w:rPr>
                <w:rFonts w:ascii="Times New Roman"/>
                <w:sz w:val="18"/>
              </w:rPr>
            </w:r>
          </w:p>
        </w:tc>
      </w:tr>
      <w:tr>
        <w:trPr>
          <w:trHeight w:val="576" w:hRule="exact"/>
        </w:trPr>
        <w:tc>
          <w:tcPr>
            <w:tcW w:w="44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29.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应付股利</w:t>
            </w:r>
          </w:p>
        </w:tc>
        <w:tc>
          <w:tcPr>
            <w:tcW w:w="2235" w:type="dxa"/>
            <w:tcBorders>
              <w:top w:val="single" w:sz="12" w:space="0" w:color="000000"/>
              <w:left w:val="nil" w:sz="6" w:space="0" w:color="auto"/>
              <w:bottom w:val="single" w:sz="12" w:space="0" w:color="000000"/>
              <w:right w:val="nil" w:sz="6" w:space="0" w:color="auto"/>
            </w:tcBorders>
          </w:tcPr>
          <w:p>
            <w:pPr/>
          </w:p>
        </w:tc>
        <w:tc>
          <w:tcPr>
            <w:tcW w:w="192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479"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23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92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447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同方威视股东股利（同方威视公司并入）</w:t>
            </w:r>
          </w:p>
        </w:tc>
        <w:tc>
          <w:tcPr>
            <w:tcW w:w="223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97"/>
              <w:jc w:val="right"/>
              <w:rPr>
                <w:rFonts w:ascii="Times New Roman" w:hAnsi="Times New Roman" w:cs="Times New Roman" w:eastAsia="Times New Roman" w:hint="default"/>
                <w:sz w:val="18"/>
                <w:szCs w:val="18"/>
              </w:rPr>
            </w:pPr>
            <w:r>
              <w:rPr>
                <w:rFonts w:ascii="Times New Roman"/>
                <w:spacing w:val="-1"/>
                <w:sz w:val="18"/>
              </w:rPr>
              <w:t>18,000,000.00</w:t>
            </w:r>
          </w:p>
        </w:tc>
        <w:tc>
          <w:tcPr>
            <w:tcW w:w="192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283" w:hRule="exact"/>
        </w:trPr>
        <w:tc>
          <w:tcPr>
            <w:tcW w:w="447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乌市金网股东股利（同方创新投资公司并入）</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97"/>
              <w:jc w:val="right"/>
              <w:rPr>
                <w:rFonts w:ascii="Times New Roman" w:hAnsi="Times New Roman" w:cs="Times New Roman" w:eastAsia="Times New Roman" w:hint="default"/>
                <w:sz w:val="18"/>
                <w:szCs w:val="18"/>
              </w:rPr>
            </w:pPr>
            <w:r>
              <w:rPr>
                <w:rFonts w:ascii="Times New Roman"/>
                <w:sz w:val="18"/>
              </w:rPr>
              <w:t>50,000.00</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50,000.00</w:t>
            </w:r>
          </w:p>
        </w:tc>
      </w:tr>
      <w:tr>
        <w:trPr>
          <w:trHeight w:val="283" w:hRule="exact"/>
        </w:trPr>
        <w:tc>
          <w:tcPr>
            <w:tcW w:w="4479"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同方信息安全股东股利（同方信息安全公司并入）</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97"/>
              <w:jc w:val="right"/>
              <w:rPr>
                <w:rFonts w:ascii="Times New Roman" w:hAnsi="Times New Roman" w:cs="Times New Roman" w:eastAsia="Times New Roman" w:hint="default"/>
                <w:sz w:val="18"/>
                <w:szCs w:val="18"/>
              </w:rPr>
            </w:pPr>
            <w:r>
              <w:rPr>
                <w:rFonts w:ascii="Times New Roman"/>
                <w:sz w:val="18"/>
              </w:rPr>
              <w:t>9,461.88</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9,461.88</w:t>
            </w:r>
          </w:p>
        </w:tc>
      </w:tr>
      <w:tr>
        <w:trPr>
          <w:trHeight w:val="283" w:hRule="exact"/>
        </w:trPr>
        <w:tc>
          <w:tcPr>
            <w:tcW w:w="4479"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中体同方股东股利（中体同方公司并入）</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97"/>
              <w:jc w:val="right"/>
              <w:rPr>
                <w:rFonts w:ascii="Times New Roman" w:hAnsi="Times New Roman" w:cs="Times New Roman" w:eastAsia="Times New Roman" w:hint="default"/>
                <w:sz w:val="18"/>
                <w:szCs w:val="18"/>
              </w:rPr>
            </w:pPr>
            <w:r>
              <w:rPr>
                <w:rFonts w:ascii="Times New Roman"/>
                <w:sz w:val="18"/>
              </w:rPr>
              <w:t>0.00</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574,560.00</w:t>
            </w:r>
          </w:p>
        </w:tc>
      </w:tr>
      <w:tr>
        <w:trPr>
          <w:trHeight w:val="289" w:hRule="exact"/>
        </w:trPr>
        <w:tc>
          <w:tcPr>
            <w:tcW w:w="4479"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同方微电子股东股利（同方微电子公司并入）</w:t>
            </w:r>
          </w:p>
        </w:tc>
        <w:tc>
          <w:tcPr>
            <w:tcW w:w="223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97"/>
              <w:jc w:val="right"/>
              <w:rPr>
                <w:rFonts w:ascii="Times New Roman" w:hAnsi="Times New Roman" w:cs="Times New Roman" w:eastAsia="Times New Roman" w:hint="default"/>
                <w:sz w:val="18"/>
                <w:szCs w:val="18"/>
              </w:rPr>
            </w:pPr>
            <w:r>
              <w:rPr>
                <w:rFonts w:ascii="Times New Roman"/>
                <w:spacing w:val="-1"/>
                <w:sz w:val="18"/>
              </w:rPr>
              <w:t>13,020,000.00</w:t>
            </w:r>
          </w:p>
        </w:tc>
        <w:tc>
          <w:tcPr>
            <w:tcW w:w="192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4,060,000.00</w:t>
            </w:r>
          </w:p>
        </w:tc>
      </w:tr>
      <w:tr>
        <w:trPr>
          <w:trHeight w:val="303" w:hRule="exact"/>
        </w:trPr>
        <w:tc>
          <w:tcPr>
            <w:tcW w:w="447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97"/>
              <w:jc w:val="right"/>
              <w:rPr>
                <w:rFonts w:ascii="Times New Roman" w:hAnsi="Times New Roman" w:cs="Times New Roman" w:eastAsia="Times New Roman" w:hint="default"/>
                <w:sz w:val="18"/>
                <w:szCs w:val="18"/>
              </w:rPr>
            </w:pPr>
            <w:r>
              <w:rPr>
                <w:rFonts w:ascii="Times New Roman"/>
                <w:b/>
                <w:spacing w:val="-1"/>
                <w:sz w:val="18"/>
              </w:rPr>
              <w:t>31,079,461.88</w:t>
            </w:r>
            <w:r>
              <w:rPr>
                <w:rFonts w:ascii="Times New Roman"/>
                <w:spacing w:val="-1"/>
                <w:sz w:val="18"/>
              </w:rPr>
            </w:r>
          </w:p>
        </w:tc>
        <w:tc>
          <w:tcPr>
            <w:tcW w:w="19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22,694,021.88</w:t>
            </w:r>
            <w:r>
              <w:rPr>
                <w:rFonts w:ascii="Times New Roman"/>
                <w:spacing w:val="-1"/>
                <w:sz w:val="18"/>
              </w:rPr>
            </w:r>
          </w:p>
        </w:tc>
      </w:tr>
      <w:tr>
        <w:trPr>
          <w:trHeight w:val="528" w:hRule="exact"/>
        </w:trPr>
        <w:tc>
          <w:tcPr>
            <w:tcW w:w="4479"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30.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其他应付款</w:t>
            </w:r>
          </w:p>
        </w:tc>
        <w:tc>
          <w:tcPr>
            <w:tcW w:w="2235" w:type="dxa"/>
            <w:tcBorders>
              <w:top w:val="single" w:sz="12" w:space="0" w:color="000000"/>
              <w:left w:val="nil" w:sz="6" w:space="0" w:color="auto"/>
              <w:bottom w:val="nil" w:sz="6" w:space="0" w:color="auto"/>
              <w:right w:val="nil" w:sz="6" w:space="0" w:color="auto"/>
            </w:tcBorders>
          </w:tcPr>
          <w:p>
            <w:pPr/>
          </w:p>
        </w:tc>
        <w:tc>
          <w:tcPr>
            <w:tcW w:w="1924"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447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其他应付款</w:t>
            </w:r>
          </w:p>
        </w:tc>
        <w:tc>
          <w:tcPr>
            <w:tcW w:w="2235" w:type="dxa"/>
            <w:tcBorders>
              <w:top w:val="nil" w:sz="6" w:space="0" w:color="auto"/>
              <w:left w:val="nil" w:sz="6" w:space="0" w:color="auto"/>
              <w:bottom w:val="single" w:sz="12" w:space="0" w:color="000000"/>
              <w:right w:val="nil" w:sz="6" w:space="0" w:color="auto"/>
            </w:tcBorders>
          </w:tcPr>
          <w:p>
            <w:pPr/>
          </w:p>
        </w:tc>
        <w:tc>
          <w:tcPr>
            <w:tcW w:w="1924"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447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23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92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303" w:hRule="exact"/>
        </w:trPr>
        <w:tc>
          <w:tcPr>
            <w:tcW w:w="447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其他应付款</w:t>
            </w:r>
            <w:r>
              <w:rPr>
                <w:rFonts w:ascii="Microsoft JhengHei" w:hAnsi="Microsoft JhengHei" w:cs="Microsoft JhengHei" w:eastAsia="Microsoft JhengHei" w:hint="default"/>
                <w:sz w:val="18"/>
                <w:szCs w:val="18"/>
              </w:rPr>
            </w:r>
          </w:p>
        </w:tc>
        <w:tc>
          <w:tcPr>
            <w:tcW w:w="2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96"/>
              <w:jc w:val="right"/>
              <w:rPr>
                <w:rFonts w:ascii="Times New Roman" w:hAnsi="Times New Roman" w:cs="Times New Roman" w:eastAsia="Times New Roman" w:hint="default"/>
                <w:sz w:val="18"/>
                <w:szCs w:val="18"/>
              </w:rPr>
            </w:pPr>
            <w:r>
              <w:rPr>
                <w:rFonts w:ascii="Times New Roman"/>
                <w:b/>
                <w:spacing w:val="-1"/>
                <w:sz w:val="18"/>
              </w:rPr>
              <w:t>527,050,050.65</w:t>
            </w:r>
            <w:r>
              <w:rPr>
                <w:rFonts w:ascii="Times New Roman"/>
                <w:spacing w:val="-1"/>
                <w:sz w:val="18"/>
              </w:rPr>
            </w:r>
          </w:p>
        </w:tc>
        <w:tc>
          <w:tcPr>
            <w:tcW w:w="19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458,630,047.15</w:t>
            </w:r>
            <w:r>
              <w:rPr>
                <w:rFonts w:ascii="Times New Roman"/>
                <w:spacing w:val="-1"/>
                <w:sz w:val="18"/>
              </w:rPr>
            </w:r>
          </w:p>
        </w:tc>
      </w:tr>
    </w:tbl>
    <w:p>
      <w:pPr>
        <w:spacing w:before="79"/>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楷体" w:hAnsi="楷体" w:cs="楷体" w:eastAsia="楷体" w:hint="default"/>
          <w:sz w:val="22"/>
          <w:szCs w:val="22"/>
        </w:rPr>
        <w:t>年末其他应付款中不含应付持本公司 </w:t>
      </w:r>
      <w:r>
        <w:rPr>
          <w:rFonts w:ascii="Times New Roman" w:hAnsi="Times New Roman" w:cs="Times New Roman" w:eastAsia="Times New Roman" w:hint="default"/>
          <w:sz w:val="22"/>
          <w:szCs w:val="22"/>
        </w:rPr>
        <w:t>5%</w:t>
      </w:r>
      <w:r>
        <w:rPr>
          <w:rFonts w:ascii="楷体" w:hAnsi="楷体" w:cs="楷体" w:eastAsia="楷体" w:hint="default"/>
          <w:sz w:val="22"/>
          <w:szCs w:val="22"/>
        </w:rPr>
        <w:t>（含</w:t>
      </w:r>
      <w:r>
        <w:rPr>
          <w:rFonts w:ascii="楷体" w:hAnsi="楷体" w:cs="楷体" w:eastAsia="楷体" w:hint="default"/>
          <w:spacing w:val="-82"/>
          <w:sz w:val="22"/>
          <w:szCs w:val="22"/>
        </w:rPr>
        <w:t> </w:t>
      </w:r>
      <w:r>
        <w:rPr>
          <w:rFonts w:ascii="Times New Roman" w:hAnsi="Times New Roman" w:cs="Times New Roman" w:eastAsia="Times New Roman" w:hint="default"/>
          <w:sz w:val="22"/>
          <w:szCs w:val="22"/>
        </w:rPr>
        <w:t>5%</w:t>
      </w:r>
      <w:r>
        <w:rPr>
          <w:rFonts w:ascii="楷体" w:hAnsi="楷体" w:cs="楷体" w:eastAsia="楷体" w:hint="default"/>
          <w:sz w:val="22"/>
          <w:szCs w:val="22"/>
        </w:rPr>
        <w:t>）以上表决权股份的股东单位款项。</w:t>
      </w:r>
    </w:p>
    <w:p>
      <w:pPr>
        <w:spacing w:after="0"/>
        <w:jc w:val="left"/>
        <w:rPr>
          <w:rFonts w:ascii="楷体" w:hAnsi="楷体" w:cs="楷体" w:eastAsia="楷体" w:hint="default"/>
          <w:sz w:val="22"/>
          <w:szCs w:val="22"/>
        </w:rPr>
        <w:sectPr>
          <w:pgSz w:w="11910" w:h="16840"/>
          <w:pgMar w:header="610" w:footer="784" w:top="1080" w:bottom="9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tbl>
      <w:tblPr>
        <w:tblW w:w="0" w:type="auto"/>
        <w:jc w:val="left"/>
        <w:tblInd w:w="416" w:type="dxa"/>
        <w:tblLayout w:type="fixed"/>
        <w:tblCellMar>
          <w:top w:w="0" w:type="dxa"/>
          <w:left w:w="0" w:type="dxa"/>
          <w:bottom w:w="0" w:type="dxa"/>
          <w:right w:w="0" w:type="dxa"/>
        </w:tblCellMar>
        <w:tblLook w:val="01E0"/>
      </w:tblPr>
      <w:tblGrid>
        <w:gridCol w:w="3070"/>
        <w:gridCol w:w="1859"/>
        <w:gridCol w:w="1519"/>
        <w:gridCol w:w="2190"/>
      </w:tblGrid>
      <w:tr>
        <w:trPr>
          <w:trHeight w:val="497" w:hRule="exact"/>
        </w:trPr>
        <w:tc>
          <w:tcPr>
            <w:tcW w:w="3070"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期末大额其他应付款</w:t>
            </w:r>
          </w:p>
        </w:tc>
        <w:tc>
          <w:tcPr>
            <w:tcW w:w="5568" w:type="dxa"/>
            <w:gridSpan w:val="3"/>
            <w:tcBorders>
              <w:top w:val="nil" w:sz="6" w:space="0" w:color="auto"/>
              <w:left w:val="nil" w:sz="6" w:space="0" w:color="auto"/>
              <w:bottom w:val="single" w:sz="12" w:space="0" w:color="000000"/>
              <w:right w:val="nil" w:sz="6" w:space="0" w:color="auto"/>
            </w:tcBorders>
          </w:tcPr>
          <w:p>
            <w:pPr/>
          </w:p>
        </w:tc>
      </w:tr>
      <w:tr>
        <w:trPr>
          <w:trHeight w:val="303" w:hRule="exact"/>
        </w:trPr>
        <w:tc>
          <w:tcPr>
            <w:tcW w:w="307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85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欠款金额</w:t>
            </w:r>
            <w:r>
              <w:rPr>
                <w:rFonts w:ascii="Microsoft JhengHei" w:hAnsi="Microsoft JhengHei" w:cs="Microsoft JhengHei" w:eastAsia="Microsoft JhengHei" w:hint="default"/>
                <w:sz w:val="18"/>
                <w:szCs w:val="18"/>
              </w:rPr>
            </w:r>
          </w:p>
        </w:tc>
        <w:tc>
          <w:tcPr>
            <w:tcW w:w="151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w:t>
            </w:r>
            <w:r>
              <w:rPr>
                <w:rFonts w:ascii="Microsoft JhengHei" w:hAnsi="Microsoft JhengHei" w:cs="Microsoft JhengHei" w:eastAsia="Microsoft JhengHei" w:hint="default"/>
                <w:sz w:val="18"/>
                <w:szCs w:val="18"/>
              </w:rPr>
            </w:r>
          </w:p>
        </w:tc>
        <w:tc>
          <w:tcPr>
            <w:tcW w:w="2190"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性质或内容</w:t>
            </w:r>
            <w:r>
              <w:rPr>
                <w:rFonts w:ascii="Microsoft JhengHei" w:hAnsi="Microsoft JhengHei" w:cs="Microsoft JhengHei" w:eastAsia="Microsoft JhengHei" w:hint="default"/>
                <w:sz w:val="18"/>
                <w:szCs w:val="18"/>
              </w:rPr>
            </w:r>
          </w:p>
        </w:tc>
      </w:tr>
      <w:tr>
        <w:trPr>
          <w:trHeight w:val="287" w:hRule="exact"/>
        </w:trPr>
        <w:tc>
          <w:tcPr>
            <w:tcW w:w="307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版权费</w:t>
            </w:r>
          </w:p>
        </w:tc>
        <w:tc>
          <w:tcPr>
            <w:tcW w:w="185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02"/>
              <w:jc w:val="right"/>
              <w:rPr>
                <w:rFonts w:ascii="Times New Roman" w:hAnsi="Times New Roman" w:cs="Times New Roman" w:eastAsia="Times New Roman" w:hint="default"/>
                <w:sz w:val="18"/>
                <w:szCs w:val="18"/>
              </w:rPr>
            </w:pPr>
            <w:r>
              <w:rPr>
                <w:rFonts w:ascii="Times New Roman"/>
                <w:spacing w:val="-1"/>
                <w:sz w:val="18"/>
              </w:rPr>
              <w:t>24,721,598.80</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39" w:lineRule="exact"/>
              <w:ind w:left="304"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2190" w:type="dxa"/>
            <w:tcBorders>
              <w:top w:val="single" w:sz="4" w:space="0" w:color="000000"/>
              <w:left w:val="nil" w:sz="6" w:space="0" w:color="auto"/>
              <w:bottom w:val="nil" w:sz="6" w:space="0" w:color="auto"/>
              <w:right w:val="nil" w:sz="6" w:space="0" w:color="auto"/>
            </w:tcBorders>
          </w:tcPr>
          <w:p>
            <w:pPr>
              <w:pStyle w:val="TableParagraph"/>
              <w:spacing w:line="226" w:lineRule="exact"/>
              <w:ind w:right="29"/>
              <w:jc w:val="center"/>
              <w:rPr>
                <w:rFonts w:ascii="楷体" w:hAnsi="楷体" w:cs="楷体" w:eastAsia="楷体" w:hint="default"/>
                <w:sz w:val="18"/>
                <w:szCs w:val="18"/>
              </w:rPr>
            </w:pPr>
            <w:r>
              <w:rPr>
                <w:rFonts w:ascii="楷体" w:hAnsi="楷体" w:cs="楷体" w:eastAsia="楷体" w:hint="default"/>
                <w:sz w:val="18"/>
                <w:szCs w:val="18"/>
              </w:rPr>
              <w:t>版权费</w:t>
            </w:r>
          </w:p>
        </w:tc>
      </w:tr>
      <w:tr>
        <w:trPr>
          <w:trHeight w:val="283"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原北京二纺机厂</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2"/>
              <w:jc w:val="right"/>
              <w:rPr>
                <w:rFonts w:ascii="Times New Roman" w:hAnsi="Times New Roman" w:cs="Times New Roman" w:eastAsia="Times New Roman" w:hint="default"/>
                <w:sz w:val="18"/>
                <w:szCs w:val="18"/>
              </w:rPr>
            </w:pPr>
            <w:r>
              <w:rPr>
                <w:rFonts w:ascii="Times New Roman"/>
                <w:spacing w:val="-1"/>
                <w:sz w:val="18"/>
              </w:rPr>
              <w:t>19,909,677.92</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exact"/>
              <w:ind w:left="304"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年以上</w:t>
            </w:r>
          </w:p>
        </w:tc>
        <w:tc>
          <w:tcPr>
            <w:tcW w:w="2190" w:type="dxa"/>
            <w:tcBorders>
              <w:top w:val="nil" w:sz="6" w:space="0" w:color="auto"/>
              <w:left w:val="nil" w:sz="6" w:space="0" w:color="auto"/>
              <w:bottom w:val="nil" w:sz="6" w:space="0" w:color="auto"/>
              <w:right w:val="nil" w:sz="6" w:space="0" w:color="auto"/>
            </w:tcBorders>
          </w:tcPr>
          <w:p>
            <w:pPr>
              <w:pStyle w:val="TableParagraph"/>
              <w:spacing w:line="227" w:lineRule="exact"/>
              <w:ind w:right="29"/>
              <w:jc w:val="center"/>
              <w:rPr>
                <w:rFonts w:ascii="楷体" w:hAnsi="楷体" w:cs="楷体" w:eastAsia="楷体" w:hint="default"/>
                <w:sz w:val="18"/>
                <w:szCs w:val="18"/>
              </w:rPr>
            </w:pPr>
            <w:r>
              <w:rPr>
                <w:rFonts w:ascii="楷体" w:hAnsi="楷体" w:cs="楷体" w:eastAsia="楷体" w:hint="default"/>
                <w:sz w:val="18"/>
                <w:szCs w:val="18"/>
              </w:rPr>
              <w:t>欠款</w:t>
            </w:r>
          </w:p>
        </w:tc>
      </w:tr>
      <w:tr>
        <w:trPr>
          <w:trHeight w:val="283"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北京国投节能公司</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2"/>
              <w:jc w:val="right"/>
              <w:rPr>
                <w:rFonts w:ascii="Times New Roman" w:hAnsi="Times New Roman" w:cs="Times New Roman" w:eastAsia="Times New Roman" w:hint="default"/>
                <w:sz w:val="18"/>
                <w:szCs w:val="18"/>
              </w:rPr>
            </w:pPr>
            <w:r>
              <w:rPr>
                <w:rFonts w:ascii="Times New Roman"/>
                <w:spacing w:val="-1"/>
                <w:sz w:val="18"/>
              </w:rPr>
              <w:t>13,209,120.00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exact"/>
              <w:ind w:left="304"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2190" w:type="dxa"/>
            <w:tcBorders>
              <w:top w:val="nil" w:sz="6" w:space="0" w:color="auto"/>
              <w:left w:val="nil" w:sz="6" w:space="0" w:color="auto"/>
              <w:bottom w:val="nil" w:sz="6" w:space="0" w:color="auto"/>
              <w:right w:val="nil" w:sz="6" w:space="0" w:color="auto"/>
            </w:tcBorders>
          </w:tcPr>
          <w:p>
            <w:pPr>
              <w:pStyle w:val="TableParagraph"/>
              <w:spacing w:line="227" w:lineRule="exact"/>
              <w:ind w:right="29"/>
              <w:jc w:val="center"/>
              <w:rPr>
                <w:rFonts w:ascii="楷体" w:hAnsi="楷体" w:cs="楷体" w:eastAsia="楷体" w:hint="default"/>
                <w:sz w:val="18"/>
                <w:szCs w:val="18"/>
              </w:rPr>
            </w:pPr>
            <w:r>
              <w:rPr>
                <w:rFonts w:ascii="楷体" w:hAnsi="楷体" w:cs="楷体" w:eastAsia="楷体" w:hint="default"/>
                <w:sz w:val="18"/>
                <w:szCs w:val="18"/>
              </w:rPr>
              <w:t>收购资产款项</w:t>
            </w:r>
          </w:p>
        </w:tc>
      </w:tr>
      <w:tr>
        <w:trPr>
          <w:trHeight w:val="283"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易程科技股份有限公司</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2"/>
              <w:jc w:val="right"/>
              <w:rPr>
                <w:rFonts w:ascii="Times New Roman" w:hAnsi="Times New Roman" w:cs="Times New Roman" w:eastAsia="Times New Roman" w:hint="default"/>
                <w:sz w:val="18"/>
                <w:szCs w:val="18"/>
              </w:rPr>
            </w:pPr>
            <w:r>
              <w:rPr>
                <w:rFonts w:ascii="Times New Roman"/>
                <w:spacing w:val="-1"/>
                <w:sz w:val="18"/>
              </w:rPr>
              <w:t>10,136,805.25</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exact"/>
              <w:ind w:left="409"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年</w:t>
            </w:r>
          </w:p>
        </w:tc>
        <w:tc>
          <w:tcPr>
            <w:tcW w:w="2190" w:type="dxa"/>
            <w:tcBorders>
              <w:top w:val="nil" w:sz="6" w:space="0" w:color="auto"/>
              <w:left w:val="nil" w:sz="6" w:space="0" w:color="auto"/>
              <w:bottom w:val="nil" w:sz="6" w:space="0" w:color="auto"/>
              <w:right w:val="nil" w:sz="6" w:space="0" w:color="auto"/>
            </w:tcBorders>
          </w:tcPr>
          <w:p>
            <w:pPr>
              <w:pStyle w:val="TableParagraph"/>
              <w:spacing w:line="227" w:lineRule="exact"/>
              <w:ind w:right="29"/>
              <w:jc w:val="center"/>
              <w:rPr>
                <w:rFonts w:ascii="楷体" w:hAnsi="楷体" w:cs="楷体" w:eastAsia="楷体" w:hint="default"/>
                <w:sz w:val="18"/>
                <w:szCs w:val="18"/>
              </w:rPr>
            </w:pPr>
            <w:r>
              <w:rPr>
                <w:rFonts w:ascii="楷体" w:hAnsi="楷体" w:cs="楷体" w:eastAsia="楷体" w:hint="default"/>
                <w:sz w:val="18"/>
                <w:szCs w:val="18"/>
              </w:rPr>
              <w:t>往来款</w:t>
            </w:r>
          </w:p>
        </w:tc>
      </w:tr>
      <w:tr>
        <w:trPr>
          <w:trHeight w:val="283"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清华大学</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2"/>
              <w:jc w:val="right"/>
              <w:rPr>
                <w:rFonts w:ascii="Times New Roman" w:hAnsi="Times New Roman" w:cs="Times New Roman" w:eastAsia="Times New Roman" w:hint="default"/>
                <w:sz w:val="18"/>
                <w:szCs w:val="18"/>
              </w:rPr>
            </w:pPr>
            <w:r>
              <w:rPr>
                <w:rFonts w:ascii="Times New Roman"/>
                <w:spacing w:val="-1"/>
                <w:sz w:val="18"/>
              </w:rPr>
              <w:t>10,920,548.66</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exact"/>
              <w:ind w:left="409"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年</w:t>
            </w:r>
          </w:p>
        </w:tc>
        <w:tc>
          <w:tcPr>
            <w:tcW w:w="2190" w:type="dxa"/>
            <w:tcBorders>
              <w:top w:val="nil" w:sz="6" w:space="0" w:color="auto"/>
              <w:left w:val="nil" w:sz="6" w:space="0" w:color="auto"/>
              <w:bottom w:val="nil" w:sz="6" w:space="0" w:color="auto"/>
              <w:right w:val="nil" w:sz="6" w:space="0" w:color="auto"/>
            </w:tcBorders>
          </w:tcPr>
          <w:p>
            <w:pPr>
              <w:pStyle w:val="TableParagraph"/>
              <w:spacing w:line="227" w:lineRule="exact"/>
              <w:ind w:right="29"/>
              <w:jc w:val="center"/>
              <w:rPr>
                <w:rFonts w:ascii="楷体" w:hAnsi="楷体" w:cs="楷体" w:eastAsia="楷体" w:hint="default"/>
                <w:sz w:val="18"/>
                <w:szCs w:val="18"/>
              </w:rPr>
            </w:pPr>
            <w:r>
              <w:rPr>
                <w:rFonts w:ascii="楷体" w:hAnsi="楷体" w:cs="楷体" w:eastAsia="楷体" w:hint="default"/>
                <w:sz w:val="18"/>
                <w:szCs w:val="18"/>
              </w:rPr>
              <w:t>往来款</w:t>
            </w:r>
          </w:p>
        </w:tc>
      </w:tr>
      <w:tr>
        <w:trPr>
          <w:trHeight w:val="289" w:hRule="exact"/>
        </w:trPr>
        <w:tc>
          <w:tcPr>
            <w:tcW w:w="3070"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恒基利公司</w:t>
            </w:r>
          </w:p>
        </w:tc>
        <w:tc>
          <w:tcPr>
            <w:tcW w:w="185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02"/>
              <w:jc w:val="right"/>
              <w:rPr>
                <w:rFonts w:ascii="Times New Roman" w:hAnsi="Times New Roman" w:cs="Times New Roman" w:eastAsia="Times New Roman" w:hint="default"/>
                <w:sz w:val="18"/>
                <w:szCs w:val="18"/>
              </w:rPr>
            </w:pPr>
            <w:r>
              <w:rPr>
                <w:rFonts w:ascii="Times New Roman"/>
                <w:spacing w:val="-1"/>
                <w:sz w:val="18"/>
              </w:rPr>
              <w:t>6,179,295.77</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exact"/>
              <w:ind w:left="304"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2190" w:type="dxa"/>
            <w:tcBorders>
              <w:top w:val="nil" w:sz="6" w:space="0" w:color="auto"/>
              <w:left w:val="nil" w:sz="6" w:space="0" w:color="auto"/>
              <w:bottom w:val="single" w:sz="4" w:space="0" w:color="000000"/>
              <w:right w:val="nil" w:sz="6" w:space="0" w:color="auto"/>
            </w:tcBorders>
          </w:tcPr>
          <w:p>
            <w:pPr>
              <w:pStyle w:val="TableParagraph"/>
              <w:spacing w:line="227" w:lineRule="exact"/>
              <w:ind w:right="29"/>
              <w:jc w:val="center"/>
              <w:rPr>
                <w:rFonts w:ascii="楷体" w:hAnsi="楷体" w:cs="楷体" w:eastAsia="楷体" w:hint="default"/>
                <w:sz w:val="18"/>
                <w:szCs w:val="18"/>
              </w:rPr>
            </w:pPr>
            <w:r>
              <w:rPr>
                <w:rFonts w:ascii="楷体" w:hAnsi="楷体" w:cs="楷体" w:eastAsia="楷体" w:hint="default"/>
                <w:sz w:val="18"/>
                <w:szCs w:val="18"/>
              </w:rPr>
              <w:t>往来款</w:t>
            </w:r>
          </w:p>
        </w:tc>
      </w:tr>
      <w:tr>
        <w:trPr>
          <w:trHeight w:val="303" w:hRule="exact"/>
        </w:trPr>
        <w:tc>
          <w:tcPr>
            <w:tcW w:w="3070"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8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02"/>
              <w:jc w:val="right"/>
              <w:rPr>
                <w:rFonts w:ascii="Times New Roman" w:hAnsi="Times New Roman" w:cs="Times New Roman" w:eastAsia="Times New Roman" w:hint="default"/>
                <w:sz w:val="18"/>
                <w:szCs w:val="18"/>
              </w:rPr>
            </w:pPr>
            <w:r>
              <w:rPr>
                <w:rFonts w:ascii="Times New Roman"/>
                <w:b/>
                <w:spacing w:val="-1"/>
                <w:sz w:val="18"/>
              </w:rPr>
              <w:t>85,077,046.40</w:t>
            </w:r>
            <w:r>
              <w:rPr>
                <w:rFonts w:ascii="Times New Roman"/>
                <w:spacing w:val="-1"/>
                <w:sz w:val="18"/>
              </w:rPr>
            </w:r>
          </w:p>
        </w:tc>
        <w:tc>
          <w:tcPr>
            <w:tcW w:w="1519" w:type="dxa"/>
            <w:tcBorders>
              <w:top w:val="single" w:sz="4" w:space="0" w:color="000000"/>
              <w:left w:val="nil" w:sz="6" w:space="0" w:color="auto"/>
              <w:bottom w:val="single" w:sz="12" w:space="0" w:color="000000"/>
              <w:right w:val="nil" w:sz="6" w:space="0" w:color="auto"/>
            </w:tcBorders>
          </w:tcPr>
          <w:p>
            <w:pPr/>
          </w:p>
        </w:tc>
        <w:tc>
          <w:tcPr>
            <w:tcW w:w="2190" w:type="dxa"/>
            <w:tcBorders>
              <w:top w:val="single" w:sz="4" w:space="0" w:color="000000"/>
              <w:left w:val="nil" w:sz="6" w:space="0" w:color="auto"/>
              <w:bottom w:val="single" w:sz="12" w:space="0" w:color="000000"/>
              <w:right w:val="nil" w:sz="6" w:space="0" w:color="auto"/>
            </w:tcBorders>
          </w:tcPr>
          <w:p>
            <w:pPr/>
          </w:p>
        </w:tc>
      </w:tr>
    </w:tbl>
    <w:p>
      <w:pPr>
        <w:spacing w:line="307" w:lineRule="auto" w:before="79"/>
        <w:ind w:left="138" w:right="213" w:firstLine="440"/>
        <w:jc w:val="left"/>
        <w:rPr>
          <w:rFonts w:ascii="楷体" w:hAnsi="楷体" w:cs="楷体" w:eastAsia="楷体" w:hint="default"/>
          <w:sz w:val="22"/>
          <w:szCs w:val="22"/>
        </w:rPr>
      </w:pPr>
      <w:r>
        <w:rPr>
          <w:rFonts w:ascii="楷体" w:hAnsi="楷体" w:cs="楷体" w:eastAsia="楷体" w:hint="default"/>
          <w:sz w:val="22"/>
          <w:szCs w:val="22"/>
        </w:rPr>
        <w:t>版权费系本公司之子公司 </w:t>
      </w:r>
      <w:r>
        <w:rPr>
          <w:rFonts w:ascii="Times New Roman" w:hAnsi="Times New Roman" w:cs="Times New Roman" w:eastAsia="Times New Roman" w:hint="default"/>
          <w:sz w:val="22"/>
          <w:szCs w:val="22"/>
        </w:rPr>
        <w:t>Resuccess Investments</w:t>
      </w:r>
      <w:r>
        <w:rPr>
          <w:rFonts w:ascii="Times New Roman" w:hAnsi="Times New Roman" w:cs="Times New Roman" w:eastAsia="Times New Roman" w:hint="default"/>
          <w:spacing w:val="-8"/>
          <w:sz w:val="22"/>
          <w:szCs w:val="22"/>
        </w:rPr>
        <w:t> </w:t>
      </w:r>
      <w:r>
        <w:rPr>
          <w:rFonts w:ascii="Times New Roman" w:hAnsi="Times New Roman" w:cs="Times New Roman" w:eastAsia="Times New Roman" w:hint="default"/>
          <w:sz w:val="22"/>
          <w:szCs w:val="22"/>
        </w:rPr>
        <w:t>Ltd.</w:t>
      </w:r>
      <w:r>
        <w:rPr>
          <w:rFonts w:ascii="楷体" w:hAnsi="楷体" w:cs="楷体" w:eastAsia="楷体" w:hint="default"/>
          <w:sz w:val="22"/>
          <w:szCs w:val="22"/>
        </w:rPr>
        <w:t>的控股子公司同方知网（北京）技术有</w:t>
      </w:r>
      <w:r>
        <w:rPr>
          <w:rFonts w:ascii="楷体" w:hAnsi="楷体" w:cs="楷体" w:eastAsia="楷体" w:hint="default"/>
          <w:w w:val="99"/>
          <w:sz w:val="22"/>
          <w:szCs w:val="22"/>
        </w:rPr>
        <w:t> </w:t>
      </w:r>
      <w:r>
        <w:rPr>
          <w:rFonts w:ascii="楷体" w:hAnsi="楷体" w:cs="楷体" w:eastAsia="楷体" w:hint="default"/>
          <w:sz w:val="22"/>
          <w:szCs w:val="22"/>
        </w:rPr>
        <w:t>限公司按收入比例预提的版权费</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24,721,598.80</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元。</w:t>
      </w:r>
    </w:p>
    <w:p>
      <w:pPr>
        <w:spacing w:line="369" w:lineRule="auto" w:before="95"/>
        <w:ind w:left="578" w:right="213" w:firstLine="0"/>
        <w:jc w:val="left"/>
        <w:rPr>
          <w:rFonts w:ascii="楷体" w:hAnsi="楷体" w:cs="楷体" w:eastAsia="楷体" w:hint="default"/>
          <w:sz w:val="22"/>
          <w:szCs w:val="22"/>
        </w:rPr>
      </w:pPr>
      <w:r>
        <w:rPr>
          <w:rFonts w:ascii="楷体" w:hAnsi="楷体" w:cs="楷体" w:eastAsia="楷体" w:hint="default"/>
          <w:sz w:val="22"/>
          <w:szCs w:val="22"/>
        </w:rPr>
        <w:t>原北京二纺机厂系本公司欠付的职工安置费</w:t>
      </w:r>
      <w:r>
        <w:rPr>
          <w:rFonts w:ascii="楷体" w:hAnsi="楷体" w:cs="楷体" w:eastAsia="楷体" w:hint="default"/>
          <w:spacing w:val="-54"/>
          <w:sz w:val="22"/>
          <w:szCs w:val="22"/>
        </w:rPr>
        <w:t> </w:t>
      </w:r>
      <w:r>
        <w:rPr>
          <w:rFonts w:ascii="Times New Roman" w:hAnsi="Times New Roman" w:cs="Times New Roman" w:eastAsia="Times New Roman" w:hint="default"/>
          <w:sz w:val="22"/>
          <w:szCs w:val="22"/>
        </w:rPr>
        <w:t>19,909,677.92</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元。</w:t>
      </w:r>
      <w:r>
        <w:rPr>
          <w:rFonts w:ascii="楷体" w:hAnsi="楷体" w:cs="楷体" w:eastAsia="楷体" w:hint="default"/>
          <w:spacing w:val="1"/>
          <w:w w:val="99"/>
          <w:sz w:val="22"/>
          <w:szCs w:val="22"/>
        </w:rPr>
        <w:t> </w:t>
      </w:r>
      <w:r>
        <w:rPr>
          <w:rFonts w:ascii="楷体" w:hAnsi="楷体" w:cs="楷体" w:eastAsia="楷体" w:hint="default"/>
          <w:spacing w:val="4"/>
          <w:sz w:val="22"/>
          <w:szCs w:val="22"/>
        </w:rPr>
        <w:t>应付北京国投节能公司款项系本公司之控股子公司同方威视技术股份有限公司收购北京华</w:t>
      </w:r>
    </w:p>
    <w:p>
      <w:pPr>
        <w:spacing w:line="271" w:lineRule="exact" w:before="0"/>
        <w:ind w:left="138" w:right="213" w:firstLine="0"/>
        <w:jc w:val="left"/>
        <w:rPr>
          <w:rFonts w:ascii="楷体" w:hAnsi="楷体" w:cs="楷体" w:eastAsia="楷体" w:hint="default"/>
          <w:sz w:val="22"/>
          <w:szCs w:val="22"/>
        </w:rPr>
      </w:pPr>
      <w:r>
        <w:rPr>
          <w:rFonts w:ascii="楷体" w:hAnsi="楷体" w:cs="楷体" w:eastAsia="楷体" w:hint="default"/>
          <w:sz w:val="22"/>
          <w:szCs w:val="22"/>
        </w:rPr>
        <w:t>力兴科技发展有限责任公司资产所欠款项。</w:t>
      </w:r>
    </w:p>
    <w:p>
      <w:pPr>
        <w:spacing w:before="180"/>
        <w:ind w:left="591" w:right="213"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其他应付款中外币余额</w:t>
      </w:r>
    </w:p>
    <w:p>
      <w:pPr>
        <w:tabs>
          <w:tab w:pos="6828" w:val="left" w:leader="none"/>
        </w:tabs>
        <w:spacing w:before="109"/>
        <w:ind w:left="3091" w:right="213" w:firstLine="0"/>
        <w:jc w:val="left"/>
        <w:rPr>
          <w:rFonts w:ascii="Microsoft JhengHei" w:hAnsi="Microsoft JhengHei" w:cs="Microsoft JhengHei" w:eastAsia="Microsoft JhengHei" w:hint="default"/>
          <w:sz w:val="18"/>
          <w:szCs w:val="18"/>
        </w:rPr>
      </w:pPr>
      <w:r>
        <w:rPr/>
        <w:pict>
          <v:group style="position:absolute;margin-left:85.199997pt;margin-top:8.055549pt;width:431.55pt;height:.1pt;mso-position-horizontal-relative:page;mso-position-vertical-relative:paragraph;z-index:-898072" coordorigin="1704,161" coordsize="8631,2">
            <v:shape style="position:absolute;left:1704;top:161;width:8631;height:2" coordorigin="1704,161" coordsize="8631,0" path="m1704,161l10334,161e" filled="false" stroked="true" strokeweight="1.5pt" strokecolor="#000000">
              <v:path arrowok="t"/>
            </v:shape>
            <w10:wrap type="none"/>
          </v:group>
        </w:pict>
      </w:r>
      <w:r>
        <w:rPr/>
        <w:pict>
          <v:shape style="position:absolute;margin-left:84.839996pt;margin-top:17.690874pt;width:431.9pt;height:321.4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6"/>
                    <w:gridCol w:w="1295"/>
                    <w:gridCol w:w="1376"/>
                    <w:gridCol w:w="1106"/>
                    <w:gridCol w:w="1265"/>
                  </w:tblGrid>
                  <w:tr>
                    <w:trPr>
                      <w:trHeight w:val="403" w:hRule="exact"/>
                    </w:trPr>
                    <w:tc>
                      <w:tcPr>
                        <w:tcW w:w="3596" w:type="dxa"/>
                        <w:tcBorders>
                          <w:top w:val="nil" w:sz="6" w:space="0" w:color="auto"/>
                          <w:left w:val="nil" w:sz="6" w:space="0" w:color="auto"/>
                          <w:bottom w:val="single" w:sz="4" w:space="0" w:color="000000"/>
                          <w:right w:val="nil" w:sz="6" w:space="0" w:color="auto"/>
                        </w:tcBorders>
                      </w:tcPr>
                      <w:p>
                        <w:pPr>
                          <w:pStyle w:val="TableParagraph"/>
                          <w:spacing w:line="124"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p>
                        <w:pPr>
                          <w:pStyle w:val="TableParagraph"/>
                          <w:tabs>
                            <w:tab w:pos="2626" w:val="left" w:leader="none"/>
                          </w:tabs>
                          <w:spacing w:line="237" w:lineRule="exact"/>
                          <w:ind w:left="16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tab/>
                          <w:t>折算汇率</w:t>
                        </w:r>
                        <w:r>
                          <w:rPr>
                            <w:rFonts w:ascii="Microsoft JhengHei" w:hAnsi="Microsoft JhengHei" w:cs="Microsoft JhengHei" w:eastAsia="Microsoft JhengHei" w:hint="default"/>
                            <w:sz w:val="18"/>
                            <w:szCs w:val="18"/>
                          </w:rPr>
                        </w: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8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7" w:hRule="exact"/>
                    </w:trPr>
                    <w:tc>
                      <w:tcPr>
                        <w:tcW w:w="3596" w:type="dxa"/>
                        <w:tcBorders>
                          <w:top w:val="single" w:sz="4" w:space="0" w:color="000000"/>
                          <w:left w:val="nil" w:sz="6" w:space="0" w:color="auto"/>
                          <w:bottom w:val="nil" w:sz="6" w:space="0" w:color="auto"/>
                          <w:right w:val="nil" w:sz="6" w:space="0" w:color="auto"/>
                        </w:tcBorders>
                      </w:tcPr>
                      <w:p>
                        <w:pPr>
                          <w:pStyle w:val="TableParagraph"/>
                          <w:tabs>
                            <w:tab w:pos="1384" w:val="left" w:leader="none"/>
                            <w:tab w:pos="2936" w:val="left" w:leader="none"/>
                          </w:tabs>
                          <w:spacing w:line="239"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美元</w:t>
                          <w:tab/>
                        </w:r>
                        <w:r>
                          <w:rPr>
                            <w:rFonts w:ascii="Times New Roman" w:hAnsi="Times New Roman" w:cs="Times New Roman" w:eastAsia="Times New Roman" w:hint="default"/>
                            <w:spacing w:val="-1"/>
                            <w:sz w:val="18"/>
                            <w:szCs w:val="18"/>
                          </w:rPr>
                          <w:t>6,221,816.72</w:t>
                          <w:tab/>
                        </w:r>
                        <w:r>
                          <w:rPr>
                            <w:rFonts w:ascii="Times New Roman" w:hAnsi="Times New Roman" w:cs="Times New Roman" w:eastAsia="Times New Roman" w:hint="default"/>
                            <w:sz w:val="18"/>
                            <w:szCs w:val="18"/>
                          </w:rPr>
                          <w:t>6.8346</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42,523,628.55</w:t>
                        </w: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60" w:right="0"/>
                          <w:jc w:val="left"/>
                          <w:rPr>
                            <w:rFonts w:ascii="Times New Roman" w:hAnsi="Times New Roman" w:cs="Times New Roman" w:eastAsia="Times New Roman" w:hint="default"/>
                            <w:sz w:val="18"/>
                            <w:szCs w:val="18"/>
                          </w:rPr>
                        </w:pPr>
                        <w:r>
                          <w:rPr>
                            <w:rFonts w:ascii="Times New Roman"/>
                            <w:sz w:val="18"/>
                          </w:rPr>
                          <w:t>985,679.76</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26"/>
                          <w:jc w:val="right"/>
                          <w:rPr>
                            <w:rFonts w:ascii="Times New Roman" w:hAnsi="Times New Roman" w:cs="Times New Roman" w:eastAsia="Times New Roman" w:hint="default"/>
                            <w:sz w:val="18"/>
                            <w:szCs w:val="18"/>
                          </w:rPr>
                        </w:pPr>
                        <w:r>
                          <w:rPr>
                            <w:rFonts w:ascii="Times New Roman"/>
                            <w:sz w:val="18"/>
                          </w:rPr>
                          <w:t>7.3046</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7,199,996.37</w:t>
                        </w:r>
                      </w:p>
                    </w:tc>
                  </w:tr>
                  <w:tr>
                    <w:trPr>
                      <w:trHeight w:val="283" w:hRule="exact"/>
                    </w:trPr>
                    <w:tc>
                      <w:tcPr>
                        <w:tcW w:w="3596" w:type="dxa"/>
                        <w:tcBorders>
                          <w:top w:val="nil" w:sz="6" w:space="0" w:color="auto"/>
                          <w:left w:val="nil" w:sz="6" w:space="0" w:color="auto"/>
                          <w:bottom w:val="nil" w:sz="6" w:space="0" w:color="auto"/>
                          <w:right w:val="nil" w:sz="6" w:space="0" w:color="auto"/>
                        </w:tcBorders>
                      </w:tcPr>
                      <w:p>
                        <w:pPr>
                          <w:pStyle w:val="TableParagraph"/>
                          <w:tabs>
                            <w:tab w:pos="1300" w:val="left" w:leader="none"/>
                            <w:tab w:pos="3431" w:val="right" w:leader="none"/>
                          </w:tabs>
                          <w:spacing w:line="240"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日元</w:t>
                          <w:tab/>
                        </w:r>
                        <w:r>
                          <w:rPr>
                            <w:rFonts w:ascii="Times New Roman" w:hAnsi="Times New Roman" w:cs="Times New Roman" w:eastAsia="Times New Roman" w:hint="default"/>
                            <w:sz w:val="18"/>
                            <w:szCs w:val="18"/>
                          </w:rPr>
                          <w:t>11,748,669.00</w:t>
                          <w:tab/>
                          <w:t>0.0757</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3"/>
                          <w:jc w:val="right"/>
                          <w:rPr>
                            <w:rFonts w:ascii="Times New Roman" w:hAnsi="Times New Roman" w:cs="Times New Roman" w:eastAsia="Times New Roman" w:hint="default"/>
                            <w:sz w:val="18"/>
                            <w:szCs w:val="18"/>
                          </w:rPr>
                        </w:pPr>
                        <w:r>
                          <w:rPr>
                            <w:rFonts w:ascii="Times New Roman"/>
                            <w:sz w:val="18"/>
                          </w:rPr>
                          <w:t>889,374.24</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6" w:right="0"/>
                          <w:jc w:val="left"/>
                          <w:rPr>
                            <w:rFonts w:ascii="Times New Roman" w:hAnsi="Times New Roman" w:cs="Times New Roman" w:eastAsia="Times New Roman" w:hint="default"/>
                            <w:sz w:val="18"/>
                            <w:szCs w:val="18"/>
                          </w:rPr>
                        </w:pPr>
                        <w:r>
                          <w:rPr>
                            <w:rFonts w:ascii="Times New Roman"/>
                            <w:sz w:val="18"/>
                          </w:rPr>
                          <w:t>3,720,780.00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8"/>
                            <w:szCs w:val="18"/>
                          </w:rPr>
                        </w:pPr>
                        <w:r>
                          <w:rPr>
                            <w:rFonts w:ascii="Times New Roman"/>
                            <w:spacing w:val="-1"/>
                            <w:sz w:val="18"/>
                          </w:rPr>
                          <w:t>0.0641</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238,502.00</w:t>
                        </w:r>
                      </w:p>
                    </w:tc>
                  </w:tr>
                  <w:tr>
                    <w:trPr>
                      <w:trHeight w:val="289" w:hRule="exact"/>
                    </w:trPr>
                    <w:tc>
                      <w:tcPr>
                        <w:tcW w:w="3596" w:type="dxa"/>
                        <w:tcBorders>
                          <w:top w:val="nil" w:sz="6" w:space="0" w:color="auto"/>
                          <w:left w:val="nil" w:sz="6" w:space="0" w:color="auto"/>
                          <w:bottom w:val="single" w:sz="4" w:space="0" w:color="000000"/>
                          <w:right w:val="nil" w:sz="6" w:space="0" w:color="auto"/>
                        </w:tcBorders>
                      </w:tcPr>
                      <w:p>
                        <w:pPr>
                          <w:pStyle w:val="TableParagraph"/>
                          <w:tabs>
                            <w:tab w:pos="1294" w:val="left" w:leader="none"/>
                            <w:tab w:pos="2936" w:val="left" w:leader="none"/>
                          </w:tabs>
                          <w:spacing w:line="240" w:lineRule="exact"/>
                          <w:ind w:left="108"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港元</w:t>
                          <w:tab/>
                        </w:r>
                        <w:r>
                          <w:rPr>
                            <w:rFonts w:ascii="Times New Roman" w:hAnsi="Times New Roman" w:cs="Times New Roman" w:eastAsia="Times New Roman" w:hint="default"/>
                            <w:spacing w:val="-1"/>
                            <w:sz w:val="18"/>
                            <w:szCs w:val="18"/>
                          </w:rPr>
                          <w:t>27,421,159.00</w:t>
                          <w:tab/>
                        </w:r>
                        <w:r>
                          <w:rPr>
                            <w:rFonts w:ascii="Times New Roman" w:hAnsi="Times New Roman" w:cs="Times New Roman" w:eastAsia="Times New Roman" w:hint="default"/>
                            <w:sz w:val="18"/>
                            <w:szCs w:val="18"/>
                          </w:rPr>
                          <w:t>0.8819</w:t>
                        </w: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3"/>
                          <w:jc w:val="right"/>
                          <w:rPr>
                            <w:rFonts w:ascii="Times New Roman" w:hAnsi="Times New Roman" w:cs="Times New Roman" w:eastAsia="Times New Roman" w:hint="default"/>
                            <w:sz w:val="18"/>
                            <w:szCs w:val="18"/>
                          </w:rPr>
                        </w:pPr>
                        <w:r>
                          <w:rPr>
                            <w:rFonts w:ascii="Times New Roman"/>
                            <w:spacing w:val="-1"/>
                            <w:sz w:val="18"/>
                          </w:rPr>
                          <w:t>24,182,720.12</w:t>
                        </w: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36" w:right="0"/>
                          <w:jc w:val="left"/>
                          <w:rPr>
                            <w:rFonts w:ascii="Times New Roman" w:hAnsi="Times New Roman" w:cs="Times New Roman" w:eastAsia="Times New Roman" w:hint="default"/>
                            <w:sz w:val="18"/>
                            <w:szCs w:val="18"/>
                          </w:rPr>
                        </w:pPr>
                        <w:r>
                          <w:rPr>
                            <w:rFonts w:ascii="Times New Roman"/>
                            <w:sz w:val="18"/>
                          </w:rPr>
                          <w:t>16,656,043.00</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8"/>
                            <w:szCs w:val="18"/>
                          </w:rPr>
                        </w:pPr>
                        <w:r>
                          <w:rPr>
                            <w:rFonts w:ascii="Times New Roman"/>
                            <w:spacing w:val="-1"/>
                            <w:sz w:val="18"/>
                          </w:rPr>
                          <w:t>0.9364</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15,596,718.67</w:t>
                        </w:r>
                      </w:p>
                    </w:tc>
                  </w:tr>
                  <w:tr>
                    <w:trPr>
                      <w:trHeight w:val="303" w:hRule="exact"/>
                    </w:trPr>
                    <w:tc>
                      <w:tcPr>
                        <w:tcW w:w="359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b/>
                            <w:spacing w:val="-1"/>
                            <w:sz w:val="18"/>
                          </w:rPr>
                          <w:t>67,595,722.91</w:t>
                        </w:r>
                        <w:r>
                          <w:rPr>
                            <w:rFonts w:ascii="Times New Roman"/>
                            <w:spacing w:val="-1"/>
                            <w:sz w:val="18"/>
                          </w:rPr>
                        </w:r>
                      </w:p>
                    </w:tc>
                    <w:tc>
                      <w:tcPr>
                        <w:tcW w:w="1376" w:type="dxa"/>
                        <w:tcBorders>
                          <w:top w:val="single" w:sz="4" w:space="0" w:color="000000"/>
                          <w:left w:val="nil" w:sz="6" w:space="0" w:color="auto"/>
                          <w:bottom w:val="single" w:sz="12" w:space="0" w:color="000000"/>
                          <w:right w:val="nil" w:sz="6" w:space="0" w:color="auto"/>
                        </w:tcBorders>
                      </w:tcPr>
                      <w:p>
                        <w:pPr/>
                      </w:p>
                    </w:tc>
                    <w:tc>
                      <w:tcPr>
                        <w:tcW w:w="1106" w:type="dxa"/>
                        <w:tcBorders>
                          <w:top w:val="single" w:sz="4" w:space="0" w:color="000000"/>
                          <w:left w:val="nil" w:sz="6" w:space="0" w:color="auto"/>
                          <w:bottom w:val="single" w:sz="12" w:space="0" w:color="000000"/>
                          <w:right w:val="nil" w:sz="6" w:space="0" w:color="auto"/>
                        </w:tcBorders>
                      </w:tcPr>
                      <w:p>
                        <w:pP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23,035,217.04</w:t>
                        </w:r>
                        <w:r>
                          <w:rPr>
                            <w:rFonts w:ascii="Times New Roman"/>
                            <w:spacing w:val="-1"/>
                            <w:sz w:val="18"/>
                          </w:rPr>
                        </w:r>
                      </w:p>
                    </w:tc>
                  </w:tr>
                  <w:tr>
                    <w:trPr>
                      <w:trHeight w:val="528" w:hRule="exact"/>
                    </w:trPr>
                    <w:tc>
                      <w:tcPr>
                        <w:tcW w:w="3596"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31.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一年内到期的非流动负债</w:t>
                        </w:r>
                      </w:p>
                    </w:tc>
                    <w:tc>
                      <w:tcPr>
                        <w:tcW w:w="1295" w:type="dxa"/>
                        <w:tcBorders>
                          <w:top w:val="single" w:sz="12" w:space="0" w:color="000000"/>
                          <w:left w:val="nil" w:sz="6" w:space="0" w:color="auto"/>
                          <w:bottom w:val="nil" w:sz="6" w:space="0" w:color="auto"/>
                          <w:right w:val="nil" w:sz="6" w:space="0" w:color="auto"/>
                        </w:tcBorders>
                      </w:tcPr>
                      <w:p>
                        <w:pPr/>
                      </w:p>
                    </w:tc>
                    <w:tc>
                      <w:tcPr>
                        <w:tcW w:w="1376" w:type="dxa"/>
                        <w:tcBorders>
                          <w:top w:val="single" w:sz="12" w:space="0" w:color="000000"/>
                          <w:left w:val="nil" w:sz="6" w:space="0" w:color="auto"/>
                          <w:bottom w:val="nil" w:sz="6" w:space="0" w:color="auto"/>
                          <w:right w:val="nil" w:sz="6" w:space="0" w:color="auto"/>
                        </w:tcBorders>
                      </w:tcPr>
                      <w:p>
                        <w:pPr/>
                      </w:p>
                    </w:tc>
                    <w:tc>
                      <w:tcPr>
                        <w:tcW w:w="1106" w:type="dxa"/>
                        <w:tcBorders>
                          <w:top w:val="single" w:sz="12" w:space="0" w:color="000000"/>
                          <w:left w:val="nil" w:sz="6" w:space="0" w:color="auto"/>
                          <w:bottom w:val="nil" w:sz="6" w:space="0" w:color="auto"/>
                          <w:right w:val="nil" w:sz="6" w:space="0" w:color="auto"/>
                        </w:tcBorders>
                      </w:tcPr>
                      <w:p>
                        <w:pPr/>
                      </w:p>
                    </w:tc>
                    <w:tc>
                      <w:tcPr>
                        <w:tcW w:w="1265"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359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4"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一年内到期的非流动负债</w:t>
                        </w:r>
                      </w:p>
                    </w:tc>
                    <w:tc>
                      <w:tcPr>
                        <w:tcW w:w="1295" w:type="dxa"/>
                        <w:tcBorders>
                          <w:top w:val="nil" w:sz="6" w:space="0" w:color="auto"/>
                          <w:left w:val="nil" w:sz="6" w:space="0" w:color="auto"/>
                          <w:bottom w:val="single" w:sz="12" w:space="0" w:color="000000"/>
                          <w:right w:val="nil" w:sz="6" w:space="0" w:color="auto"/>
                        </w:tcBorders>
                      </w:tcPr>
                      <w:p>
                        <w:pPr/>
                      </w:p>
                    </w:tc>
                    <w:tc>
                      <w:tcPr>
                        <w:tcW w:w="1376" w:type="dxa"/>
                        <w:tcBorders>
                          <w:top w:val="nil" w:sz="6" w:space="0" w:color="auto"/>
                          <w:left w:val="nil" w:sz="6" w:space="0" w:color="auto"/>
                          <w:bottom w:val="single" w:sz="12" w:space="0" w:color="000000"/>
                          <w:right w:val="nil" w:sz="6" w:space="0" w:color="auto"/>
                        </w:tcBorders>
                      </w:tcPr>
                      <w:p>
                        <w:pPr/>
                      </w:p>
                    </w:tc>
                    <w:tc>
                      <w:tcPr>
                        <w:tcW w:w="1106" w:type="dxa"/>
                        <w:tcBorders>
                          <w:top w:val="nil" w:sz="6" w:space="0" w:color="auto"/>
                          <w:left w:val="nil" w:sz="6" w:space="0" w:color="auto"/>
                          <w:bottom w:val="single" w:sz="12" w:space="0" w:color="000000"/>
                          <w:right w:val="nil" w:sz="6" w:space="0" w:color="auto"/>
                        </w:tcBorders>
                      </w:tcPr>
                      <w:p>
                        <w:pPr/>
                      </w:p>
                    </w:tc>
                    <w:tc>
                      <w:tcPr>
                        <w:tcW w:w="1265"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359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295" w:type="dxa"/>
                        <w:tcBorders>
                          <w:top w:val="single" w:sz="12" w:space="0" w:color="000000"/>
                          <w:left w:val="nil" w:sz="6" w:space="0" w:color="auto"/>
                          <w:bottom w:val="single" w:sz="4" w:space="0" w:color="000000"/>
                          <w:right w:val="nil" w:sz="6" w:space="0" w:color="auto"/>
                        </w:tcBorders>
                      </w:tcPr>
                      <w:p>
                        <w:pPr/>
                      </w:p>
                    </w:tc>
                    <w:tc>
                      <w:tcPr>
                        <w:tcW w:w="137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106" w:type="dxa"/>
                        <w:tcBorders>
                          <w:top w:val="single" w:sz="12" w:space="0" w:color="000000"/>
                          <w:left w:val="nil" w:sz="6" w:space="0" w:color="auto"/>
                          <w:bottom w:val="single" w:sz="4" w:space="0" w:color="000000"/>
                          <w:right w:val="nil" w:sz="6" w:space="0" w:color="auto"/>
                        </w:tcBorders>
                      </w:tcPr>
                      <w:p>
                        <w:pPr/>
                      </w:p>
                    </w:tc>
                    <w:tc>
                      <w:tcPr>
                        <w:tcW w:w="126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59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一年内到期的长期借款</w:t>
                        </w:r>
                      </w:p>
                    </w:tc>
                    <w:tc>
                      <w:tcPr>
                        <w:tcW w:w="1295" w:type="dxa"/>
                        <w:tcBorders>
                          <w:top w:val="single" w:sz="4" w:space="0" w:color="000000"/>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95" w:right="0"/>
                          <w:jc w:val="left"/>
                          <w:rPr>
                            <w:rFonts w:ascii="Times New Roman" w:hAnsi="Times New Roman" w:cs="Times New Roman" w:eastAsia="Times New Roman" w:hint="default"/>
                            <w:sz w:val="18"/>
                            <w:szCs w:val="18"/>
                          </w:rPr>
                        </w:pPr>
                        <w:r>
                          <w:rPr>
                            <w:rFonts w:ascii="Times New Roman"/>
                            <w:b/>
                            <w:sz w:val="18"/>
                          </w:rPr>
                          <w:t>509,000,000.00</w:t>
                        </w:r>
                        <w:r>
                          <w:rPr>
                            <w:rFonts w:ascii="Times New Roman"/>
                            <w:sz w:val="18"/>
                          </w:rPr>
                        </w:r>
                      </w:p>
                    </w:tc>
                    <w:tc>
                      <w:tcPr>
                        <w:tcW w:w="1106"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22,000,000.00</w:t>
                        </w:r>
                        <w:r>
                          <w:rPr>
                            <w:rFonts w:ascii="Times New Roman"/>
                            <w:spacing w:val="-1"/>
                            <w:sz w:val="18"/>
                          </w:rPr>
                        </w:r>
                      </w:p>
                    </w:tc>
                  </w:tr>
                  <w:tr>
                    <w:trPr>
                      <w:trHeight w:val="283"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一年内到期的应付债券</w:t>
                        </w:r>
                      </w:p>
                    </w:tc>
                    <w:tc>
                      <w:tcPr>
                        <w:tcW w:w="1295"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4"/>
                          <w:jc w:val="right"/>
                          <w:rPr>
                            <w:rFonts w:ascii="Times New Roman" w:hAnsi="Times New Roman" w:cs="Times New Roman" w:eastAsia="Times New Roman" w:hint="default"/>
                            <w:sz w:val="18"/>
                            <w:szCs w:val="18"/>
                          </w:rPr>
                        </w:pPr>
                        <w:r>
                          <w:rPr>
                            <w:rFonts w:ascii="Times New Roman"/>
                            <w:sz w:val="18"/>
                          </w:rPr>
                          <w:t>0.00</w:t>
                        </w:r>
                      </w:p>
                    </w:tc>
                    <w:tc>
                      <w:tcPr>
                        <w:tcW w:w="110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8" w:hRule="exact"/>
                    </w:trPr>
                    <w:tc>
                      <w:tcPr>
                        <w:tcW w:w="3596"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一年内到期的长期应付款</w:t>
                        </w:r>
                      </w:p>
                    </w:tc>
                    <w:tc>
                      <w:tcPr>
                        <w:tcW w:w="1295" w:type="dxa"/>
                        <w:tcBorders>
                          <w:top w:val="nil" w:sz="6" w:space="0" w:color="auto"/>
                          <w:left w:val="nil" w:sz="6" w:space="0" w:color="auto"/>
                          <w:bottom w:val="single" w:sz="4" w:space="0" w:color="000000"/>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54"/>
                          <w:jc w:val="right"/>
                          <w:rPr>
                            <w:rFonts w:ascii="Times New Roman" w:hAnsi="Times New Roman" w:cs="Times New Roman" w:eastAsia="Times New Roman" w:hint="default"/>
                            <w:sz w:val="18"/>
                            <w:szCs w:val="18"/>
                          </w:rPr>
                        </w:pPr>
                        <w:r>
                          <w:rPr>
                            <w:rFonts w:ascii="Times New Roman"/>
                            <w:sz w:val="18"/>
                          </w:rPr>
                          <w:t>0.00</w:t>
                        </w:r>
                      </w:p>
                    </w:tc>
                    <w:tc>
                      <w:tcPr>
                        <w:tcW w:w="1106" w:type="dxa"/>
                        <w:tcBorders>
                          <w:top w:val="nil" w:sz="6" w:space="0" w:color="auto"/>
                          <w:left w:val="nil" w:sz="6" w:space="0" w:color="auto"/>
                          <w:bottom w:val="single" w:sz="4" w:space="0" w:color="000000"/>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304" w:hRule="exact"/>
                    </w:trPr>
                    <w:tc>
                      <w:tcPr>
                        <w:tcW w:w="359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95" w:type="dxa"/>
                        <w:tcBorders>
                          <w:top w:val="single" w:sz="4" w:space="0" w:color="000000"/>
                          <w:left w:val="nil" w:sz="6" w:space="0" w:color="auto"/>
                          <w:bottom w:val="single" w:sz="12" w:space="0" w:color="000000"/>
                          <w:right w:val="nil" w:sz="6" w:space="0" w:color="auto"/>
                        </w:tcBorders>
                      </w:tcPr>
                      <w:p>
                        <w:pP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95" w:right="0"/>
                          <w:jc w:val="left"/>
                          <w:rPr>
                            <w:rFonts w:ascii="Times New Roman" w:hAnsi="Times New Roman" w:cs="Times New Roman" w:eastAsia="Times New Roman" w:hint="default"/>
                            <w:sz w:val="18"/>
                            <w:szCs w:val="18"/>
                          </w:rPr>
                        </w:pPr>
                        <w:r>
                          <w:rPr>
                            <w:rFonts w:ascii="Times New Roman"/>
                            <w:b/>
                            <w:sz w:val="18"/>
                          </w:rPr>
                          <w:t>509,000,000.00</w:t>
                        </w:r>
                        <w:r>
                          <w:rPr>
                            <w:rFonts w:ascii="Times New Roman"/>
                            <w:sz w:val="18"/>
                          </w:rPr>
                        </w:r>
                      </w:p>
                    </w:tc>
                    <w:tc>
                      <w:tcPr>
                        <w:tcW w:w="1106" w:type="dxa"/>
                        <w:tcBorders>
                          <w:top w:val="single" w:sz="4" w:space="0" w:color="000000"/>
                          <w:left w:val="nil" w:sz="6" w:space="0" w:color="auto"/>
                          <w:bottom w:val="single" w:sz="12" w:space="0" w:color="000000"/>
                          <w:right w:val="nil" w:sz="6" w:space="0" w:color="auto"/>
                        </w:tcBorders>
                      </w:tcPr>
                      <w:p>
                        <w:pP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22,000,000.00</w:t>
                        </w:r>
                        <w:r>
                          <w:rPr>
                            <w:rFonts w:ascii="Times New Roman"/>
                            <w:spacing w:val="-1"/>
                            <w:sz w:val="18"/>
                          </w:rPr>
                        </w:r>
                      </w:p>
                    </w:tc>
                  </w:tr>
                  <w:tr>
                    <w:trPr>
                      <w:trHeight w:val="576" w:hRule="exact"/>
                    </w:trPr>
                    <w:tc>
                      <w:tcPr>
                        <w:tcW w:w="35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一年内到期的长期借款</w:t>
                        </w:r>
                      </w:p>
                    </w:tc>
                    <w:tc>
                      <w:tcPr>
                        <w:tcW w:w="1295" w:type="dxa"/>
                        <w:tcBorders>
                          <w:top w:val="single" w:sz="12" w:space="0" w:color="000000"/>
                          <w:left w:val="nil" w:sz="6" w:space="0" w:color="auto"/>
                          <w:bottom w:val="single" w:sz="12" w:space="0" w:color="000000"/>
                          <w:right w:val="nil" w:sz="6" w:space="0" w:color="auto"/>
                        </w:tcBorders>
                      </w:tcPr>
                      <w:p>
                        <w:pPr/>
                      </w:p>
                    </w:tc>
                    <w:tc>
                      <w:tcPr>
                        <w:tcW w:w="1376" w:type="dxa"/>
                        <w:tcBorders>
                          <w:top w:val="single" w:sz="12" w:space="0" w:color="000000"/>
                          <w:left w:val="nil" w:sz="6" w:space="0" w:color="auto"/>
                          <w:bottom w:val="single" w:sz="12" w:space="0" w:color="000000"/>
                          <w:right w:val="nil" w:sz="6" w:space="0" w:color="auto"/>
                        </w:tcBorders>
                      </w:tcPr>
                      <w:p>
                        <w:pPr/>
                      </w:p>
                    </w:tc>
                    <w:tc>
                      <w:tcPr>
                        <w:tcW w:w="1106" w:type="dxa"/>
                        <w:tcBorders>
                          <w:top w:val="single" w:sz="12" w:space="0" w:color="000000"/>
                          <w:left w:val="nil" w:sz="6" w:space="0" w:color="auto"/>
                          <w:bottom w:val="single" w:sz="12" w:space="0" w:color="000000"/>
                          <w:right w:val="nil" w:sz="6" w:space="0" w:color="auto"/>
                        </w:tcBorders>
                      </w:tcPr>
                      <w:p>
                        <w:pPr/>
                      </w:p>
                    </w:tc>
                    <w:tc>
                      <w:tcPr>
                        <w:tcW w:w="1265"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359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借款类别</w:t>
                        </w:r>
                        <w:r>
                          <w:rPr>
                            <w:rFonts w:ascii="Microsoft JhengHei" w:hAnsi="Microsoft JhengHei" w:cs="Microsoft JhengHei" w:eastAsia="Microsoft JhengHei" w:hint="default"/>
                            <w:sz w:val="18"/>
                            <w:szCs w:val="18"/>
                          </w:rPr>
                        </w:r>
                      </w:p>
                    </w:tc>
                    <w:tc>
                      <w:tcPr>
                        <w:tcW w:w="1295" w:type="dxa"/>
                        <w:tcBorders>
                          <w:top w:val="single" w:sz="12" w:space="0" w:color="000000"/>
                          <w:left w:val="nil" w:sz="6" w:space="0" w:color="auto"/>
                          <w:bottom w:val="single" w:sz="4" w:space="0" w:color="000000"/>
                          <w:right w:val="nil" w:sz="6" w:space="0" w:color="auto"/>
                        </w:tcBorders>
                      </w:tcPr>
                      <w:p>
                        <w:pPr/>
                      </w:p>
                    </w:tc>
                    <w:tc>
                      <w:tcPr>
                        <w:tcW w:w="137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106" w:type="dxa"/>
                        <w:tcBorders>
                          <w:top w:val="single" w:sz="12" w:space="0" w:color="000000"/>
                          <w:left w:val="nil" w:sz="6" w:space="0" w:color="auto"/>
                          <w:bottom w:val="single" w:sz="4" w:space="0" w:color="000000"/>
                          <w:right w:val="nil" w:sz="6" w:space="0" w:color="auto"/>
                        </w:tcBorders>
                      </w:tcPr>
                      <w:p>
                        <w:pPr/>
                      </w:p>
                    </w:tc>
                    <w:tc>
                      <w:tcPr>
                        <w:tcW w:w="126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8" w:hRule="exact"/>
                    </w:trPr>
                    <w:tc>
                      <w:tcPr>
                        <w:tcW w:w="359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信用借款</w:t>
                        </w:r>
                      </w:p>
                    </w:tc>
                    <w:tc>
                      <w:tcPr>
                        <w:tcW w:w="1295" w:type="dxa"/>
                        <w:tcBorders>
                          <w:top w:val="single" w:sz="4" w:space="0" w:color="000000"/>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25" w:right="0"/>
                          <w:jc w:val="left"/>
                          <w:rPr>
                            <w:rFonts w:ascii="Times New Roman" w:hAnsi="Times New Roman" w:cs="Times New Roman" w:eastAsia="Times New Roman" w:hint="default"/>
                            <w:sz w:val="18"/>
                            <w:szCs w:val="18"/>
                          </w:rPr>
                        </w:pPr>
                        <w:r>
                          <w:rPr>
                            <w:rFonts w:ascii="Times New Roman"/>
                            <w:sz w:val="18"/>
                          </w:rPr>
                          <w:t>119,000,000.00</w:t>
                        </w:r>
                      </w:p>
                    </w:tc>
                    <w:tc>
                      <w:tcPr>
                        <w:tcW w:w="1106"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抵押借款</w:t>
                        </w:r>
                      </w:p>
                    </w:tc>
                    <w:tc>
                      <w:tcPr>
                        <w:tcW w:w="1295"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0"/>
                          <w:jc w:val="right"/>
                          <w:rPr>
                            <w:rFonts w:ascii="Times New Roman" w:hAnsi="Times New Roman" w:cs="Times New Roman" w:eastAsia="Times New Roman" w:hint="default"/>
                            <w:sz w:val="18"/>
                            <w:szCs w:val="18"/>
                          </w:rPr>
                        </w:pPr>
                        <w:r>
                          <w:rPr>
                            <w:rFonts w:ascii="Times New Roman"/>
                            <w:spacing w:val="-1"/>
                            <w:sz w:val="18"/>
                          </w:rPr>
                          <w:t>25,000,000.00</w:t>
                        </w:r>
                      </w:p>
                    </w:tc>
                    <w:tc>
                      <w:tcPr>
                        <w:tcW w:w="110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保证借款</w:t>
                        </w:r>
                      </w:p>
                    </w:tc>
                    <w:tc>
                      <w:tcPr>
                        <w:tcW w:w="1295"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9" w:right="0"/>
                          <w:jc w:val="left"/>
                          <w:rPr>
                            <w:rFonts w:ascii="Times New Roman" w:hAnsi="Times New Roman" w:cs="Times New Roman" w:eastAsia="Times New Roman" w:hint="default"/>
                            <w:sz w:val="18"/>
                            <w:szCs w:val="18"/>
                          </w:rPr>
                        </w:pPr>
                        <w:r>
                          <w:rPr>
                            <w:rFonts w:ascii="Times New Roman"/>
                            <w:sz w:val="18"/>
                          </w:rPr>
                          <w:t>365,000,000.00</w:t>
                        </w:r>
                      </w:p>
                    </w:tc>
                    <w:tc>
                      <w:tcPr>
                        <w:tcW w:w="110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289" w:hRule="exact"/>
                    </w:trPr>
                    <w:tc>
                      <w:tcPr>
                        <w:tcW w:w="3596"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质押借款</w:t>
                        </w:r>
                      </w:p>
                    </w:tc>
                    <w:tc>
                      <w:tcPr>
                        <w:tcW w:w="1295" w:type="dxa"/>
                        <w:tcBorders>
                          <w:top w:val="nil" w:sz="6" w:space="0" w:color="auto"/>
                          <w:left w:val="nil" w:sz="6" w:space="0" w:color="auto"/>
                          <w:bottom w:val="single" w:sz="4" w:space="0" w:color="000000"/>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30"/>
                          <w:jc w:val="right"/>
                          <w:rPr>
                            <w:rFonts w:ascii="Times New Roman" w:hAnsi="Times New Roman" w:cs="Times New Roman" w:eastAsia="Times New Roman" w:hint="default"/>
                            <w:sz w:val="18"/>
                            <w:szCs w:val="18"/>
                          </w:rPr>
                        </w:pPr>
                        <w:r>
                          <w:rPr>
                            <w:rFonts w:ascii="Times New Roman"/>
                            <w:sz w:val="18"/>
                          </w:rPr>
                          <w:t>0.000</w:t>
                        </w:r>
                      </w:p>
                    </w:tc>
                    <w:tc>
                      <w:tcPr>
                        <w:tcW w:w="1106" w:type="dxa"/>
                        <w:tcBorders>
                          <w:top w:val="nil" w:sz="6" w:space="0" w:color="auto"/>
                          <w:left w:val="nil" w:sz="6" w:space="0" w:color="auto"/>
                          <w:bottom w:val="single" w:sz="4" w:space="0" w:color="000000"/>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359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95" w:type="dxa"/>
                        <w:tcBorders>
                          <w:top w:val="single" w:sz="4" w:space="0" w:color="000000"/>
                          <w:left w:val="nil" w:sz="6" w:space="0" w:color="auto"/>
                          <w:bottom w:val="single" w:sz="12" w:space="0" w:color="000000"/>
                          <w:right w:val="nil" w:sz="6" w:space="0" w:color="auto"/>
                        </w:tcBorders>
                      </w:tcPr>
                      <w:p>
                        <w:pP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19" w:right="0"/>
                          <w:jc w:val="left"/>
                          <w:rPr>
                            <w:rFonts w:ascii="Times New Roman" w:hAnsi="Times New Roman" w:cs="Times New Roman" w:eastAsia="Times New Roman" w:hint="default"/>
                            <w:sz w:val="18"/>
                            <w:szCs w:val="18"/>
                          </w:rPr>
                        </w:pPr>
                        <w:r>
                          <w:rPr>
                            <w:rFonts w:ascii="Times New Roman"/>
                            <w:b/>
                            <w:sz w:val="18"/>
                          </w:rPr>
                          <w:t>509,000,000.00</w:t>
                        </w:r>
                        <w:r>
                          <w:rPr>
                            <w:rFonts w:ascii="Times New Roman"/>
                            <w:sz w:val="18"/>
                          </w:rPr>
                        </w:r>
                      </w:p>
                    </w:tc>
                    <w:tc>
                      <w:tcPr>
                        <w:tcW w:w="1106" w:type="dxa"/>
                        <w:tcBorders>
                          <w:top w:val="single" w:sz="4" w:space="0" w:color="000000"/>
                          <w:left w:val="nil" w:sz="6" w:space="0" w:color="auto"/>
                          <w:bottom w:val="single" w:sz="12" w:space="0" w:color="000000"/>
                          <w:right w:val="nil" w:sz="6" w:space="0" w:color="auto"/>
                        </w:tcBorders>
                      </w:tcPr>
                      <w:p>
                        <w:pP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22,000,000.00</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57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74.2pt;height:.5pt;mso-position-horizontal-relative:char;mso-position-vertical-relative:line" coordorigin="0,0" coordsize="7484,10">
            <v:group style="position:absolute;left:5;top:5;width:7474;height:2" coordorigin="5,5" coordsize="7474,2">
              <v:shape style="position:absolute;left:5;top:5;width:7474;height:2" coordorigin="5,5" coordsize="7474,0" path="m5,5l7478,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4"/>
          <w:szCs w:val="24"/>
        </w:rPr>
      </w:pPr>
    </w:p>
    <w:p>
      <w:pPr>
        <w:spacing w:line="307" w:lineRule="auto" w:before="31"/>
        <w:ind w:left="138" w:right="212" w:firstLine="440"/>
        <w:jc w:val="left"/>
        <w:rPr>
          <w:rFonts w:ascii="楷体" w:hAnsi="楷体" w:cs="楷体" w:eastAsia="楷体" w:hint="default"/>
          <w:sz w:val="22"/>
          <w:szCs w:val="22"/>
        </w:rPr>
      </w:pPr>
      <w:r>
        <w:rPr>
          <w:rFonts w:ascii="楷体" w:hAnsi="楷体" w:cs="楷体" w:eastAsia="楷体" w:hint="default"/>
          <w:sz w:val="22"/>
          <w:szCs w:val="22"/>
        </w:rPr>
        <w:t>截至</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2008 </w:t>
      </w:r>
      <w:r>
        <w:rPr>
          <w:rFonts w:ascii="楷体" w:hAnsi="楷体" w:cs="楷体" w:eastAsia="楷体" w:hint="default"/>
          <w:sz w:val="22"/>
          <w:szCs w:val="22"/>
        </w:rPr>
        <w:t>年</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月</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日，本公司一年内到期的长期抵押借款的抵押情况详见附注七、</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及</w:t>
      </w:r>
      <w:r>
        <w:rPr>
          <w:rFonts w:ascii="楷体" w:hAnsi="楷体" w:cs="楷体" w:eastAsia="楷体" w:hint="default"/>
          <w:w w:val="99"/>
          <w:sz w:val="22"/>
          <w:szCs w:val="22"/>
        </w:rPr>
        <w:t> </w:t>
      </w:r>
      <w:r>
        <w:rPr>
          <w:rFonts w:ascii="楷体" w:hAnsi="楷体" w:cs="楷体" w:eastAsia="楷体" w:hint="default"/>
          <w:sz w:val="22"/>
          <w:szCs w:val="22"/>
        </w:rPr>
        <w:t>七、</w:t>
      </w:r>
      <w:r>
        <w:rPr>
          <w:rFonts w:ascii="Times New Roman" w:hAnsi="Times New Roman" w:cs="Times New Roman" w:eastAsia="Times New Roman" w:hint="default"/>
          <w:sz w:val="22"/>
          <w:szCs w:val="22"/>
        </w:rPr>
        <w:t>17</w:t>
      </w:r>
      <w:r>
        <w:rPr>
          <w:rFonts w:ascii="楷体" w:hAnsi="楷体" w:cs="楷体" w:eastAsia="楷体" w:hint="default"/>
          <w:sz w:val="22"/>
          <w:szCs w:val="22"/>
        </w:rPr>
        <w:t>。</w:t>
      </w:r>
    </w:p>
    <w:p>
      <w:pPr>
        <w:spacing w:before="95"/>
        <w:ind w:left="579" w:right="0" w:firstLine="0"/>
        <w:jc w:val="left"/>
        <w:rPr>
          <w:rFonts w:ascii="楷体" w:hAnsi="楷体" w:cs="楷体" w:eastAsia="楷体" w:hint="default"/>
          <w:sz w:val="22"/>
          <w:szCs w:val="22"/>
        </w:rPr>
      </w:pPr>
      <w:r>
        <w:rPr>
          <w:rFonts w:ascii="楷体" w:hAnsi="楷体" w:cs="楷体" w:eastAsia="楷体" w:hint="default"/>
          <w:spacing w:val="1"/>
          <w:w w:val="99"/>
          <w:sz w:val="22"/>
          <w:szCs w:val="22"/>
        </w:rPr>
        <w:t>截</w:t>
      </w:r>
      <w:r>
        <w:rPr>
          <w:rFonts w:ascii="楷体" w:hAnsi="楷体" w:cs="楷体" w:eastAsia="楷体" w:hint="default"/>
          <w:w w:val="99"/>
          <w:sz w:val="22"/>
          <w:szCs w:val="22"/>
        </w:rPr>
        <w:t>至</w:t>
      </w:r>
      <w:r>
        <w:rPr>
          <w:rFonts w:ascii="楷体" w:hAnsi="楷体" w:cs="楷体" w:eastAsia="楷体" w:hint="default"/>
          <w:spacing w:val="-61"/>
          <w:sz w:val="22"/>
          <w:szCs w:val="22"/>
        </w:rPr>
        <w:t> </w:t>
      </w:r>
      <w:r>
        <w:rPr>
          <w:rFonts w:ascii="Times New Roman" w:hAnsi="Times New Roman" w:cs="Times New Roman" w:eastAsia="Times New Roman" w:hint="default"/>
          <w:spacing w:val="-1"/>
          <w:w w:val="99"/>
          <w:sz w:val="22"/>
          <w:szCs w:val="22"/>
        </w:rPr>
        <w:t>2</w:t>
      </w:r>
      <w:r>
        <w:rPr>
          <w:rFonts w:ascii="Times New Roman" w:hAnsi="Times New Roman" w:cs="Times New Roman" w:eastAsia="Times New Roman" w:hint="default"/>
          <w:w w:val="99"/>
          <w:sz w:val="22"/>
          <w:szCs w:val="22"/>
        </w:rPr>
        <w:t>008</w:t>
      </w:r>
      <w:r>
        <w:rPr>
          <w:rFonts w:ascii="Times New Roman" w:hAnsi="Times New Roman" w:cs="Times New Roman" w:eastAsia="Times New Roman" w:hint="default"/>
          <w:spacing w:val="-8"/>
          <w:sz w:val="22"/>
          <w:szCs w:val="22"/>
        </w:rPr>
        <w:t> </w:t>
      </w:r>
      <w:r>
        <w:rPr>
          <w:rFonts w:ascii="楷体" w:hAnsi="楷体" w:cs="楷体" w:eastAsia="楷体" w:hint="default"/>
          <w:w w:val="99"/>
          <w:sz w:val="22"/>
          <w:szCs w:val="22"/>
        </w:rPr>
        <w:t>年</w:t>
      </w:r>
      <w:r>
        <w:rPr>
          <w:rFonts w:ascii="楷体" w:hAnsi="楷体" w:cs="楷体" w:eastAsia="楷体" w:hint="default"/>
          <w:spacing w:val="-61"/>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7"/>
          <w:sz w:val="22"/>
          <w:szCs w:val="22"/>
        </w:rPr>
        <w:t> </w:t>
      </w:r>
      <w:r>
        <w:rPr>
          <w:rFonts w:ascii="楷体" w:hAnsi="楷体" w:cs="楷体" w:eastAsia="楷体" w:hint="default"/>
          <w:w w:val="99"/>
          <w:sz w:val="22"/>
          <w:szCs w:val="22"/>
        </w:rPr>
        <w:t>月</w:t>
      </w:r>
      <w:r>
        <w:rPr>
          <w:rFonts w:ascii="楷体" w:hAnsi="楷体" w:cs="楷体" w:eastAsia="楷体" w:hint="default"/>
          <w:spacing w:val="-61"/>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8"/>
          <w:sz w:val="22"/>
          <w:szCs w:val="22"/>
        </w:rPr>
        <w:t> </w:t>
      </w:r>
      <w:r>
        <w:rPr>
          <w:rFonts w:ascii="楷体" w:hAnsi="楷体" w:cs="楷体" w:eastAsia="楷体" w:hint="default"/>
          <w:spacing w:val="1"/>
          <w:w w:val="99"/>
          <w:sz w:val="22"/>
          <w:szCs w:val="22"/>
        </w:rPr>
        <w:t>日</w:t>
      </w:r>
      <w:r>
        <w:rPr>
          <w:rFonts w:ascii="楷体" w:hAnsi="楷体" w:cs="楷体" w:eastAsia="楷体" w:hint="default"/>
          <w:spacing w:val="-111"/>
          <w:w w:val="99"/>
          <w:sz w:val="22"/>
          <w:szCs w:val="22"/>
        </w:rPr>
        <w:t>，</w:t>
      </w:r>
      <w:r>
        <w:rPr>
          <w:rFonts w:ascii="楷体" w:hAnsi="楷体" w:cs="楷体" w:eastAsia="楷体" w:hint="default"/>
          <w:spacing w:val="1"/>
          <w:w w:val="99"/>
          <w:sz w:val="22"/>
          <w:szCs w:val="22"/>
        </w:rPr>
        <w:t>本</w:t>
      </w:r>
      <w:r>
        <w:rPr>
          <w:rFonts w:ascii="楷体" w:hAnsi="楷体" w:cs="楷体" w:eastAsia="楷体" w:hint="default"/>
          <w:w w:val="99"/>
          <w:sz w:val="22"/>
          <w:szCs w:val="22"/>
        </w:rPr>
        <w:t>公司一</w:t>
      </w:r>
      <w:r>
        <w:rPr>
          <w:rFonts w:ascii="楷体" w:hAnsi="楷体" w:cs="楷体" w:eastAsia="楷体" w:hint="default"/>
          <w:spacing w:val="1"/>
          <w:w w:val="99"/>
          <w:sz w:val="22"/>
          <w:szCs w:val="22"/>
        </w:rPr>
        <w:t>年</w:t>
      </w:r>
      <w:r>
        <w:rPr>
          <w:rFonts w:ascii="楷体" w:hAnsi="楷体" w:cs="楷体" w:eastAsia="楷体" w:hint="default"/>
          <w:w w:val="99"/>
          <w:sz w:val="22"/>
          <w:szCs w:val="22"/>
        </w:rPr>
        <w:t>内到</w:t>
      </w:r>
      <w:r>
        <w:rPr>
          <w:rFonts w:ascii="楷体" w:hAnsi="楷体" w:cs="楷体" w:eastAsia="楷体" w:hint="default"/>
          <w:spacing w:val="1"/>
          <w:w w:val="99"/>
          <w:sz w:val="22"/>
          <w:szCs w:val="22"/>
        </w:rPr>
        <w:t>期</w:t>
      </w:r>
      <w:r>
        <w:rPr>
          <w:rFonts w:ascii="楷体" w:hAnsi="楷体" w:cs="楷体" w:eastAsia="楷体" w:hint="default"/>
          <w:w w:val="99"/>
          <w:sz w:val="22"/>
          <w:szCs w:val="22"/>
        </w:rPr>
        <w:t>的</w:t>
      </w:r>
      <w:r>
        <w:rPr>
          <w:rFonts w:ascii="楷体" w:hAnsi="楷体" w:cs="楷体" w:eastAsia="楷体" w:hint="default"/>
          <w:spacing w:val="1"/>
          <w:w w:val="99"/>
          <w:sz w:val="22"/>
          <w:szCs w:val="22"/>
        </w:rPr>
        <w:t>长</w:t>
      </w:r>
      <w:r>
        <w:rPr>
          <w:rFonts w:ascii="楷体" w:hAnsi="楷体" w:cs="楷体" w:eastAsia="楷体" w:hint="default"/>
          <w:w w:val="99"/>
          <w:sz w:val="22"/>
          <w:szCs w:val="22"/>
        </w:rPr>
        <w:t>期保</w:t>
      </w:r>
      <w:r>
        <w:rPr>
          <w:rFonts w:ascii="楷体" w:hAnsi="楷体" w:cs="楷体" w:eastAsia="楷体" w:hint="default"/>
          <w:spacing w:val="1"/>
          <w:w w:val="99"/>
          <w:sz w:val="22"/>
          <w:szCs w:val="22"/>
        </w:rPr>
        <w:t>证</w:t>
      </w:r>
      <w:r>
        <w:rPr>
          <w:rFonts w:ascii="楷体" w:hAnsi="楷体" w:cs="楷体" w:eastAsia="楷体" w:hint="default"/>
          <w:w w:val="99"/>
          <w:sz w:val="22"/>
          <w:szCs w:val="22"/>
        </w:rPr>
        <w:t>借</w:t>
      </w:r>
      <w:r>
        <w:rPr>
          <w:rFonts w:ascii="楷体" w:hAnsi="楷体" w:cs="楷体" w:eastAsia="楷体" w:hint="default"/>
          <w:spacing w:val="1"/>
          <w:w w:val="99"/>
          <w:sz w:val="22"/>
          <w:szCs w:val="22"/>
        </w:rPr>
        <w:t>款</w:t>
      </w:r>
      <w:r>
        <w:rPr>
          <w:rFonts w:ascii="楷体" w:hAnsi="楷体" w:cs="楷体" w:eastAsia="楷体" w:hint="default"/>
          <w:w w:val="99"/>
          <w:sz w:val="22"/>
          <w:szCs w:val="22"/>
        </w:rPr>
        <w:t>的担</w:t>
      </w:r>
      <w:r>
        <w:rPr>
          <w:rFonts w:ascii="楷体" w:hAnsi="楷体" w:cs="楷体" w:eastAsia="楷体" w:hint="default"/>
          <w:spacing w:val="1"/>
          <w:w w:val="99"/>
          <w:sz w:val="22"/>
          <w:szCs w:val="22"/>
        </w:rPr>
        <w:t>保</w:t>
      </w:r>
      <w:r>
        <w:rPr>
          <w:rFonts w:ascii="楷体" w:hAnsi="楷体" w:cs="楷体" w:eastAsia="楷体" w:hint="default"/>
          <w:w w:val="99"/>
          <w:sz w:val="22"/>
          <w:szCs w:val="22"/>
        </w:rPr>
        <w:t>情</w:t>
      </w:r>
      <w:r>
        <w:rPr>
          <w:rFonts w:ascii="楷体" w:hAnsi="楷体" w:cs="楷体" w:eastAsia="楷体" w:hint="default"/>
          <w:spacing w:val="1"/>
          <w:w w:val="99"/>
          <w:sz w:val="22"/>
          <w:szCs w:val="22"/>
        </w:rPr>
        <w:t>况</w:t>
      </w:r>
      <w:r>
        <w:rPr>
          <w:rFonts w:ascii="楷体" w:hAnsi="楷体" w:cs="楷体" w:eastAsia="楷体" w:hint="default"/>
          <w:w w:val="99"/>
          <w:sz w:val="22"/>
          <w:szCs w:val="22"/>
        </w:rPr>
        <w:t>详见</w:t>
      </w:r>
      <w:r>
        <w:rPr>
          <w:rFonts w:ascii="楷体" w:hAnsi="楷体" w:cs="楷体" w:eastAsia="楷体" w:hint="default"/>
          <w:spacing w:val="1"/>
          <w:w w:val="99"/>
          <w:sz w:val="22"/>
          <w:szCs w:val="22"/>
        </w:rPr>
        <w:t>附</w:t>
      </w:r>
      <w:r>
        <w:rPr>
          <w:rFonts w:ascii="楷体" w:hAnsi="楷体" w:cs="楷体" w:eastAsia="楷体" w:hint="default"/>
          <w:w w:val="99"/>
          <w:sz w:val="22"/>
          <w:szCs w:val="22"/>
        </w:rPr>
        <w:t>注</w:t>
      </w:r>
      <w:r>
        <w:rPr>
          <w:rFonts w:ascii="楷体" w:hAnsi="楷体" w:cs="楷体" w:eastAsia="楷体" w:hint="default"/>
          <w:spacing w:val="1"/>
          <w:w w:val="99"/>
          <w:sz w:val="22"/>
          <w:szCs w:val="22"/>
        </w:rPr>
        <w:t>十</w:t>
      </w:r>
      <w:r>
        <w:rPr>
          <w:rFonts w:ascii="楷体" w:hAnsi="楷体" w:cs="楷体" w:eastAsia="楷体" w:hint="default"/>
          <w:w w:val="99"/>
          <w:sz w:val="22"/>
          <w:szCs w:val="22"/>
        </w:rPr>
        <w:t>一</w:t>
      </w:r>
      <w:r>
        <w:rPr>
          <w:rFonts w:ascii="楷体" w:hAnsi="楷体" w:cs="楷体" w:eastAsia="楷体" w:hint="default"/>
          <w:spacing w:val="-219"/>
          <w:w w:val="99"/>
          <w:sz w:val="22"/>
          <w:szCs w:val="22"/>
        </w:rPr>
        <w:t>、</w:t>
      </w:r>
      <w:r>
        <w:rPr>
          <w:rFonts w:ascii="楷体" w:hAnsi="楷体" w:cs="楷体" w:eastAsia="楷体" w:hint="default"/>
          <w:w w:val="99"/>
          <w:sz w:val="22"/>
          <w:szCs w:val="22"/>
        </w:rPr>
        <w:t>（</w:t>
      </w:r>
      <w:r>
        <w:rPr>
          <w:rFonts w:ascii="楷体" w:hAnsi="楷体" w:cs="楷体" w:eastAsia="楷体" w:hint="default"/>
          <w:spacing w:val="1"/>
          <w:w w:val="99"/>
          <w:sz w:val="22"/>
          <w:szCs w:val="22"/>
        </w:rPr>
        <w:t>二</w:t>
      </w:r>
      <w:r>
        <w:rPr>
          <w:rFonts w:ascii="楷体" w:hAnsi="楷体" w:cs="楷体" w:eastAsia="楷体" w:hint="default"/>
          <w:spacing w:val="-110"/>
          <w:w w:val="99"/>
          <w:sz w:val="22"/>
          <w:szCs w:val="22"/>
        </w:rPr>
        <w:t>）</w:t>
      </w:r>
      <w:r>
        <w:rPr>
          <w:rFonts w:ascii="楷体" w:hAnsi="楷体" w:cs="楷体" w:eastAsia="楷体" w:hint="default"/>
          <w:w w:val="99"/>
          <w:sz w:val="22"/>
          <w:szCs w:val="22"/>
        </w:rPr>
        <w:t>。</w:t>
      </w:r>
      <w:r>
        <w:rPr>
          <w:rFonts w:ascii="楷体" w:hAnsi="楷体" w:cs="楷体" w:eastAsia="楷体" w:hint="default"/>
          <w:sz w:val="22"/>
          <w:szCs w:val="22"/>
        </w:rPr>
      </w:r>
    </w:p>
    <w:p>
      <w:pPr>
        <w:spacing w:after="0"/>
        <w:jc w:val="left"/>
        <w:rPr>
          <w:rFonts w:ascii="楷体" w:hAnsi="楷体" w:cs="楷体" w:eastAsia="楷体" w:hint="default"/>
          <w:sz w:val="22"/>
          <w:szCs w:val="22"/>
        </w:rPr>
        <w:sectPr>
          <w:pgSz w:w="11910" w:h="16840"/>
          <w:pgMar w:header="610" w:footer="784" w:top="1080" w:bottom="980" w:left="1280" w:right="106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tbl>
      <w:tblPr>
        <w:tblW w:w="0" w:type="auto"/>
        <w:jc w:val="left"/>
        <w:tblInd w:w="416" w:type="dxa"/>
        <w:tblLayout w:type="fixed"/>
        <w:tblCellMar>
          <w:top w:w="0" w:type="dxa"/>
          <w:left w:w="0" w:type="dxa"/>
          <w:bottom w:w="0" w:type="dxa"/>
          <w:right w:w="0" w:type="dxa"/>
        </w:tblCellMar>
        <w:tblLook w:val="01E0"/>
      </w:tblPr>
      <w:tblGrid>
        <w:gridCol w:w="3362"/>
        <w:gridCol w:w="3404"/>
        <w:gridCol w:w="1871"/>
      </w:tblGrid>
      <w:tr>
        <w:trPr>
          <w:trHeight w:val="965" w:hRule="exact"/>
        </w:trPr>
        <w:tc>
          <w:tcPr>
            <w:tcW w:w="3362"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32.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长期借款</w:t>
            </w:r>
          </w:p>
          <w:p>
            <w:pPr>
              <w:pStyle w:val="TableParagraph"/>
              <w:spacing w:line="240" w:lineRule="auto" w:before="162"/>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按币种列示</w:t>
            </w:r>
          </w:p>
        </w:tc>
        <w:tc>
          <w:tcPr>
            <w:tcW w:w="5275"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36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币种</w:t>
            </w:r>
            <w:r>
              <w:rPr>
                <w:rFonts w:ascii="Microsoft JhengHei" w:hAnsi="Microsoft JhengHei" w:cs="Microsoft JhengHei" w:eastAsia="Microsoft JhengHei" w:hint="default"/>
                <w:sz w:val="18"/>
                <w:szCs w:val="18"/>
              </w:rPr>
            </w:r>
          </w:p>
        </w:tc>
        <w:tc>
          <w:tcPr>
            <w:tcW w:w="340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7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87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362"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人民币</w:t>
            </w:r>
          </w:p>
        </w:tc>
        <w:tc>
          <w:tcPr>
            <w:tcW w:w="340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43"/>
              <w:jc w:val="right"/>
              <w:rPr>
                <w:rFonts w:ascii="Times New Roman" w:hAnsi="Times New Roman" w:cs="Times New Roman" w:eastAsia="Times New Roman" w:hint="default"/>
                <w:sz w:val="18"/>
                <w:szCs w:val="18"/>
              </w:rPr>
            </w:pPr>
            <w:r>
              <w:rPr>
                <w:rFonts w:ascii="Times New Roman"/>
                <w:spacing w:val="-1"/>
                <w:sz w:val="18"/>
              </w:rPr>
              <w:t>597,123,500.00</w:t>
            </w:r>
          </w:p>
        </w:tc>
        <w:tc>
          <w:tcPr>
            <w:tcW w:w="187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762,620,000.00</w:t>
            </w:r>
          </w:p>
        </w:tc>
      </w:tr>
      <w:tr>
        <w:trPr>
          <w:trHeight w:val="283"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美元</w:t>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44"/>
              <w:jc w:val="right"/>
              <w:rPr>
                <w:rFonts w:ascii="Times New Roman" w:hAnsi="Times New Roman" w:cs="Times New Roman" w:eastAsia="Times New Roman" w:hint="default"/>
                <w:sz w:val="18"/>
                <w:szCs w:val="18"/>
              </w:rPr>
            </w:pPr>
            <w:r>
              <w:rPr>
                <w:rFonts w:ascii="Times New Roman"/>
                <w:spacing w:val="-1"/>
                <w:sz w:val="18"/>
              </w:rPr>
              <w:t>38,134,019.77</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3362"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日元</w:t>
            </w:r>
          </w:p>
        </w:tc>
        <w:tc>
          <w:tcPr>
            <w:tcW w:w="340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44"/>
              <w:jc w:val="right"/>
              <w:rPr>
                <w:rFonts w:ascii="Times New Roman" w:hAnsi="Times New Roman" w:cs="Times New Roman" w:eastAsia="Times New Roman" w:hint="default"/>
                <w:sz w:val="18"/>
                <w:szCs w:val="18"/>
              </w:rPr>
            </w:pPr>
            <w:r>
              <w:rPr>
                <w:rFonts w:ascii="Times New Roman"/>
                <w:sz w:val="18"/>
              </w:rPr>
              <w:t>590,070.00</w:t>
            </w:r>
          </w:p>
        </w:tc>
        <w:tc>
          <w:tcPr>
            <w:tcW w:w="187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968,607.49</w:t>
            </w:r>
          </w:p>
        </w:tc>
      </w:tr>
      <w:tr>
        <w:trPr>
          <w:trHeight w:val="303" w:hRule="exact"/>
        </w:trPr>
        <w:tc>
          <w:tcPr>
            <w:tcW w:w="3362"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40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43"/>
              <w:jc w:val="right"/>
              <w:rPr>
                <w:rFonts w:ascii="Times New Roman" w:hAnsi="Times New Roman" w:cs="Times New Roman" w:eastAsia="Times New Roman" w:hint="default"/>
                <w:sz w:val="18"/>
                <w:szCs w:val="18"/>
              </w:rPr>
            </w:pPr>
            <w:r>
              <w:rPr>
                <w:rFonts w:ascii="Times New Roman"/>
                <w:b/>
                <w:spacing w:val="-1"/>
                <w:sz w:val="18"/>
              </w:rPr>
              <w:t>635,847,589.77</w:t>
            </w:r>
            <w:r>
              <w:rPr>
                <w:rFonts w:ascii="Times New Roman"/>
                <w:spacing w:val="-1"/>
                <w:sz w:val="18"/>
              </w:rPr>
            </w:r>
          </w:p>
        </w:tc>
        <w:tc>
          <w:tcPr>
            <w:tcW w:w="18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763,588,607.49</w:t>
            </w:r>
            <w:r>
              <w:rPr>
                <w:rFonts w:ascii="Times New Roman"/>
                <w:spacing w:val="-1"/>
                <w:sz w:val="18"/>
              </w:rPr>
            </w:r>
          </w:p>
        </w:tc>
      </w:tr>
    </w:tbl>
    <w:p>
      <w:pPr>
        <w:spacing w:before="79"/>
        <w:ind w:left="578" w:right="0" w:firstLine="0"/>
        <w:jc w:val="left"/>
        <w:rPr>
          <w:rFonts w:ascii="Times New Roman" w:hAnsi="Times New Roman" w:cs="Times New Roman" w:eastAsia="Times New Roman" w:hint="default"/>
          <w:sz w:val="22"/>
          <w:szCs w:val="22"/>
        </w:rPr>
      </w:pPr>
      <w:r>
        <w:rPr>
          <w:rFonts w:ascii="楷体" w:hAnsi="楷体" w:cs="楷体" w:eastAsia="楷体" w:hint="default"/>
          <w:spacing w:val="1"/>
          <w:w w:val="99"/>
          <w:sz w:val="22"/>
          <w:szCs w:val="22"/>
        </w:rPr>
        <w:t>截</w:t>
      </w:r>
      <w:r>
        <w:rPr>
          <w:rFonts w:ascii="楷体" w:hAnsi="楷体" w:cs="楷体" w:eastAsia="楷体" w:hint="default"/>
          <w:w w:val="99"/>
          <w:sz w:val="22"/>
          <w:szCs w:val="22"/>
        </w:rPr>
        <w:t>至</w:t>
      </w:r>
      <w:r>
        <w:rPr>
          <w:rFonts w:ascii="楷体" w:hAnsi="楷体" w:cs="楷体" w:eastAsia="楷体" w:hint="default"/>
          <w:spacing w:val="-61"/>
          <w:sz w:val="22"/>
          <w:szCs w:val="22"/>
        </w:rPr>
        <w:t> </w:t>
      </w:r>
      <w:r>
        <w:rPr>
          <w:rFonts w:ascii="Times New Roman" w:hAnsi="Times New Roman" w:cs="Times New Roman" w:eastAsia="Times New Roman" w:hint="default"/>
          <w:spacing w:val="-1"/>
          <w:w w:val="99"/>
          <w:sz w:val="22"/>
          <w:szCs w:val="22"/>
        </w:rPr>
        <w:t>2</w:t>
      </w:r>
      <w:r>
        <w:rPr>
          <w:rFonts w:ascii="Times New Roman" w:hAnsi="Times New Roman" w:cs="Times New Roman" w:eastAsia="Times New Roman" w:hint="default"/>
          <w:w w:val="99"/>
          <w:sz w:val="22"/>
          <w:szCs w:val="22"/>
        </w:rPr>
        <w:t>008</w:t>
      </w:r>
      <w:r>
        <w:rPr>
          <w:rFonts w:ascii="Times New Roman" w:hAnsi="Times New Roman" w:cs="Times New Roman" w:eastAsia="Times New Roman" w:hint="default"/>
          <w:spacing w:val="-8"/>
          <w:sz w:val="22"/>
          <w:szCs w:val="22"/>
        </w:rPr>
        <w:t> </w:t>
      </w:r>
      <w:r>
        <w:rPr>
          <w:rFonts w:ascii="楷体" w:hAnsi="楷体" w:cs="楷体" w:eastAsia="楷体" w:hint="default"/>
          <w:w w:val="99"/>
          <w:sz w:val="22"/>
          <w:szCs w:val="22"/>
        </w:rPr>
        <w:t>年</w:t>
      </w:r>
      <w:r>
        <w:rPr>
          <w:rFonts w:ascii="楷体" w:hAnsi="楷体" w:cs="楷体" w:eastAsia="楷体" w:hint="default"/>
          <w:spacing w:val="-61"/>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7"/>
          <w:sz w:val="22"/>
          <w:szCs w:val="22"/>
        </w:rPr>
        <w:t> </w:t>
      </w:r>
      <w:r>
        <w:rPr>
          <w:rFonts w:ascii="楷体" w:hAnsi="楷体" w:cs="楷体" w:eastAsia="楷体" w:hint="default"/>
          <w:w w:val="99"/>
          <w:sz w:val="22"/>
          <w:szCs w:val="22"/>
        </w:rPr>
        <w:t>月</w:t>
      </w:r>
      <w:r>
        <w:rPr>
          <w:rFonts w:ascii="楷体" w:hAnsi="楷体" w:cs="楷体" w:eastAsia="楷体" w:hint="default"/>
          <w:spacing w:val="-61"/>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8"/>
          <w:sz w:val="22"/>
          <w:szCs w:val="22"/>
        </w:rPr>
        <w:t> </w:t>
      </w:r>
      <w:r>
        <w:rPr>
          <w:rFonts w:ascii="楷体" w:hAnsi="楷体" w:cs="楷体" w:eastAsia="楷体" w:hint="default"/>
          <w:spacing w:val="1"/>
          <w:w w:val="99"/>
          <w:sz w:val="22"/>
          <w:szCs w:val="22"/>
        </w:rPr>
        <w:t>日</w:t>
      </w:r>
      <w:r>
        <w:rPr>
          <w:rFonts w:ascii="楷体" w:hAnsi="楷体" w:cs="楷体" w:eastAsia="楷体" w:hint="default"/>
          <w:spacing w:val="-111"/>
          <w:w w:val="99"/>
          <w:sz w:val="22"/>
          <w:szCs w:val="22"/>
        </w:rPr>
        <w:t>，</w:t>
      </w:r>
      <w:r>
        <w:rPr>
          <w:rFonts w:ascii="楷体" w:hAnsi="楷体" w:cs="楷体" w:eastAsia="楷体" w:hint="default"/>
          <w:spacing w:val="1"/>
          <w:w w:val="99"/>
          <w:sz w:val="22"/>
          <w:szCs w:val="22"/>
        </w:rPr>
        <w:t>本</w:t>
      </w:r>
      <w:r>
        <w:rPr>
          <w:rFonts w:ascii="楷体" w:hAnsi="楷体" w:cs="楷体" w:eastAsia="楷体" w:hint="default"/>
          <w:w w:val="99"/>
          <w:sz w:val="22"/>
          <w:szCs w:val="22"/>
        </w:rPr>
        <w:t>公司取</w:t>
      </w:r>
      <w:r>
        <w:rPr>
          <w:rFonts w:ascii="楷体" w:hAnsi="楷体" w:cs="楷体" w:eastAsia="楷体" w:hint="default"/>
          <w:spacing w:val="1"/>
          <w:w w:val="99"/>
          <w:sz w:val="22"/>
          <w:szCs w:val="22"/>
        </w:rPr>
        <w:t>得</w:t>
      </w:r>
      <w:r>
        <w:rPr>
          <w:rFonts w:ascii="楷体" w:hAnsi="楷体" w:cs="楷体" w:eastAsia="楷体" w:hint="default"/>
          <w:w w:val="99"/>
          <w:sz w:val="22"/>
          <w:szCs w:val="22"/>
        </w:rPr>
        <w:t>借款</w:t>
      </w:r>
      <w:r>
        <w:rPr>
          <w:rFonts w:ascii="楷体" w:hAnsi="楷体" w:cs="楷体" w:eastAsia="楷体" w:hint="default"/>
          <w:spacing w:val="-61"/>
          <w:sz w:val="22"/>
          <w:szCs w:val="22"/>
        </w:rPr>
        <w:t> </w:t>
      </w:r>
      <w:r>
        <w:rPr>
          <w:rFonts w:ascii="Times New Roman" w:hAnsi="Times New Roman" w:cs="Times New Roman" w:eastAsia="Times New Roman" w:hint="default"/>
          <w:w w:val="99"/>
          <w:sz w:val="22"/>
          <w:szCs w:val="22"/>
        </w:rPr>
        <w:t>5</w:t>
      </w:r>
      <w:r>
        <w:rPr>
          <w:rFonts w:ascii="Times New Roman" w:hAnsi="Times New Roman" w:cs="Times New Roman" w:eastAsia="Times New Roman" w:hint="default"/>
          <w:spacing w:val="-1"/>
          <w:w w:val="99"/>
          <w:sz w:val="22"/>
          <w:szCs w:val="22"/>
        </w:rPr>
        <w:t>,</w:t>
      </w:r>
      <w:r>
        <w:rPr>
          <w:rFonts w:ascii="Times New Roman" w:hAnsi="Times New Roman" w:cs="Times New Roman" w:eastAsia="Times New Roman" w:hint="default"/>
          <w:w w:val="99"/>
          <w:sz w:val="22"/>
          <w:szCs w:val="22"/>
        </w:rPr>
        <w:t>00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,000</w:t>
      </w:r>
      <w:r>
        <w:rPr>
          <w:rFonts w:ascii="Times New Roman" w:hAnsi="Times New Roman" w:cs="Times New Roman" w:eastAsia="Times New Roman" w:hint="default"/>
          <w:spacing w:val="-1"/>
          <w:w w:val="99"/>
          <w:sz w:val="22"/>
          <w:szCs w:val="22"/>
        </w:rPr>
        <w:t>.</w:t>
      </w:r>
      <w:r>
        <w:rPr>
          <w:rFonts w:ascii="Times New Roman" w:hAnsi="Times New Roman" w:cs="Times New Roman" w:eastAsia="Times New Roman" w:hint="default"/>
          <w:w w:val="99"/>
          <w:sz w:val="22"/>
          <w:szCs w:val="22"/>
        </w:rPr>
        <w:t>00</w:t>
      </w:r>
      <w:r>
        <w:rPr>
          <w:rFonts w:ascii="Times New Roman" w:hAnsi="Times New Roman" w:cs="Times New Roman" w:eastAsia="Times New Roman" w:hint="default"/>
          <w:spacing w:val="-7"/>
          <w:sz w:val="22"/>
          <w:szCs w:val="22"/>
        </w:rPr>
        <w:t> </w:t>
      </w:r>
      <w:r>
        <w:rPr>
          <w:rFonts w:ascii="楷体" w:hAnsi="楷体" w:cs="楷体" w:eastAsia="楷体" w:hint="default"/>
          <w:w w:val="99"/>
          <w:sz w:val="22"/>
          <w:szCs w:val="22"/>
        </w:rPr>
        <w:t>美元</w:t>
      </w:r>
      <w:r>
        <w:rPr>
          <w:rFonts w:ascii="楷体" w:hAnsi="楷体" w:cs="楷体" w:eastAsia="楷体" w:hint="default"/>
          <w:spacing w:val="-110"/>
          <w:w w:val="99"/>
          <w:sz w:val="22"/>
          <w:szCs w:val="22"/>
        </w:rPr>
        <w:t>、</w:t>
      </w:r>
      <w:r>
        <w:rPr>
          <w:rFonts w:ascii="楷体" w:hAnsi="楷体" w:cs="楷体" w:eastAsia="楷体" w:hint="default"/>
          <w:w w:val="99"/>
          <w:sz w:val="22"/>
          <w:szCs w:val="22"/>
        </w:rPr>
        <w:t>本</w:t>
      </w:r>
      <w:r>
        <w:rPr>
          <w:rFonts w:ascii="楷体" w:hAnsi="楷体" w:cs="楷体" w:eastAsia="楷体" w:hint="default"/>
          <w:spacing w:val="1"/>
          <w:w w:val="99"/>
          <w:sz w:val="22"/>
          <w:szCs w:val="22"/>
        </w:rPr>
        <w:t>公</w:t>
      </w:r>
      <w:r>
        <w:rPr>
          <w:rFonts w:ascii="楷体" w:hAnsi="楷体" w:cs="楷体" w:eastAsia="楷体" w:hint="default"/>
          <w:w w:val="99"/>
          <w:sz w:val="22"/>
          <w:szCs w:val="22"/>
        </w:rPr>
        <w:t>司之子</w:t>
      </w:r>
      <w:r>
        <w:rPr>
          <w:rFonts w:ascii="楷体" w:hAnsi="楷体" w:cs="楷体" w:eastAsia="楷体" w:hint="default"/>
          <w:spacing w:val="1"/>
          <w:w w:val="99"/>
          <w:sz w:val="22"/>
          <w:szCs w:val="22"/>
        </w:rPr>
        <w:t>公</w:t>
      </w:r>
      <w:r>
        <w:rPr>
          <w:rFonts w:ascii="楷体" w:hAnsi="楷体" w:cs="楷体" w:eastAsia="楷体" w:hint="default"/>
          <w:w w:val="99"/>
          <w:sz w:val="22"/>
          <w:szCs w:val="22"/>
        </w:rPr>
        <w:t>司</w:t>
      </w:r>
      <w:r>
        <w:rPr>
          <w:rFonts w:ascii="楷体" w:hAnsi="楷体" w:cs="楷体" w:eastAsia="楷体" w:hint="default"/>
          <w:spacing w:val="-61"/>
          <w:sz w:val="22"/>
          <w:szCs w:val="22"/>
        </w:rPr>
        <w:t> </w:t>
      </w:r>
      <w:r>
        <w:rPr>
          <w:rFonts w:ascii="Times New Roman" w:hAnsi="Times New Roman" w:cs="Times New Roman" w:eastAsia="Times New Roman" w:hint="default"/>
          <w:spacing w:val="-16"/>
          <w:w w:val="99"/>
          <w:sz w:val="22"/>
          <w:szCs w:val="22"/>
        </w:rPr>
        <w:t>T</w:t>
      </w:r>
      <w:r>
        <w:rPr>
          <w:rFonts w:ascii="Times New Roman" w:hAnsi="Times New Roman" w:cs="Times New Roman" w:eastAsia="Times New Roman" w:hint="default"/>
          <w:w w:val="99"/>
          <w:sz w:val="22"/>
          <w:szCs w:val="22"/>
        </w:rPr>
        <w:t>echn</w:t>
      </w:r>
      <w:r>
        <w:rPr>
          <w:rFonts w:ascii="Times New Roman" w:hAnsi="Times New Roman" w:cs="Times New Roman" w:eastAsia="Times New Roman" w:hint="default"/>
          <w:spacing w:val="-1"/>
          <w:w w:val="99"/>
          <w:sz w:val="22"/>
          <w:szCs w:val="22"/>
        </w:rPr>
        <w:t>o</w:t>
      </w:r>
      <w:r>
        <w:rPr>
          <w:rFonts w:ascii="Times New Roman" w:hAnsi="Times New Roman" w:cs="Times New Roman" w:eastAsia="Times New Roman" w:hint="default"/>
          <w:w w:val="99"/>
          <w:sz w:val="22"/>
          <w:szCs w:val="22"/>
        </w:rPr>
        <w:t>vator</w:t>
      </w:r>
      <w:r>
        <w:rPr>
          <w:rFonts w:ascii="Times New Roman" w:hAnsi="Times New Roman" w:cs="Times New Roman" w:eastAsia="Times New Roman" w:hint="default"/>
          <w:sz w:val="22"/>
          <w:szCs w:val="22"/>
        </w:rPr>
        <w:t> </w:t>
      </w:r>
      <w:r>
        <w:rPr>
          <w:rFonts w:ascii="Times New Roman" w:hAnsi="Times New Roman" w:cs="Times New Roman" w:eastAsia="Times New Roman" w:hint="default"/>
          <w:w w:val="99"/>
          <w:sz w:val="22"/>
          <w:szCs w:val="22"/>
        </w:rPr>
        <w:t>Int.</w:t>
      </w:r>
      <w:r>
        <w:rPr>
          <w:rFonts w:ascii="Times New Roman" w:hAnsi="Times New Roman" w:cs="Times New Roman" w:eastAsia="Times New Roman" w:hint="default"/>
          <w:sz w:val="22"/>
          <w:szCs w:val="22"/>
        </w:rPr>
      </w:r>
    </w:p>
    <w:p>
      <w:pPr>
        <w:spacing w:before="85"/>
        <w:ind w:left="138" w:right="0" w:firstLine="0"/>
        <w:jc w:val="left"/>
        <w:rPr>
          <w:rFonts w:ascii="楷体" w:hAnsi="楷体" w:cs="楷体" w:eastAsia="楷体" w:hint="default"/>
          <w:sz w:val="22"/>
          <w:szCs w:val="22"/>
        </w:rPr>
      </w:pPr>
      <w:r>
        <w:rPr>
          <w:rFonts w:ascii="Times New Roman" w:hAnsi="Times New Roman" w:cs="Times New Roman" w:eastAsia="Times New Roman" w:hint="default"/>
          <w:sz w:val="22"/>
          <w:szCs w:val="22"/>
        </w:rPr>
        <w:t>Private</w:t>
      </w:r>
      <w:r>
        <w:rPr>
          <w:rFonts w:ascii="Times New Roman" w:hAnsi="Times New Roman" w:cs="Times New Roman" w:eastAsia="Times New Roman" w:hint="default"/>
          <w:spacing w:val="-11"/>
          <w:sz w:val="22"/>
          <w:szCs w:val="22"/>
        </w:rPr>
        <w:t> </w:t>
      </w:r>
      <w:r>
        <w:rPr>
          <w:rFonts w:ascii="Times New Roman" w:hAnsi="Times New Roman" w:cs="Times New Roman" w:eastAsia="Times New Roman" w:hint="default"/>
          <w:sz w:val="22"/>
          <w:szCs w:val="22"/>
        </w:rPr>
        <w:t>Ltd.</w:t>
      </w:r>
      <w:r>
        <w:rPr>
          <w:rFonts w:ascii="楷体" w:hAnsi="楷体" w:cs="楷体" w:eastAsia="楷体" w:hint="default"/>
          <w:sz w:val="22"/>
          <w:szCs w:val="22"/>
        </w:rPr>
        <w:t>取得借款</w:t>
      </w:r>
      <w:r>
        <w:rPr>
          <w:rFonts w:ascii="楷体" w:hAnsi="楷体" w:cs="楷体" w:eastAsia="楷体" w:hint="default"/>
          <w:spacing w:val="-65"/>
          <w:sz w:val="22"/>
          <w:szCs w:val="22"/>
        </w:rPr>
        <w:t> </w:t>
      </w:r>
      <w:r>
        <w:rPr>
          <w:rFonts w:ascii="Times New Roman" w:hAnsi="Times New Roman" w:cs="Times New Roman" w:eastAsia="Times New Roman" w:hint="default"/>
          <w:sz w:val="22"/>
          <w:szCs w:val="22"/>
        </w:rPr>
        <w:t>579,554.00</w:t>
      </w:r>
      <w:r>
        <w:rPr>
          <w:rFonts w:ascii="Times New Roman" w:hAnsi="Times New Roman" w:cs="Times New Roman" w:eastAsia="Times New Roman" w:hint="default"/>
          <w:spacing w:val="-11"/>
          <w:sz w:val="22"/>
          <w:szCs w:val="22"/>
        </w:rPr>
        <w:t> </w:t>
      </w:r>
      <w:r>
        <w:rPr>
          <w:rFonts w:ascii="楷体" w:hAnsi="楷体" w:cs="楷体" w:eastAsia="楷体" w:hint="default"/>
          <w:sz w:val="22"/>
          <w:szCs w:val="22"/>
        </w:rPr>
        <w:t>美元，共计折合人民币</w:t>
      </w:r>
      <w:r>
        <w:rPr>
          <w:rFonts w:ascii="楷体" w:hAnsi="楷体" w:cs="楷体" w:eastAsia="楷体" w:hint="default"/>
          <w:spacing w:val="-65"/>
          <w:sz w:val="22"/>
          <w:szCs w:val="22"/>
        </w:rPr>
        <w:t> </w:t>
      </w:r>
      <w:r>
        <w:rPr>
          <w:rFonts w:ascii="Times New Roman" w:hAnsi="Times New Roman" w:cs="Times New Roman" w:eastAsia="Times New Roman" w:hint="default"/>
          <w:sz w:val="22"/>
          <w:szCs w:val="22"/>
        </w:rPr>
        <w:t>38,134,019.77</w:t>
      </w:r>
      <w:r>
        <w:rPr>
          <w:rFonts w:ascii="Times New Roman" w:hAnsi="Times New Roman" w:cs="Times New Roman" w:eastAsia="Times New Roman" w:hint="default"/>
          <w:spacing w:val="-12"/>
          <w:sz w:val="22"/>
          <w:szCs w:val="22"/>
        </w:rPr>
        <w:t> </w:t>
      </w:r>
      <w:r>
        <w:rPr>
          <w:rFonts w:ascii="楷体" w:hAnsi="楷体" w:cs="楷体" w:eastAsia="楷体" w:hint="default"/>
          <w:sz w:val="22"/>
          <w:szCs w:val="22"/>
        </w:rPr>
        <w:t>元；本公司之子公司同方鼎</w:t>
      </w:r>
    </w:p>
    <w:p>
      <w:pPr>
        <w:spacing w:before="85"/>
        <w:ind w:left="138" w:right="0" w:firstLine="0"/>
        <w:jc w:val="left"/>
        <w:rPr>
          <w:rFonts w:ascii="楷体" w:hAnsi="楷体" w:cs="楷体" w:eastAsia="楷体" w:hint="default"/>
          <w:sz w:val="22"/>
          <w:szCs w:val="22"/>
        </w:rPr>
      </w:pPr>
      <w:r>
        <w:rPr>
          <w:rFonts w:ascii="楷体" w:hAnsi="楷体" w:cs="楷体" w:eastAsia="楷体" w:hint="default"/>
          <w:sz w:val="22"/>
          <w:szCs w:val="22"/>
        </w:rPr>
        <w:t>欣信息技术有限公司取得借款</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7,800,000.00</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日元，折合人民币</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590,070.00</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元。</w:t>
      </w:r>
    </w:p>
    <w:p>
      <w:pPr>
        <w:spacing w:before="163"/>
        <w:ind w:left="592"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按借款条件列示</w:t>
      </w:r>
    </w:p>
    <w:p>
      <w:pPr>
        <w:spacing w:line="240" w:lineRule="auto" w:before="5"/>
        <w:rPr>
          <w:rFonts w:ascii="楷体" w:hAnsi="楷体" w:cs="楷体" w:eastAsia="楷体" w:hint="default"/>
          <w:sz w:val="12"/>
          <w:szCs w:val="12"/>
        </w:rPr>
      </w:pPr>
    </w:p>
    <w:tbl>
      <w:tblPr>
        <w:tblW w:w="0" w:type="auto"/>
        <w:jc w:val="left"/>
        <w:tblInd w:w="416" w:type="dxa"/>
        <w:tblLayout w:type="fixed"/>
        <w:tblCellMar>
          <w:top w:w="0" w:type="dxa"/>
          <w:left w:w="0" w:type="dxa"/>
          <w:bottom w:w="0" w:type="dxa"/>
          <w:right w:w="0" w:type="dxa"/>
        </w:tblCellMar>
        <w:tblLook w:val="01E0"/>
      </w:tblPr>
      <w:tblGrid>
        <w:gridCol w:w="2914"/>
        <w:gridCol w:w="3854"/>
        <w:gridCol w:w="1870"/>
      </w:tblGrid>
      <w:tr>
        <w:trPr>
          <w:trHeight w:val="303" w:hRule="exact"/>
        </w:trPr>
        <w:tc>
          <w:tcPr>
            <w:tcW w:w="291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借款类别</w:t>
            </w:r>
            <w:r>
              <w:rPr>
                <w:rFonts w:ascii="Microsoft JhengHei" w:hAnsi="Microsoft JhengHei" w:cs="Microsoft JhengHei" w:eastAsia="Microsoft JhengHei" w:hint="default"/>
                <w:sz w:val="18"/>
                <w:szCs w:val="18"/>
              </w:rPr>
            </w:r>
          </w:p>
        </w:tc>
        <w:tc>
          <w:tcPr>
            <w:tcW w:w="385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24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87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291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信用借款</w:t>
            </w:r>
          </w:p>
        </w:tc>
        <w:tc>
          <w:tcPr>
            <w:tcW w:w="38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42"/>
              <w:jc w:val="right"/>
              <w:rPr>
                <w:rFonts w:ascii="Times New Roman" w:hAnsi="Times New Roman" w:cs="Times New Roman" w:eastAsia="Times New Roman" w:hint="default"/>
                <w:sz w:val="18"/>
                <w:szCs w:val="18"/>
              </w:rPr>
            </w:pPr>
            <w:r>
              <w:rPr>
                <w:rFonts w:ascii="Times New Roman"/>
                <w:spacing w:val="-1"/>
                <w:sz w:val="18"/>
              </w:rPr>
              <w:t>357,386,570.00</w:t>
            </w: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273,588,607.49</w:t>
            </w:r>
          </w:p>
        </w:tc>
      </w:tr>
      <w:tr>
        <w:trPr>
          <w:trHeight w:val="283"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抵押借款</w:t>
            </w:r>
          </w:p>
        </w:tc>
        <w:tc>
          <w:tcPr>
            <w:tcW w:w="38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43"/>
              <w:jc w:val="right"/>
              <w:rPr>
                <w:rFonts w:ascii="Times New Roman" w:hAnsi="Times New Roman" w:cs="Times New Roman" w:eastAsia="Times New Roman" w:hint="default"/>
                <w:sz w:val="18"/>
                <w:szCs w:val="18"/>
              </w:rPr>
            </w:pPr>
            <w:r>
              <w:rPr>
                <w:rFonts w:ascii="Times New Roman"/>
                <w:spacing w:val="-1"/>
                <w:sz w:val="18"/>
              </w:rPr>
              <w:t>69,961,019.77</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83"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保证借款</w:t>
            </w:r>
          </w:p>
        </w:tc>
        <w:tc>
          <w:tcPr>
            <w:tcW w:w="38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42"/>
              <w:jc w:val="right"/>
              <w:rPr>
                <w:rFonts w:ascii="Times New Roman" w:hAnsi="Times New Roman" w:cs="Times New Roman" w:eastAsia="Times New Roman" w:hint="default"/>
                <w:sz w:val="18"/>
                <w:szCs w:val="18"/>
              </w:rPr>
            </w:pPr>
            <w:r>
              <w:rPr>
                <w:rFonts w:ascii="Times New Roman"/>
                <w:spacing w:val="-1"/>
                <w:sz w:val="18"/>
              </w:rPr>
              <w:t>208,500,000.00</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470,000,000.00</w:t>
            </w:r>
          </w:p>
        </w:tc>
      </w:tr>
      <w:tr>
        <w:trPr>
          <w:trHeight w:val="289" w:hRule="exact"/>
        </w:trPr>
        <w:tc>
          <w:tcPr>
            <w:tcW w:w="2914"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质押借款</w:t>
            </w:r>
          </w:p>
        </w:tc>
        <w:tc>
          <w:tcPr>
            <w:tcW w:w="385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43"/>
              <w:jc w:val="right"/>
              <w:rPr>
                <w:rFonts w:ascii="Times New Roman" w:hAnsi="Times New Roman" w:cs="Times New Roman" w:eastAsia="Times New Roman" w:hint="default"/>
                <w:sz w:val="18"/>
                <w:szCs w:val="18"/>
              </w:rPr>
            </w:pPr>
            <w:r>
              <w:rPr>
                <w:rFonts w:ascii="Times New Roman"/>
                <w:sz w:val="18"/>
              </w:rPr>
              <w:t>0.00</w:t>
            </w: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2914"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8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42"/>
              <w:jc w:val="right"/>
              <w:rPr>
                <w:rFonts w:ascii="Times New Roman" w:hAnsi="Times New Roman" w:cs="Times New Roman" w:eastAsia="Times New Roman" w:hint="default"/>
                <w:sz w:val="18"/>
                <w:szCs w:val="18"/>
              </w:rPr>
            </w:pPr>
            <w:r>
              <w:rPr>
                <w:rFonts w:ascii="Times New Roman"/>
                <w:b/>
                <w:spacing w:val="-1"/>
                <w:sz w:val="18"/>
              </w:rPr>
              <w:t>635,847,589.77</w:t>
            </w:r>
            <w:r>
              <w:rPr>
                <w:rFonts w:ascii="Times New Roman"/>
                <w:spacing w:val="-1"/>
                <w:sz w:val="18"/>
              </w:rPr>
            </w:r>
          </w:p>
        </w:tc>
        <w:tc>
          <w:tcPr>
            <w:tcW w:w="18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763,588,607.49</w:t>
            </w:r>
            <w:r>
              <w:rPr>
                <w:rFonts w:ascii="Times New Roman"/>
                <w:spacing w:val="-1"/>
                <w:sz w:val="18"/>
              </w:rPr>
            </w:r>
          </w:p>
        </w:tc>
      </w:tr>
    </w:tbl>
    <w:p>
      <w:pPr>
        <w:spacing w:line="307" w:lineRule="auto" w:before="79"/>
        <w:ind w:left="138" w:right="140" w:firstLine="440"/>
        <w:jc w:val="both"/>
        <w:rPr>
          <w:rFonts w:ascii="楷体" w:hAnsi="楷体" w:cs="楷体" w:eastAsia="楷体" w:hint="default"/>
          <w:sz w:val="22"/>
          <w:szCs w:val="22"/>
        </w:rPr>
      </w:pPr>
      <w:r>
        <w:rPr>
          <w:rFonts w:ascii="楷体" w:hAnsi="楷体" w:cs="楷体" w:eastAsia="楷体" w:hint="default"/>
          <w:spacing w:val="10"/>
          <w:sz w:val="22"/>
          <w:szCs w:val="22"/>
        </w:rPr>
        <w:t>截至</w:t>
      </w:r>
      <w:r>
        <w:rPr>
          <w:rFonts w:ascii="楷体" w:hAnsi="楷体" w:cs="楷体" w:eastAsia="楷体" w:hint="default"/>
          <w:spacing w:val="1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8"/>
          <w:sz w:val="22"/>
          <w:szCs w:val="22"/>
        </w:rPr>
        <w:t> </w:t>
      </w:r>
      <w:r>
        <w:rPr>
          <w:rFonts w:ascii="楷体" w:hAnsi="楷体" w:cs="楷体" w:eastAsia="楷体" w:hint="default"/>
          <w:sz w:val="22"/>
          <w:szCs w:val="22"/>
        </w:rPr>
        <w:t>年</w:t>
      </w:r>
      <w:r>
        <w:rPr>
          <w:rFonts w:ascii="楷体" w:hAnsi="楷体" w:cs="楷体" w:eastAsia="楷体" w:hint="default"/>
          <w:spacing w:val="2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9"/>
          <w:sz w:val="22"/>
          <w:szCs w:val="22"/>
        </w:rPr>
        <w:t> </w:t>
      </w:r>
      <w:r>
        <w:rPr>
          <w:rFonts w:ascii="楷体" w:hAnsi="楷体" w:cs="楷体" w:eastAsia="楷体" w:hint="default"/>
          <w:sz w:val="22"/>
          <w:szCs w:val="22"/>
        </w:rPr>
        <w:t>月</w:t>
      </w:r>
      <w:r>
        <w:rPr>
          <w:rFonts w:ascii="楷体" w:hAnsi="楷体" w:cs="楷体" w:eastAsia="楷体" w:hint="default"/>
          <w:spacing w:val="20"/>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0"/>
          <w:sz w:val="22"/>
          <w:szCs w:val="22"/>
        </w:rPr>
        <w:t> </w:t>
      </w:r>
      <w:r>
        <w:rPr>
          <w:rFonts w:ascii="楷体" w:hAnsi="楷体" w:cs="楷体" w:eastAsia="楷体" w:hint="default"/>
          <w:spacing w:val="9"/>
          <w:sz w:val="22"/>
          <w:szCs w:val="22"/>
        </w:rPr>
        <w:t>日，</w:t>
      </w:r>
      <w:r>
        <w:rPr>
          <w:rFonts w:ascii="楷体" w:hAnsi="楷体" w:cs="楷体" w:eastAsia="楷体" w:hint="default"/>
          <w:spacing w:val="-90"/>
          <w:sz w:val="22"/>
          <w:szCs w:val="22"/>
        </w:rPr>
        <w:t> </w:t>
      </w:r>
      <w:r>
        <w:rPr>
          <w:rFonts w:ascii="楷体" w:hAnsi="楷体" w:cs="楷体" w:eastAsia="楷体" w:hint="default"/>
          <w:spacing w:val="18"/>
          <w:sz w:val="22"/>
          <w:szCs w:val="22"/>
        </w:rPr>
        <w:t>本公司之控股子公司泰豪科技股份有限公司的抵押借款</w:t>
      </w:r>
      <w:r>
        <w:rPr>
          <w:rFonts w:ascii="楷体" w:hAnsi="楷体" w:cs="楷体" w:eastAsia="楷体" w:hint="default"/>
          <w:w w:val="99"/>
          <w:sz w:val="22"/>
          <w:szCs w:val="22"/>
        </w:rPr>
        <w:t> </w:t>
      </w:r>
      <w:r>
        <w:rPr>
          <w:rFonts w:ascii="Times New Roman" w:hAnsi="Times New Roman" w:cs="Times New Roman" w:eastAsia="Times New Roman" w:hint="default"/>
          <w:spacing w:val="-1"/>
          <w:w w:val="99"/>
          <w:sz w:val="22"/>
          <w:szCs w:val="22"/>
        </w:rPr>
        <w:t>66,000,000.00</w:t>
      </w:r>
      <w:r>
        <w:rPr>
          <w:rFonts w:ascii="Times New Roman" w:hAnsi="Times New Roman" w:cs="Times New Roman" w:eastAsia="Times New Roman" w:hint="default"/>
          <w:spacing w:val="-5"/>
          <w:w w:val="99"/>
          <w:sz w:val="22"/>
          <w:szCs w:val="22"/>
        </w:rPr>
        <w:t> </w:t>
      </w:r>
      <w:r>
        <w:rPr>
          <w:rFonts w:ascii="楷体" w:hAnsi="楷体" w:cs="楷体" w:eastAsia="楷体" w:hint="default"/>
          <w:spacing w:val="-8"/>
          <w:w w:val="99"/>
          <w:sz w:val="22"/>
          <w:szCs w:val="22"/>
        </w:rPr>
        <w:t>元的抵押情况详见附注七、</w:t>
      </w:r>
      <w:r>
        <w:rPr>
          <w:rFonts w:ascii="Times New Roman" w:hAnsi="Times New Roman" w:cs="Times New Roman" w:eastAsia="Times New Roman" w:hint="default"/>
          <w:spacing w:val="-8"/>
          <w:w w:val="99"/>
          <w:sz w:val="22"/>
          <w:szCs w:val="22"/>
        </w:rPr>
        <w:t>14</w:t>
      </w:r>
      <w:r>
        <w:rPr>
          <w:rFonts w:ascii="Times New Roman" w:hAnsi="Times New Roman" w:cs="Times New Roman" w:eastAsia="Times New Roman" w:hint="default"/>
          <w:spacing w:val="-6"/>
          <w:w w:val="99"/>
          <w:sz w:val="22"/>
          <w:szCs w:val="22"/>
        </w:rPr>
        <w:t> </w:t>
      </w:r>
      <w:r>
        <w:rPr>
          <w:rFonts w:ascii="楷体" w:hAnsi="楷体" w:cs="楷体" w:eastAsia="楷体" w:hint="default"/>
          <w:spacing w:val="-11"/>
          <w:w w:val="99"/>
          <w:sz w:val="22"/>
          <w:szCs w:val="22"/>
        </w:rPr>
        <w:t>及七、</w:t>
      </w:r>
      <w:r>
        <w:rPr>
          <w:rFonts w:ascii="Times New Roman" w:hAnsi="Times New Roman" w:cs="Times New Roman" w:eastAsia="Times New Roman" w:hint="default"/>
          <w:spacing w:val="-11"/>
          <w:w w:val="99"/>
          <w:sz w:val="22"/>
          <w:szCs w:val="22"/>
        </w:rPr>
        <w:t>17</w:t>
      </w:r>
      <w:r>
        <w:rPr>
          <w:rFonts w:ascii="楷体" w:hAnsi="楷体" w:cs="楷体" w:eastAsia="楷体" w:hint="default"/>
          <w:spacing w:val="-11"/>
          <w:w w:val="99"/>
          <w:sz w:val="22"/>
          <w:szCs w:val="22"/>
        </w:rPr>
        <w:t>；其余抵押借款为本公司之子公司</w:t>
      </w:r>
      <w:r>
        <w:rPr>
          <w:rFonts w:ascii="楷体" w:hAnsi="楷体" w:cs="楷体" w:eastAsia="楷体" w:hint="default"/>
          <w:spacing w:val="-58"/>
          <w:w w:val="99"/>
          <w:sz w:val="22"/>
          <w:szCs w:val="22"/>
        </w:rPr>
        <w:t> </w:t>
      </w:r>
      <w:r>
        <w:rPr>
          <w:rFonts w:ascii="Times New Roman" w:hAnsi="Times New Roman" w:cs="Times New Roman" w:eastAsia="Times New Roman" w:hint="default"/>
          <w:spacing w:val="-2"/>
          <w:w w:val="99"/>
          <w:sz w:val="22"/>
          <w:szCs w:val="22"/>
        </w:rPr>
        <w:t>Technovator</w:t>
      </w:r>
      <w:r>
        <w:rPr>
          <w:rFonts w:ascii="Times New Roman" w:hAnsi="Times New Roman" w:cs="Times New Roman" w:eastAsia="Times New Roman" w:hint="default"/>
          <w:spacing w:val="-51"/>
          <w:w w:val="99"/>
          <w:sz w:val="22"/>
          <w:szCs w:val="22"/>
        </w:rPr>
        <w:t> </w:t>
      </w:r>
      <w:r>
        <w:rPr>
          <w:rFonts w:ascii="Times New Roman" w:hAnsi="Times New Roman" w:cs="Times New Roman" w:eastAsia="Times New Roman" w:hint="default"/>
          <w:spacing w:val="-51"/>
          <w:w w:val="99"/>
          <w:sz w:val="22"/>
          <w:szCs w:val="22"/>
        </w:rPr>
      </w:r>
      <w:r>
        <w:rPr>
          <w:rFonts w:ascii="Times New Roman" w:hAnsi="Times New Roman" w:cs="Times New Roman" w:eastAsia="Times New Roman" w:hint="default"/>
          <w:sz w:val="22"/>
          <w:szCs w:val="22"/>
        </w:rPr>
        <w:t>Int. Private Ltd.</w:t>
      </w:r>
      <w:r>
        <w:rPr>
          <w:rFonts w:ascii="Times New Roman" w:hAnsi="Times New Roman" w:cs="Times New Roman" w:eastAsia="Times New Roman" w:hint="default"/>
          <w:spacing w:val="48"/>
          <w:sz w:val="22"/>
          <w:szCs w:val="22"/>
        </w:rPr>
        <w:t> </w:t>
      </w:r>
      <w:r>
        <w:rPr>
          <w:rFonts w:ascii="楷体" w:hAnsi="楷体" w:cs="楷体" w:eastAsia="楷体" w:hint="default"/>
          <w:sz w:val="22"/>
          <w:szCs w:val="22"/>
        </w:rPr>
        <w:t>以部分经营性资产为抵押物取得。</w:t>
      </w:r>
    </w:p>
    <w:p>
      <w:pPr>
        <w:spacing w:before="95"/>
        <w:ind w:left="578" w:right="0" w:firstLine="0"/>
        <w:jc w:val="left"/>
        <w:rPr>
          <w:rFonts w:ascii="楷体" w:hAnsi="楷体" w:cs="楷体" w:eastAsia="楷体" w:hint="default"/>
          <w:sz w:val="22"/>
          <w:szCs w:val="22"/>
        </w:rPr>
      </w:pPr>
      <w:r>
        <w:rPr>
          <w:rFonts w:ascii="楷体" w:hAnsi="楷体" w:cs="楷体" w:eastAsia="楷体" w:hint="default"/>
          <w:w w:val="99"/>
          <w:sz w:val="22"/>
          <w:szCs w:val="22"/>
        </w:rPr>
        <w:t>截至</w:t>
      </w:r>
      <w:r>
        <w:rPr>
          <w:rFonts w:ascii="楷体" w:hAnsi="楷体" w:cs="楷体" w:eastAsia="楷体" w:hint="default"/>
          <w:spacing w:val="-54"/>
          <w:sz w:val="22"/>
          <w:szCs w:val="22"/>
        </w:rPr>
        <w:t> </w:t>
      </w:r>
      <w:r>
        <w:rPr>
          <w:rFonts w:ascii="Times New Roman" w:hAnsi="Times New Roman" w:cs="Times New Roman" w:eastAsia="Times New Roman" w:hint="default"/>
          <w:w w:val="99"/>
          <w:sz w:val="22"/>
          <w:szCs w:val="22"/>
        </w:rPr>
        <w:t>2</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08</w:t>
      </w:r>
      <w:r>
        <w:rPr>
          <w:rFonts w:ascii="Times New Roman" w:hAnsi="Times New Roman" w:cs="Times New Roman" w:eastAsia="Times New Roman" w:hint="default"/>
          <w:spacing w:val="-1"/>
          <w:sz w:val="22"/>
          <w:szCs w:val="22"/>
        </w:rPr>
        <w:t> </w:t>
      </w:r>
      <w:r>
        <w:rPr>
          <w:rFonts w:ascii="楷体" w:hAnsi="楷体" w:cs="楷体" w:eastAsia="楷体" w:hint="default"/>
          <w:w w:val="99"/>
          <w:sz w:val="22"/>
          <w:szCs w:val="22"/>
        </w:rPr>
        <w:t>年</w:t>
      </w:r>
      <w:r>
        <w:rPr>
          <w:rFonts w:ascii="楷体" w:hAnsi="楷体" w:cs="楷体" w:eastAsia="楷体" w:hint="default"/>
          <w:spacing w:val="-54"/>
          <w:sz w:val="22"/>
          <w:szCs w:val="22"/>
        </w:rPr>
        <w:t> </w:t>
      </w:r>
      <w:r>
        <w:rPr>
          <w:rFonts w:ascii="Times New Roman" w:hAnsi="Times New Roman" w:cs="Times New Roman" w:eastAsia="Times New Roman" w:hint="default"/>
          <w:spacing w:val="-1"/>
          <w:w w:val="99"/>
          <w:sz w:val="22"/>
          <w:szCs w:val="22"/>
        </w:rPr>
        <w:t>1</w:t>
      </w:r>
      <w:r>
        <w:rPr>
          <w:rFonts w:ascii="Times New Roman" w:hAnsi="Times New Roman" w:cs="Times New Roman" w:eastAsia="Times New Roman" w:hint="default"/>
          <w:w w:val="99"/>
          <w:sz w:val="22"/>
          <w:szCs w:val="22"/>
        </w:rPr>
        <w:t>2</w:t>
      </w:r>
      <w:r>
        <w:rPr>
          <w:rFonts w:ascii="Times New Roman" w:hAnsi="Times New Roman" w:cs="Times New Roman" w:eastAsia="Times New Roman" w:hint="default"/>
          <w:spacing w:val="-1"/>
          <w:sz w:val="22"/>
          <w:szCs w:val="22"/>
        </w:rPr>
        <w:t> </w:t>
      </w:r>
      <w:r>
        <w:rPr>
          <w:rFonts w:ascii="楷体" w:hAnsi="楷体" w:cs="楷体" w:eastAsia="楷体" w:hint="default"/>
          <w:w w:val="99"/>
          <w:sz w:val="22"/>
          <w:szCs w:val="22"/>
        </w:rPr>
        <w:t>月</w:t>
      </w:r>
      <w:r>
        <w:rPr>
          <w:rFonts w:ascii="楷体" w:hAnsi="楷体" w:cs="楷体" w:eastAsia="楷体" w:hint="default"/>
          <w:spacing w:val="-54"/>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
          <w:sz w:val="22"/>
          <w:szCs w:val="22"/>
        </w:rPr>
        <w:t> </w:t>
      </w:r>
      <w:r>
        <w:rPr>
          <w:rFonts w:ascii="楷体" w:hAnsi="楷体" w:cs="楷体" w:eastAsia="楷体" w:hint="default"/>
          <w:spacing w:val="1"/>
          <w:w w:val="99"/>
          <w:sz w:val="22"/>
          <w:szCs w:val="22"/>
        </w:rPr>
        <w:t>日</w:t>
      </w:r>
      <w:r>
        <w:rPr>
          <w:rFonts w:ascii="楷体" w:hAnsi="楷体" w:cs="楷体" w:eastAsia="楷体" w:hint="default"/>
          <w:w w:val="99"/>
          <w:sz w:val="22"/>
          <w:szCs w:val="22"/>
        </w:rPr>
        <w:t>，本</w:t>
      </w:r>
      <w:r>
        <w:rPr>
          <w:rFonts w:ascii="楷体" w:hAnsi="楷体" w:cs="楷体" w:eastAsia="楷体" w:hint="default"/>
          <w:spacing w:val="1"/>
          <w:w w:val="99"/>
          <w:sz w:val="22"/>
          <w:szCs w:val="22"/>
        </w:rPr>
        <w:t>公</w:t>
      </w:r>
      <w:r>
        <w:rPr>
          <w:rFonts w:ascii="楷体" w:hAnsi="楷体" w:cs="楷体" w:eastAsia="楷体" w:hint="default"/>
          <w:w w:val="99"/>
          <w:sz w:val="22"/>
          <w:szCs w:val="22"/>
        </w:rPr>
        <w:t>司</w:t>
      </w:r>
      <w:r>
        <w:rPr>
          <w:rFonts w:ascii="楷体" w:hAnsi="楷体" w:cs="楷体" w:eastAsia="楷体" w:hint="default"/>
          <w:spacing w:val="1"/>
          <w:w w:val="99"/>
          <w:sz w:val="22"/>
          <w:szCs w:val="22"/>
        </w:rPr>
        <w:t>长</w:t>
      </w:r>
      <w:r>
        <w:rPr>
          <w:rFonts w:ascii="楷体" w:hAnsi="楷体" w:cs="楷体" w:eastAsia="楷体" w:hint="default"/>
          <w:w w:val="99"/>
          <w:sz w:val="22"/>
          <w:szCs w:val="22"/>
        </w:rPr>
        <w:t>期保</w:t>
      </w:r>
      <w:r>
        <w:rPr>
          <w:rFonts w:ascii="楷体" w:hAnsi="楷体" w:cs="楷体" w:eastAsia="楷体" w:hint="default"/>
          <w:spacing w:val="1"/>
          <w:w w:val="99"/>
          <w:sz w:val="22"/>
          <w:szCs w:val="22"/>
        </w:rPr>
        <w:t>证</w:t>
      </w:r>
      <w:r>
        <w:rPr>
          <w:rFonts w:ascii="楷体" w:hAnsi="楷体" w:cs="楷体" w:eastAsia="楷体" w:hint="default"/>
          <w:w w:val="99"/>
          <w:sz w:val="22"/>
          <w:szCs w:val="22"/>
        </w:rPr>
        <w:t>借</w:t>
      </w:r>
      <w:r>
        <w:rPr>
          <w:rFonts w:ascii="楷体" w:hAnsi="楷体" w:cs="楷体" w:eastAsia="楷体" w:hint="default"/>
          <w:spacing w:val="1"/>
          <w:w w:val="99"/>
          <w:sz w:val="22"/>
          <w:szCs w:val="22"/>
        </w:rPr>
        <w:t>款</w:t>
      </w:r>
      <w:r>
        <w:rPr>
          <w:rFonts w:ascii="楷体" w:hAnsi="楷体" w:cs="楷体" w:eastAsia="楷体" w:hint="default"/>
          <w:w w:val="99"/>
          <w:sz w:val="22"/>
          <w:szCs w:val="22"/>
        </w:rPr>
        <w:t>的担</w:t>
      </w:r>
      <w:r>
        <w:rPr>
          <w:rFonts w:ascii="楷体" w:hAnsi="楷体" w:cs="楷体" w:eastAsia="楷体" w:hint="default"/>
          <w:spacing w:val="1"/>
          <w:w w:val="99"/>
          <w:sz w:val="22"/>
          <w:szCs w:val="22"/>
        </w:rPr>
        <w:t>保</w:t>
      </w:r>
      <w:r>
        <w:rPr>
          <w:rFonts w:ascii="楷体" w:hAnsi="楷体" w:cs="楷体" w:eastAsia="楷体" w:hint="default"/>
          <w:w w:val="99"/>
          <w:sz w:val="22"/>
          <w:szCs w:val="22"/>
        </w:rPr>
        <w:t>情</w:t>
      </w:r>
      <w:r>
        <w:rPr>
          <w:rFonts w:ascii="楷体" w:hAnsi="楷体" w:cs="楷体" w:eastAsia="楷体" w:hint="default"/>
          <w:spacing w:val="1"/>
          <w:w w:val="99"/>
          <w:sz w:val="22"/>
          <w:szCs w:val="22"/>
        </w:rPr>
        <w:t>况</w:t>
      </w:r>
      <w:r>
        <w:rPr>
          <w:rFonts w:ascii="楷体" w:hAnsi="楷体" w:cs="楷体" w:eastAsia="楷体" w:hint="default"/>
          <w:w w:val="99"/>
          <w:sz w:val="22"/>
          <w:szCs w:val="22"/>
        </w:rPr>
        <w:t>详见</w:t>
      </w:r>
      <w:r>
        <w:rPr>
          <w:rFonts w:ascii="楷体" w:hAnsi="楷体" w:cs="楷体" w:eastAsia="楷体" w:hint="default"/>
          <w:spacing w:val="1"/>
          <w:w w:val="99"/>
          <w:sz w:val="22"/>
          <w:szCs w:val="22"/>
        </w:rPr>
        <w:t>附</w:t>
      </w:r>
      <w:r>
        <w:rPr>
          <w:rFonts w:ascii="楷体" w:hAnsi="楷体" w:cs="楷体" w:eastAsia="楷体" w:hint="default"/>
          <w:w w:val="99"/>
          <w:sz w:val="22"/>
          <w:szCs w:val="22"/>
        </w:rPr>
        <w:t>注</w:t>
      </w:r>
      <w:r>
        <w:rPr>
          <w:rFonts w:ascii="楷体" w:hAnsi="楷体" w:cs="楷体" w:eastAsia="楷体" w:hint="default"/>
          <w:spacing w:val="1"/>
          <w:w w:val="99"/>
          <w:sz w:val="22"/>
          <w:szCs w:val="22"/>
        </w:rPr>
        <w:t>十</w:t>
      </w:r>
      <w:r>
        <w:rPr>
          <w:rFonts w:ascii="楷体" w:hAnsi="楷体" w:cs="楷体" w:eastAsia="楷体" w:hint="default"/>
          <w:w w:val="99"/>
          <w:sz w:val="22"/>
          <w:szCs w:val="22"/>
        </w:rPr>
        <w:t>一</w:t>
      </w:r>
      <w:r>
        <w:rPr>
          <w:rFonts w:ascii="楷体" w:hAnsi="楷体" w:cs="楷体" w:eastAsia="楷体" w:hint="default"/>
          <w:spacing w:val="-109"/>
          <w:w w:val="99"/>
          <w:sz w:val="22"/>
          <w:szCs w:val="22"/>
        </w:rPr>
        <w:t>、</w:t>
      </w:r>
      <w:r>
        <w:rPr>
          <w:rFonts w:ascii="楷体" w:hAnsi="楷体" w:cs="楷体" w:eastAsia="楷体" w:hint="default"/>
          <w:w w:val="99"/>
          <w:sz w:val="22"/>
          <w:szCs w:val="22"/>
        </w:rPr>
        <w:t>（</w:t>
      </w:r>
      <w:r>
        <w:rPr>
          <w:rFonts w:ascii="楷体" w:hAnsi="楷体" w:cs="楷体" w:eastAsia="楷体" w:hint="default"/>
          <w:spacing w:val="1"/>
          <w:w w:val="99"/>
          <w:sz w:val="22"/>
          <w:szCs w:val="22"/>
        </w:rPr>
        <w:t>二</w:t>
      </w:r>
      <w:r>
        <w:rPr>
          <w:rFonts w:ascii="楷体" w:hAnsi="楷体" w:cs="楷体" w:eastAsia="楷体" w:hint="default"/>
          <w:spacing w:val="-111"/>
          <w:w w:val="99"/>
          <w:sz w:val="22"/>
          <w:szCs w:val="22"/>
        </w:rPr>
        <w:t>）</w:t>
      </w:r>
      <w:r>
        <w:rPr>
          <w:rFonts w:ascii="楷体" w:hAnsi="楷体" w:cs="楷体" w:eastAsia="楷体" w:hint="default"/>
          <w:w w:val="99"/>
          <w:sz w:val="22"/>
          <w:szCs w:val="22"/>
        </w:rPr>
        <w:t>。</w:t>
      </w:r>
      <w:r>
        <w:rPr>
          <w:rFonts w:ascii="楷体" w:hAnsi="楷体" w:cs="楷体" w:eastAsia="楷体" w:hint="default"/>
          <w:sz w:val="22"/>
          <w:szCs w:val="22"/>
        </w:rPr>
      </w:r>
    </w:p>
    <w:p>
      <w:pPr>
        <w:spacing w:before="163"/>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33.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长期应付款</w:t>
      </w:r>
    </w:p>
    <w:p>
      <w:pPr>
        <w:spacing w:line="240" w:lineRule="auto" w:before="5"/>
        <w:rPr>
          <w:rFonts w:ascii="楷体" w:hAnsi="楷体" w:cs="楷体" w:eastAsia="楷体" w:hint="default"/>
          <w:sz w:val="12"/>
          <w:szCs w:val="12"/>
        </w:rPr>
      </w:pPr>
    </w:p>
    <w:tbl>
      <w:tblPr>
        <w:tblW w:w="0" w:type="auto"/>
        <w:jc w:val="left"/>
        <w:tblInd w:w="416" w:type="dxa"/>
        <w:tblLayout w:type="fixed"/>
        <w:tblCellMar>
          <w:top w:w="0" w:type="dxa"/>
          <w:left w:w="0" w:type="dxa"/>
          <w:bottom w:w="0" w:type="dxa"/>
          <w:right w:w="0" w:type="dxa"/>
        </w:tblCellMar>
        <w:tblLook w:val="01E0"/>
      </w:tblPr>
      <w:tblGrid>
        <w:gridCol w:w="4250"/>
        <w:gridCol w:w="2569"/>
        <w:gridCol w:w="1819"/>
      </w:tblGrid>
      <w:tr>
        <w:trPr>
          <w:trHeight w:val="303" w:hRule="exact"/>
        </w:trPr>
        <w:tc>
          <w:tcPr>
            <w:tcW w:w="425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借款单位</w:t>
            </w:r>
            <w:r>
              <w:rPr>
                <w:rFonts w:ascii="Microsoft JhengHei" w:hAnsi="Microsoft JhengHei" w:cs="Microsoft JhengHei" w:eastAsia="Microsoft JhengHei" w:hint="default"/>
                <w:sz w:val="18"/>
                <w:szCs w:val="18"/>
              </w:rPr>
            </w:r>
          </w:p>
        </w:tc>
        <w:tc>
          <w:tcPr>
            <w:tcW w:w="2569"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81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425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土地出让金（泰豪并入）</w:t>
            </w:r>
          </w:p>
        </w:tc>
        <w:tc>
          <w:tcPr>
            <w:tcW w:w="256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80"/>
              <w:jc w:val="right"/>
              <w:rPr>
                <w:rFonts w:ascii="Times New Roman" w:hAnsi="Times New Roman" w:cs="Times New Roman" w:eastAsia="Times New Roman" w:hint="default"/>
                <w:sz w:val="18"/>
                <w:szCs w:val="18"/>
              </w:rPr>
            </w:pPr>
            <w:r>
              <w:rPr>
                <w:rFonts w:ascii="Times New Roman"/>
                <w:spacing w:val="-1"/>
                <w:sz w:val="18"/>
              </w:rPr>
              <w:t>3,311,000.00</w:t>
            </w: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3,311,000.00</w:t>
            </w:r>
          </w:p>
        </w:tc>
      </w:tr>
      <w:tr>
        <w:trPr>
          <w:trHeight w:val="283" w:hRule="exact"/>
        </w:trPr>
        <w:tc>
          <w:tcPr>
            <w:tcW w:w="4250"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改制借款（泰豪并入）</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80"/>
              <w:jc w:val="right"/>
              <w:rPr>
                <w:rFonts w:ascii="Times New Roman" w:hAnsi="Times New Roman" w:cs="Times New Roman" w:eastAsia="Times New Roman" w:hint="default"/>
                <w:sz w:val="18"/>
                <w:szCs w:val="18"/>
              </w:rPr>
            </w:pPr>
            <w:r>
              <w:rPr>
                <w:rFonts w:ascii="Times New Roman"/>
                <w:spacing w:val="-1"/>
                <w:sz w:val="18"/>
              </w:rPr>
              <w:t>2,000,000.00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283" w:hRule="exact"/>
        </w:trPr>
        <w:tc>
          <w:tcPr>
            <w:tcW w:w="4250"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楷体" w:hAnsi="楷体" w:cs="楷体" w:eastAsia="楷体" w:hint="default"/>
                <w:sz w:val="18"/>
                <w:szCs w:val="18"/>
              </w:rPr>
              <w:t>军品项目拨款（</w:t>
            </w:r>
            <w:r>
              <w:rPr>
                <w:rFonts w:ascii="Times New Roman" w:hAnsi="Times New Roman" w:cs="Times New Roman" w:eastAsia="Times New Roman" w:hint="default"/>
                <w:sz w:val="18"/>
                <w:szCs w:val="18"/>
              </w:rPr>
              <w:t>713</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厂并入）</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80"/>
              <w:jc w:val="right"/>
              <w:rPr>
                <w:rFonts w:ascii="Times New Roman" w:hAnsi="Times New Roman" w:cs="Times New Roman" w:eastAsia="Times New Roman" w:hint="default"/>
                <w:sz w:val="18"/>
                <w:szCs w:val="18"/>
              </w:rPr>
            </w:pPr>
            <w:r>
              <w:rPr>
                <w:rFonts w:ascii="Times New Roman"/>
                <w:spacing w:val="-1"/>
                <w:sz w:val="18"/>
              </w:rPr>
              <w:t>5,527,311.96</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11,802,474.86</w:t>
            </w:r>
          </w:p>
        </w:tc>
      </w:tr>
      <w:tr>
        <w:trPr>
          <w:trHeight w:val="283" w:hRule="exact"/>
        </w:trPr>
        <w:tc>
          <w:tcPr>
            <w:tcW w:w="4250"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楷体" w:hAnsi="楷体" w:cs="楷体" w:eastAsia="楷体" w:hint="default"/>
                <w:sz w:val="18"/>
                <w:szCs w:val="18"/>
              </w:rPr>
              <w:t>可赎回可转换优先股（</w:t>
            </w:r>
            <w:r>
              <w:rPr>
                <w:rFonts w:ascii="Times New Roman" w:hAnsi="Times New Roman" w:cs="Times New Roman" w:eastAsia="Times New Roman" w:hint="default"/>
                <w:sz w:val="18"/>
                <w:szCs w:val="18"/>
              </w:rPr>
              <w:t>Technovator</w:t>
            </w:r>
            <w:r>
              <w:rPr>
                <w:rFonts w:ascii="Times New Roman" w:hAnsi="Times New Roman" w:cs="Times New Roman" w:eastAsia="Times New Roman" w:hint="default"/>
                <w:spacing w:val="-16"/>
                <w:sz w:val="18"/>
                <w:szCs w:val="18"/>
              </w:rPr>
              <w:t> </w:t>
            </w:r>
            <w:r>
              <w:rPr>
                <w:rFonts w:ascii="楷体" w:hAnsi="楷体" w:cs="楷体" w:eastAsia="楷体" w:hint="default"/>
                <w:sz w:val="18"/>
                <w:szCs w:val="18"/>
              </w:rPr>
              <w:t>并入）</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80"/>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29,218,400.00</w:t>
            </w:r>
          </w:p>
        </w:tc>
      </w:tr>
      <w:tr>
        <w:trPr>
          <w:trHeight w:val="288" w:hRule="exact"/>
        </w:trPr>
        <w:tc>
          <w:tcPr>
            <w:tcW w:w="4250" w:type="dxa"/>
            <w:tcBorders>
              <w:top w:val="nil" w:sz="6" w:space="0" w:color="auto"/>
              <w:left w:val="nil" w:sz="6" w:space="0" w:color="auto"/>
              <w:bottom w:val="single" w:sz="4"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256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680"/>
              <w:jc w:val="right"/>
              <w:rPr>
                <w:rFonts w:ascii="Times New Roman" w:hAnsi="Times New Roman" w:cs="Times New Roman" w:eastAsia="Times New Roman" w:hint="default"/>
                <w:sz w:val="18"/>
                <w:szCs w:val="18"/>
              </w:rPr>
            </w:pPr>
            <w:r>
              <w:rPr>
                <w:rFonts w:ascii="Times New Roman"/>
                <w:sz w:val="18"/>
              </w:rPr>
              <w:t>441,650.30</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378,935.08</w:t>
            </w:r>
          </w:p>
        </w:tc>
      </w:tr>
      <w:tr>
        <w:trPr>
          <w:trHeight w:val="303" w:hRule="exact"/>
        </w:trPr>
        <w:tc>
          <w:tcPr>
            <w:tcW w:w="4250"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56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80"/>
              <w:jc w:val="right"/>
              <w:rPr>
                <w:rFonts w:ascii="Times New Roman" w:hAnsi="Times New Roman" w:cs="Times New Roman" w:eastAsia="Times New Roman" w:hint="default"/>
                <w:sz w:val="18"/>
                <w:szCs w:val="18"/>
              </w:rPr>
            </w:pPr>
            <w:r>
              <w:rPr>
                <w:rFonts w:ascii="Times New Roman"/>
                <w:b/>
                <w:spacing w:val="-1"/>
                <w:sz w:val="18"/>
              </w:rPr>
              <w:t>11,279,962.26</w:t>
            </w:r>
            <w:r>
              <w:rPr>
                <w:rFonts w:ascii="Times New Roman"/>
                <w:spacing w:val="-1"/>
                <w:sz w:val="18"/>
              </w:rPr>
            </w:r>
          </w:p>
        </w:tc>
        <w:tc>
          <w:tcPr>
            <w:tcW w:w="181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46,710,809.94</w:t>
            </w:r>
            <w:r>
              <w:rPr>
                <w:rFonts w:ascii="Times New Roman"/>
                <w:spacing w:val="-1"/>
                <w:sz w:val="18"/>
              </w:rPr>
            </w:r>
          </w:p>
        </w:tc>
      </w:tr>
    </w:tbl>
    <w:p>
      <w:pPr>
        <w:spacing w:line="324" w:lineRule="auto" w:before="79"/>
        <w:ind w:left="138" w:right="0" w:firstLine="440"/>
        <w:jc w:val="left"/>
        <w:rPr>
          <w:rFonts w:ascii="楷体" w:hAnsi="楷体" w:cs="楷体" w:eastAsia="楷体" w:hint="default"/>
          <w:sz w:val="22"/>
          <w:szCs w:val="22"/>
        </w:rPr>
      </w:pPr>
      <w:r>
        <w:rPr>
          <w:rFonts w:ascii="楷体" w:hAnsi="楷体" w:cs="楷体" w:eastAsia="楷体" w:hint="default"/>
          <w:spacing w:val="4"/>
          <w:sz w:val="22"/>
          <w:szCs w:val="22"/>
        </w:rPr>
        <w:t>土地出让金系本公司之控股子公司泰豪科技股份有限公司的控股子公司衡阳泰豪通信车辆</w:t>
      </w:r>
      <w:r>
        <w:rPr>
          <w:rFonts w:ascii="楷体" w:hAnsi="楷体" w:cs="楷体" w:eastAsia="楷体" w:hint="default"/>
          <w:w w:val="99"/>
          <w:sz w:val="22"/>
          <w:szCs w:val="22"/>
        </w:rPr>
        <w:t> </w:t>
      </w:r>
      <w:r>
        <w:rPr>
          <w:rFonts w:ascii="楷体" w:hAnsi="楷体" w:cs="楷体" w:eastAsia="楷体" w:hint="default"/>
          <w:sz w:val="22"/>
          <w:szCs w:val="22"/>
        </w:rPr>
        <w:t>有限公司应付衡阳市政府的土地出让金等相关费用。</w:t>
      </w:r>
    </w:p>
    <w:p>
      <w:pPr>
        <w:spacing w:line="324" w:lineRule="auto" w:before="103"/>
        <w:ind w:left="138" w:right="0" w:firstLine="440"/>
        <w:jc w:val="left"/>
        <w:rPr>
          <w:rFonts w:ascii="楷体" w:hAnsi="楷体" w:cs="楷体" w:eastAsia="楷体" w:hint="default"/>
          <w:sz w:val="22"/>
          <w:szCs w:val="22"/>
        </w:rPr>
      </w:pPr>
      <w:r>
        <w:rPr>
          <w:rFonts w:ascii="楷体" w:hAnsi="楷体" w:cs="楷体" w:eastAsia="楷体" w:hint="default"/>
          <w:spacing w:val="4"/>
          <w:sz w:val="22"/>
          <w:szCs w:val="22"/>
        </w:rPr>
        <w:t>改制借款系本公司之控股子公司泰豪科技股份有限公司的控股子公司山东吉美乐有限公司</w:t>
      </w:r>
      <w:r>
        <w:rPr>
          <w:rFonts w:ascii="楷体" w:hAnsi="楷体" w:cs="楷体" w:eastAsia="楷体" w:hint="default"/>
          <w:w w:val="99"/>
          <w:sz w:val="22"/>
          <w:szCs w:val="22"/>
        </w:rPr>
        <w:t> </w:t>
      </w:r>
      <w:r>
        <w:rPr>
          <w:rFonts w:ascii="楷体" w:hAnsi="楷体" w:cs="楷体" w:eastAsia="楷体" w:hint="default"/>
          <w:sz w:val="22"/>
          <w:szCs w:val="22"/>
        </w:rPr>
        <w:t>应付济南市国有资产管理委员会的借款。</w:t>
      </w:r>
    </w:p>
    <w:p>
      <w:pPr>
        <w:spacing w:line="324" w:lineRule="auto" w:before="103"/>
        <w:ind w:left="138" w:right="0" w:firstLine="440"/>
        <w:jc w:val="left"/>
        <w:rPr>
          <w:rFonts w:ascii="楷体" w:hAnsi="楷体" w:cs="楷体" w:eastAsia="楷体" w:hint="default"/>
          <w:sz w:val="22"/>
          <w:szCs w:val="22"/>
        </w:rPr>
      </w:pPr>
      <w:r>
        <w:rPr>
          <w:rFonts w:ascii="楷体" w:hAnsi="楷体" w:cs="楷体" w:eastAsia="楷体" w:hint="default"/>
          <w:spacing w:val="4"/>
          <w:sz w:val="22"/>
          <w:szCs w:val="22"/>
        </w:rPr>
        <w:t>军品项目拨款系本公司之子公司同方工业有限公司的子公司江西无线电厂军品短波通信等</w:t>
      </w:r>
      <w:r>
        <w:rPr>
          <w:rFonts w:ascii="楷体" w:hAnsi="楷体" w:cs="楷体" w:eastAsia="楷体" w:hint="default"/>
          <w:w w:val="99"/>
          <w:sz w:val="22"/>
          <w:szCs w:val="22"/>
        </w:rPr>
        <w:t> </w:t>
      </w:r>
      <w:r>
        <w:rPr>
          <w:rFonts w:ascii="楷体" w:hAnsi="楷体" w:cs="楷体" w:eastAsia="楷体" w:hint="default"/>
          <w:sz w:val="22"/>
          <w:szCs w:val="22"/>
        </w:rPr>
        <w:t>项目拨款。</w:t>
      </w:r>
    </w:p>
    <w:p>
      <w:pPr>
        <w:spacing w:before="103"/>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34.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专项应付款</w:t>
      </w:r>
    </w:p>
    <w:p>
      <w:pPr>
        <w:spacing w:after="0"/>
        <w:jc w:val="left"/>
        <w:rPr>
          <w:rFonts w:ascii="楷体" w:hAnsi="楷体" w:cs="楷体" w:eastAsia="楷体" w:hint="default"/>
          <w:sz w:val="22"/>
          <w:szCs w:val="22"/>
        </w:rPr>
        <w:sectPr>
          <w:pgSz w:w="11910" w:h="16840"/>
          <w:pgMar w:header="610" w:footer="784" w:top="1080" w:bottom="980" w:left="1280" w:right="1140"/>
        </w:sectPr>
      </w:pPr>
    </w:p>
    <w:p>
      <w:pPr>
        <w:spacing w:line="240" w:lineRule="auto" w:before="0"/>
        <w:rPr>
          <w:rFonts w:ascii="楷体" w:hAnsi="楷体" w:cs="楷体" w:eastAsia="楷体" w:hint="default"/>
          <w:sz w:val="20"/>
          <w:szCs w:val="20"/>
        </w:rPr>
      </w:pPr>
      <w:r>
        <w:rPr/>
        <w:pict>
          <v:shape style="position:absolute;margin-left:84.120003pt;margin-top:85.830002pt;width:433pt;height:680.35pt;mso-position-horizontal-relative:page;mso-position-vertical-relative:page;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2"/>
                    <w:gridCol w:w="1873"/>
                    <w:gridCol w:w="1158"/>
                    <w:gridCol w:w="1184"/>
                    <w:gridCol w:w="1251"/>
                  </w:tblGrid>
                  <w:tr>
                    <w:trPr>
                      <w:trHeight w:val="302" w:hRule="exact"/>
                    </w:trPr>
                    <w:tc>
                      <w:tcPr>
                        <w:tcW w:w="319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87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15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18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本年结转</w:t>
                        </w:r>
                        <w:r>
                          <w:rPr>
                            <w:rFonts w:ascii="Microsoft JhengHei" w:hAnsi="Microsoft JhengHei" w:cs="Microsoft JhengHei" w:eastAsia="Microsoft JhengHei" w:hint="default"/>
                            <w:sz w:val="18"/>
                            <w:szCs w:val="18"/>
                          </w:rPr>
                        </w:r>
                      </w:p>
                    </w:tc>
                    <w:tc>
                      <w:tcPr>
                        <w:tcW w:w="12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3192" w:type="dxa"/>
                        <w:tcBorders>
                          <w:top w:val="single" w:sz="4" w:space="0" w:color="000000"/>
                          <w:left w:val="nil" w:sz="6" w:space="0" w:color="auto"/>
                          <w:bottom w:val="nil" w:sz="6" w:space="0" w:color="auto"/>
                          <w:right w:val="nil" w:sz="6" w:space="0" w:color="auto"/>
                        </w:tcBorders>
                      </w:tcPr>
                      <w:p>
                        <w:pPr>
                          <w:pStyle w:val="TableParagraph"/>
                          <w:spacing w:line="226" w:lineRule="exact"/>
                          <w:ind w:left="122" w:right="0"/>
                          <w:jc w:val="left"/>
                          <w:rPr>
                            <w:rFonts w:ascii="楷体" w:hAnsi="楷体" w:cs="楷体" w:eastAsia="楷体" w:hint="default"/>
                            <w:sz w:val="18"/>
                            <w:szCs w:val="18"/>
                          </w:rPr>
                        </w:pPr>
                        <w:r>
                          <w:rPr>
                            <w:rFonts w:ascii="楷体" w:hAnsi="楷体" w:cs="楷体" w:eastAsia="楷体" w:hint="default"/>
                            <w:sz w:val="18"/>
                            <w:szCs w:val="18"/>
                          </w:rPr>
                          <w:t>信息产业部电子基金拨款</w:t>
                        </w:r>
                      </w:p>
                    </w:tc>
                    <w:tc>
                      <w:tcPr>
                        <w:tcW w:w="187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72"/>
                          <w:jc w:val="right"/>
                          <w:rPr>
                            <w:rFonts w:ascii="Times New Roman" w:hAnsi="Times New Roman" w:cs="Times New Roman" w:eastAsia="Times New Roman" w:hint="default"/>
                            <w:sz w:val="18"/>
                            <w:szCs w:val="18"/>
                          </w:rPr>
                        </w:pPr>
                        <w:r>
                          <w:rPr>
                            <w:rFonts w:ascii="Times New Roman"/>
                            <w:spacing w:val="-1"/>
                            <w:sz w:val="18"/>
                          </w:rPr>
                          <w:t>5,300,000.00</w:t>
                        </w:r>
                      </w:p>
                    </w:tc>
                    <w:tc>
                      <w:tcPr>
                        <w:tcW w:w="115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27"/>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5,300,000.00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信息产业部集成电路挖潜改造拨款</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2,000,000.00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北京市经委集成电路设计研发专项基金</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2,000,000.00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科技三项费用</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6,001,000.00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6,001,000.00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天然气制氢及高压氢气加氢站研发</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19,700,000.00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19,700,000.00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数字电视产业化项目资金</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10,500,000.00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数字电视发射、转发及终端设备研制</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5,800,000.00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18"/>
                            <w:szCs w:val="18"/>
                          </w:rPr>
                        </w:pPr>
                        <w:r>
                          <w:rPr>
                            <w:rFonts w:ascii="Times New Roman"/>
                            <w:sz w:val="18"/>
                          </w:rPr>
                          <w:t>150,000.00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5,950,000.00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6" w:lineRule="exact"/>
                          <w:ind w:left="122" w:right="0"/>
                          <w:jc w:val="left"/>
                          <w:rPr>
                            <w:rFonts w:ascii="楷体" w:hAnsi="楷体" w:cs="楷体" w:eastAsia="楷体" w:hint="default"/>
                            <w:sz w:val="18"/>
                            <w:szCs w:val="18"/>
                          </w:rPr>
                        </w:pPr>
                        <w:r>
                          <w:rPr>
                            <w:rFonts w:ascii="楷体" w:hAnsi="楷体" w:cs="楷体" w:eastAsia="楷体" w:hint="default"/>
                            <w:sz w:val="18"/>
                            <w:szCs w:val="18"/>
                          </w:rPr>
                          <w:t>千兆线速防火墙财政拨款</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2"/>
                          <w:jc w:val="right"/>
                          <w:rPr>
                            <w:rFonts w:ascii="Times New Roman" w:hAnsi="Times New Roman" w:cs="Times New Roman" w:eastAsia="Times New Roman" w:hint="default"/>
                            <w:sz w:val="18"/>
                            <w:szCs w:val="18"/>
                          </w:rPr>
                        </w:pPr>
                        <w:r>
                          <w:rPr>
                            <w:rFonts w:ascii="Times New Roman"/>
                            <w:sz w:val="18"/>
                          </w:rPr>
                          <w:t>500,000.00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6"/>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500,000.00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公安部第二代身份证专用芯片技术研究</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1,000,000.00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楷体" w:hAnsi="楷体" w:cs="楷体" w:eastAsia="楷体" w:hint="default"/>
                            <w:sz w:val="18"/>
                            <w:szCs w:val="18"/>
                          </w:rPr>
                        </w:pPr>
                        <w:r>
                          <w:rPr>
                            <w:rFonts w:ascii="楷体" w:hAnsi="楷体" w:cs="楷体" w:eastAsia="楷体" w:hint="default"/>
                            <w:sz w:val="18"/>
                            <w:szCs w:val="18"/>
                          </w:rPr>
                          <w:t>北京市科技委员会</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标签技术研究</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1"/>
                          <w:jc w:val="right"/>
                          <w:rPr>
                            <w:rFonts w:ascii="Times New Roman" w:hAnsi="Times New Roman" w:cs="Times New Roman" w:eastAsia="Times New Roman" w:hint="default"/>
                            <w:sz w:val="18"/>
                            <w:szCs w:val="18"/>
                          </w:rPr>
                        </w:pPr>
                        <w:r>
                          <w:rPr>
                            <w:rFonts w:ascii="Times New Roman"/>
                            <w:sz w:val="18"/>
                          </w:rPr>
                          <w:t>500,000.00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500,000.00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燃煤排放及其前驱体协同脱除技术研发</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1"/>
                          <w:jc w:val="right"/>
                          <w:rPr>
                            <w:rFonts w:ascii="Times New Roman" w:hAnsi="Times New Roman" w:cs="Times New Roman" w:eastAsia="Times New Roman" w:hint="default"/>
                            <w:sz w:val="18"/>
                            <w:szCs w:val="18"/>
                          </w:rPr>
                        </w:pPr>
                        <w:r>
                          <w:rPr>
                            <w:rFonts w:ascii="Times New Roman"/>
                            <w:sz w:val="18"/>
                          </w:rPr>
                          <w:t>400,000.00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400,000.00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楷体" w:hAnsi="楷体" w:cs="楷体" w:eastAsia="楷体" w:hint="default"/>
                            <w:sz w:val="18"/>
                            <w:szCs w:val="18"/>
                          </w:rPr>
                        </w:pPr>
                        <w:r>
                          <w:rPr>
                            <w:rFonts w:ascii="楷体" w:hAnsi="楷体" w:cs="楷体" w:eastAsia="楷体" w:hint="default"/>
                            <w:sz w:val="18"/>
                            <w:szCs w:val="18"/>
                          </w:rPr>
                          <w:t>北京市科学技术委员会长风</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研发</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11,550,000.00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8"/>
                            <w:szCs w:val="18"/>
                          </w:rPr>
                        </w:pPr>
                        <w:r>
                          <w:rPr>
                            <w:rFonts w:ascii="Times New Roman"/>
                            <w:sz w:val="18"/>
                          </w:rPr>
                          <w:t>420,000.00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11,970,000.00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北京市科学技术委员会科研项目补助</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1"/>
                          <w:jc w:val="right"/>
                          <w:rPr>
                            <w:rFonts w:ascii="Times New Roman" w:hAnsi="Times New Roman" w:cs="Times New Roman" w:eastAsia="Times New Roman" w:hint="default"/>
                            <w:sz w:val="18"/>
                            <w:szCs w:val="18"/>
                          </w:rPr>
                        </w:pPr>
                        <w:r>
                          <w:rPr>
                            <w:rFonts w:ascii="Times New Roman"/>
                            <w:sz w:val="18"/>
                          </w:rPr>
                          <w:t>500,000.00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500,000.00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6" w:lineRule="exact"/>
                          <w:ind w:left="122" w:right="0"/>
                          <w:jc w:val="left"/>
                          <w:rPr>
                            <w:rFonts w:ascii="楷体" w:hAnsi="楷体" w:cs="楷体" w:eastAsia="楷体" w:hint="default"/>
                            <w:sz w:val="18"/>
                            <w:szCs w:val="18"/>
                          </w:rPr>
                        </w:pPr>
                        <w:r>
                          <w:rPr>
                            <w:rFonts w:ascii="楷体" w:hAnsi="楷体" w:cs="楷体" w:eastAsia="楷体" w:hint="default"/>
                            <w:sz w:val="18"/>
                            <w:szCs w:val="18"/>
                          </w:rPr>
                          <w:t>北京工促局非接触式智能卡项目补助</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2"/>
                          <w:jc w:val="right"/>
                          <w:rPr>
                            <w:rFonts w:ascii="Times New Roman" w:hAnsi="Times New Roman" w:cs="Times New Roman" w:eastAsia="Times New Roman" w:hint="default"/>
                            <w:sz w:val="18"/>
                            <w:szCs w:val="18"/>
                          </w:rPr>
                        </w:pPr>
                        <w:r>
                          <w:rPr>
                            <w:rFonts w:ascii="Times New Roman"/>
                            <w:spacing w:val="-1"/>
                            <w:sz w:val="18"/>
                          </w:rPr>
                          <w:t>1,000,000.00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7"/>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新型液体安全检查系统</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1"/>
                          <w:jc w:val="right"/>
                          <w:rPr>
                            <w:rFonts w:ascii="Times New Roman" w:hAnsi="Times New Roman" w:cs="Times New Roman" w:eastAsia="Times New Roman" w:hint="default"/>
                            <w:sz w:val="18"/>
                            <w:szCs w:val="18"/>
                          </w:rPr>
                        </w:pPr>
                        <w:r>
                          <w:rPr>
                            <w:rFonts w:ascii="Times New Roman"/>
                            <w:sz w:val="18"/>
                          </w:rPr>
                          <w:t>700,000.00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700,000.00</w:t>
                        </w:r>
                      </w:p>
                    </w:tc>
                  </w:tr>
                  <w:tr>
                    <w:trPr>
                      <w:trHeight w:val="236"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国际化经营促进资金</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1"/>
                          <w:jc w:val="right"/>
                          <w:rPr>
                            <w:rFonts w:ascii="Times New Roman" w:hAnsi="Times New Roman" w:cs="Times New Roman" w:eastAsia="Times New Roman" w:hint="default"/>
                            <w:sz w:val="18"/>
                            <w:szCs w:val="18"/>
                          </w:rPr>
                        </w:pPr>
                        <w:r>
                          <w:rPr>
                            <w:rFonts w:ascii="Times New Roman"/>
                            <w:sz w:val="18"/>
                          </w:rPr>
                          <w:t>700,000.00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700,000.00</w:t>
                        </w:r>
                      </w:p>
                    </w:tc>
                  </w:tr>
                  <w:tr>
                    <w:trPr>
                      <w:trHeight w:val="243" w:hRule="exact"/>
                    </w:trPr>
                    <w:tc>
                      <w:tcPr>
                        <w:tcW w:w="5065"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楷体" w:hAnsi="楷体" w:cs="楷体" w:eastAsia="楷体" w:hint="default"/>
                            <w:sz w:val="18"/>
                            <w:szCs w:val="18"/>
                          </w:rPr>
                        </w:pPr>
                        <w:r>
                          <w:rPr>
                            <w:rFonts w:ascii="楷体" w:hAnsi="楷体" w:cs="楷体" w:eastAsia="楷体" w:hint="default"/>
                            <w:spacing w:val="8"/>
                            <w:sz w:val="18"/>
                            <w:szCs w:val="18"/>
                          </w:rPr>
                          <w:t>放射性治疗及与影像定位一体化技术装置</w:t>
                        </w:r>
                        <w:r>
                          <w:rPr>
                            <w:rFonts w:ascii="楷体" w:hAnsi="楷体" w:cs="楷体" w:eastAsia="楷体" w:hint="default"/>
                            <w:sz w:val="18"/>
                            <w:szCs w:val="18"/>
                          </w:rPr>
                        </w:r>
                      </w:p>
                    </w:tc>
                    <w:tc>
                      <w:tcPr>
                        <w:tcW w:w="1158"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r>
                  <w:tr>
                    <w:trPr>
                      <w:trHeight w:val="220"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180" w:lineRule="exact"/>
                          <w:ind w:left="122" w:right="0"/>
                          <w:jc w:val="left"/>
                          <w:rPr>
                            <w:rFonts w:ascii="楷体" w:hAnsi="楷体" w:cs="楷体" w:eastAsia="楷体" w:hint="default"/>
                            <w:sz w:val="18"/>
                            <w:szCs w:val="18"/>
                          </w:rPr>
                        </w:pPr>
                        <w:r>
                          <w:rPr>
                            <w:rFonts w:ascii="楷体" w:hAnsi="楷体" w:cs="楷体" w:eastAsia="楷体" w:hint="default"/>
                            <w:sz w:val="18"/>
                            <w:szCs w:val="18"/>
                          </w:rPr>
                          <w:t>研制</w:t>
                        </w:r>
                      </w:p>
                    </w:tc>
                    <w:tc>
                      <w:tcPr>
                        <w:tcW w:w="5467" w:type="dxa"/>
                        <w:gridSpan w:val="4"/>
                        <w:tcBorders>
                          <w:top w:val="nil" w:sz="6" w:space="0" w:color="auto"/>
                          <w:left w:val="nil" w:sz="6" w:space="0" w:color="auto"/>
                          <w:bottom w:val="nil" w:sz="6" w:space="0" w:color="auto"/>
                          <w:right w:val="nil" w:sz="6" w:space="0" w:color="auto"/>
                        </w:tcBorders>
                      </w:tcPr>
                      <w:p>
                        <w:pPr/>
                      </w:p>
                    </w:tc>
                  </w:tr>
                  <w:tr>
                    <w:trPr>
                      <w:trHeight w:val="266"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楷体" w:hAnsi="楷体" w:cs="楷体" w:eastAsia="楷体" w:hint="default"/>
                            <w:sz w:val="18"/>
                            <w:szCs w:val="18"/>
                          </w:rPr>
                        </w:pPr>
                        <w:r>
                          <w:rPr>
                            <w:rFonts w:ascii="楷体" w:hAnsi="楷体" w:cs="楷体" w:eastAsia="楷体" w:hint="default"/>
                            <w:sz w:val="18"/>
                            <w:szCs w:val="18"/>
                          </w:rPr>
                          <w:t>海量数据存储管理系统</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2587" w:val="left" w:leader="none"/>
                            <w:tab w:pos="3790" w:val="left" w:leader="none"/>
                            <w:tab w:pos="4413" w:val="left" w:leader="none"/>
                          </w:tabs>
                          <w:spacing w:line="240" w:lineRule="auto" w:before="16"/>
                          <w:ind w:left="753" w:right="0"/>
                          <w:jc w:val="left"/>
                          <w:rPr>
                            <w:rFonts w:ascii="Times New Roman" w:hAnsi="Times New Roman" w:cs="Times New Roman" w:eastAsia="Times New Roman" w:hint="default"/>
                            <w:sz w:val="18"/>
                            <w:szCs w:val="18"/>
                          </w:rPr>
                        </w:pPr>
                        <w:r>
                          <w:rPr>
                            <w:rFonts w:ascii="Times New Roman"/>
                            <w:spacing w:val="-1"/>
                            <w:sz w:val="18"/>
                          </w:rPr>
                          <w:t>1,500,000.00</w:t>
                          <w:tab/>
                        </w:r>
                        <w:r>
                          <w:rPr>
                            <w:rFonts w:ascii="Times New Roman"/>
                            <w:sz w:val="18"/>
                          </w:rPr>
                          <w:t>0.00</w:t>
                          <w:tab/>
                          <w:t>0.00</w:t>
                          <w:tab/>
                        </w:r>
                        <w:r>
                          <w:rPr>
                            <w:rFonts w:ascii="Times New Roman"/>
                            <w:spacing w:val="-1"/>
                            <w:sz w:val="18"/>
                          </w:rPr>
                          <w:t>1,500,000.00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北京科委科技专项资金</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2587" w:val="left" w:leader="none"/>
                            <w:tab w:pos="3790" w:val="left" w:leader="none"/>
                            <w:tab w:pos="4548" w:val="left" w:leader="none"/>
                          </w:tabs>
                          <w:spacing w:line="240" w:lineRule="auto" w:before="33"/>
                          <w:ind w:left="888" w:right="0"/>
                          <w:jc w:val="left"/>
                          <w:rPr>
                            <w:rFonts w:ascii="Times New Roman" w:hAnsi="Times New Roman" w:cs="Times New Roman" w:eastAsia="Times New Roman" w:hint="default"/>
                            <w:sz w:val="18"/>
                            <w:szCs w:val="18"/>
                          </w:rPr>
                        </w:pPr>
                        <w:r>
                          <w:rPr>
                            <w:rFonts w:ascii="Times New Roman"/>
                            <w:sz w:val="18"/>
                          </w:rPr>
                          <w:t>800,000.00</w:t>
                          <w:tab/>
                          <w:t>0.00</w:t>
                          <w:tab/>
                          <w:t>0.00</w:t>
                          <w:tab/>
                          <w:t>800,000.00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国资委科技专项资金</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2587" w:val="left" w:leader="none"/>
                            <w:tab w:pos="3790" w:val="left" w:leader="none"/>
                            <w:tab w:pos="4413" w:val="left" w:leader="none"/>
                          </w:tabs>
                          <w:spacing w:line="240" w:lineRule="auto" w:before="33"/>
                          <w:ind w:left="753" w:right="0"/>
                          <w:jc w:val="left"/>
                          <w:rPr>
                            <w:rFonts w:ascii="Times New Roman" w:hAnsi="Times New Roman" w:cs="Times New Roman" w:eastAsia="Times New Roman" w:hint="default"/>
                            <w:sz w:val="18"/>
                            <w:szCs w:val="18"/>
                          </w:rPr>
                        </w:pPr>
                        <w:r>
                          <w:rPr>
                            <w:rFonts w:ascii="Times New Roman"/>
                            <w:spacing w:val="-1"/>
                            <w:sz w:val="18"/>
                          </w:rPr>
                          <w:t>5,000,000.00</w:t>
                          <w:tab/>
                        </w:r>
                        <w:r>
                          <w:rPr>
                            <w:rFonts w:ascii="Times New Roman"/>
                            <w:sz w:val="18"/>
                          </w:rPr>
                          <w:t>0.00</w:t>
                          <w:tab/>
                          <w:t>0.00</w:t>
                          <w:tab/>
                        </w:r>
                        <w:r>
                          <w:rPr>
                            <w:rFonts w:ascii="Times New Roman"/>
                            <w:spacing w:val="-1"/>
                            <w:sz w:val="18"/>
                          </w:rPr>
                          <w:t>5,000,000.00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海淀区财政局专项拨款</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2091" w:val="left" w:leader="none"/>
                            <w:tab w:pos="3790" w:val="left" w:leader="none"/>
                            <w:tab w:pos="4413" w:val="left" w:leader="none"/>
                          </w:tabs>
                          <w:spacing w:line="240" w:lineRule="auto" w:before="33"/>
                          <w:ind w:left="753" w:right="0"/>
                          <w:jc w:val="left"/>
                          <w:rPr>
                            <w:rFonts w:ascii="Times New Roman" w:hAnsi="Times New Roman" w:cs="Times New Roman" w:eastAsia="Times New Roman" w:hint="default"/>
                            <w:sz w:val="18"/>
                            <w:szCs w:val="18"/>
                          </w:rPr>
                        </w:pPr>
                        <w:r>
                          <w:rPr>
                            <w:rFonts w:ascii="Times New Roman"/>
                            <w:spacing w:val="-1"/>
                            <w:sz w:val="18"/>
                          </w:rPr>
                          <w:t>1,400,000.00</w:t>
                          <w:tab/>
                        </w:r>
                        <w:r>
                          <w:rPr>
                            <w:rFonts w:ascii="Times New Roman"/>
                            <w:sz w:val="18"/>
                          </w:rPr>
                          <w:t>600,000.00</w:t>
                          <w:tab/>
                          <w:t>0.00</w:t>
                          <w:tab/>
                        </w:r>
                        <w:r>
                          <w:rPr>
                            <w:rFonts w:ascii="Times New Roman"/>
                            <w:spacing w:val="-1"/>
                            <w:sz w:val="18"/>
                          </w:rPr>
                          <w:t>2,000,000.00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北京工促局拨款</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2587" w:val="left" w:leader="none"/>
                            <w:tab w:pos="3790" w:val="left" w:leader="none"/>
                            <w:tab w:pos="4413" w:val="left" w:leader="none"/>
                          </w:tabs>
                          <w:spacing w:line="240" w:lineRule="auto" w:before="33"/>
                          <w:ind w:left="753" w:right="0"/>
                          <w:jc w:val="left"/>
                          <w:rPr>
                            <w:rFonts w:ascii="Times New Roman" w:hAnsi="Times New Roman" w:cs="Times New Roman" w:eastAsia="Times New Roman" w:hint="default"/>
                            <w:sz w:val="18"/>
                            <w:szCs w:val="18"/>
                          </w:rPr>
                        </w:pPr>
                        <w:r>
                          <w:rPr>
                            <w:rFonts w:ascii="Times New Roman"/>
                            <w:spacing w:val="-1"/>
                            <w:sz w:val="18"/>
                          </w:rPr>
                          <w:t>1,000,000.00</w:t>
                          <w:tab/>
                        </w:r>
                        <w:r>
                          <w:rPr>
                            <w:rFonts w:ascii="Times New Roman"/>
                            <w:sz w:val="18"/>
                          </w:rPr>
                          <w:t>0.00</w:t>
                          <w:tab/>
                          <w:t>0.00</w:t>
                          <w:tab/>
                        </w:r>
                        <w:r>
                          <w:rPr>
                            <w:rFonts w:ascii="Times New Roman"/>
                            <w:spacing w:val="-1"/>
                            <w:sz w:val="18"/>
                          </w:rPr>
                          <w:t>1,000,000.00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6" w:lineRule="exact"/>
                          <w:ind w:left="122" w:right="0"/>
                          <w:jc w:val="left"/>
                          <w:rPr>
                            <w:rFonts w:ascii="楷体" w:hAnsi="楷体" w:cs="楷体" w:eastAsia="楷体" w:hint="default"/>
                            <w:sz w:val="18"/>
                            <w:szCs w:val="18"/>
                          </w:rPr>
                        </w:pPr>
                        <w:r>
                          <w:rPr>
                            <w:rFonts w:ascii="楷体" w:hAnsi="楷体" w:cs="楷体" w:eastAsia="楷体" w:hint="default"/>
                            <w:sz w:val="18"/>
                            <w:szCs w:val="18"/>
                          </w:rPr>
                          <w:t>信息产业部发展基金计划项目经费</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2587" w:val="left" w:leader="none"/>
                            <w:tab w:pos="3790" w:val="left" w:leader="none"/>
                            <w:tab w:pos="4413" w:val="left" w:leader="none"/>
                          </w:tabs>
                          <w:spacing w:line="240" w:lineRule="auto" w:before="32"/>
                          <w:ind w:left="753" w:right="0"/>
                          <w:jc w:val="left"/>
                          <w:rPr>
                            <w:rFonts w:ascii="Times New Roman" w:hAnsi="Times New Roman" w:cs="Times New Roman" w:eastAsia="Times New Roman" w:hint="default"/>
                            <w:sz w:val="18"/>
                            <w:szCs w:val="18"/>
                          </w:rPr>
                        </w:pPr>
                        <w:r>
                          <w:rPr>
                            <w:rFonts w:ascii="Times New Roman"/>
                            <w:spacing w:val="-1"/>
                            <w:sz w:val="18"/>
                          </w:rPr>
                          <w:t>3,000,000.00</w:t>
                          <w:tab/>
                        </w:r>
                        <w:r>
                          <w:rPr>
                            <w:rFonts w:ascii="Times New Roman"/>
                            <w:sz w:val="18"/>
                          </w:rPr>
                          <w:t>0.00</w:t>
                          <w:tab/>
                          <w:t>0.00</w:t>
                          <w:tab/>
                        </w:r>
                        <w:r>
                          <w:rPr>
                            <w:rFonts w:ascii="Times New Roman"/>
                            <w:spacing w:val="-1"/>
                            <w:sz w:val="18"/>
                          </w:rPr>
                          <w:t>3,000,000.00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信息产业部集成电路专项款</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2587" w:val="left" w:leader="none"/>
                            <w:tab w:pos="3790" w:val="left" w:leader="none"/>
                            <w:tab w:pos="4413" w:val="left" w:leader="none"/>
                          </w:tabs>
                          <w:spacing w:line="240" w:lineRule="auto" w:before="33"/>
                          <w:ind w:left="753" w:right="0"/>
                          <w:jc w:val="left"/>
                          <w:rPr>
                            <w:rFonts w:ascii="Times New Roman" w:hAnsi="Times New Roman" w:cs="Times New Roman" w:eastAsia="Times New Roman" w:hint="default"/>
                            <w:sz w:val="18"/>
                            <w:szCs w:val="18"/>
                          </w:rPr>
                        </w:pPr>
                        <w:r>
                          <w:rPr>
                            <w:rFonts w:ascii="Times New Roman"/>
                            <w:spacing w:val="-1"/>
                            <w:sz w:val="18"/>
                          </w:rPr>
                          <w:t>8,000,000.00</w:t>
                          <w:tab/>
                        </w:r>
                        <w:r>
                          <w:rPr>
                            <w:rFonts w:ascii="Times New Roman"/>
                            <w:sz w:val="18"/>
                          </w:rPr>
                          <w:t>0.00</w:t>
                          <w:tab/>
                          <w:t>0.00</w:t>
                          <w:tab/>
                        </w:r>
                        <w:r>
                          <w:rPr>
                            <w:rFonts w:ascii="Times New Roman"/>
                            <w:spacing w:val="-1"/>
                            <w:sz w:val="18"/>
                          </w:rPr>
                          <w:t>8,000,000.00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清芯光电专项拨款</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2587" w:val="left" w:leader="none"/>
                            <w:tab w:pos="3790" w:val="left" w:leader="none"/>
                            <w:tab w:pos="4413" w:val="left" w:leader="none"/>
                          </w:tabs>
                          <w:spacing w:line="240" w:lineRule="auto" w:before="33"/>
                          <w:ind w:left="753" w:right="0"/>
                          <w:jc w:val="left"/>
                          <w:rPr>
                            <w:rFonts w:ascii="Times New Roman" w:hAnsi="Times New Roman" w:cs="Times New Roman" w:eastAsia="Times New Roman" w:hint="default"/>
                            <w:sz w:val="18"/>
                            <w:szCs w:val="18"/>
                          </w:rPr>
                        </w:pPr>
                        <w:r>
                          <w:rPr>
                            <w:rFonts w:ascii="Times New Roman"/>
                            <w:spacing w:val="-1"/>
                            <w:sz w:val="18"/>
                          </w:rPr>
                          <w:t>1,000,000.00</w:t>
                          <w:tab/>
                        </w:r>
                        <w:r>
                          <w:rPr>
                            <w:rFonts w:ascii="Times New Roman"/>
                            <w:sz w:val="18"/>
                          </w:rPr>
                          <w:t>0.00</w:t>
                          <w:tab/>
                          <w:t>0.00</w:t>
                          <w:tab/>
                        </w:r>
                        <w:r>
                          <w:rPr>
                            <w:rFonts w:ascii="Times New Roman"/>
                            <w:spacing w:val="-1"/>
                            <w:sz w:val="18"/>
                          </w:rPr>
                          <w:t>1,000,000.00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楷体" w:hAnsi="楷体" w:cs="楷体" w:eastAsia="楷体" w:hint="default"/>
                            <w:sz w:val="18"/>
                            <w:szCs w:val="18"/>
                          </w:rPr>
                        </w:pPr>
                        <w:r>
                          <w:rPr>
                            <w:rFonts w:ascii="楷体" w:hAnsi="楷体" w:cs="楷体" w:eastAsia="楷体" w:hint="default"/>
                            <w:sz w:val="18"/>
                            <w:szCs w:val="18"/>
                          </w:rPr>
                          <w:t>军方</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项目</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2091" w:val="left" w:leader="none"/>
                            <w:tab w:pos="3790" w:val="left" w:leader="none"/>
                            <w:tab w:pos="4548" w:val="left" w:leader="none"/>
                          </w:tabs>
                          <w:spacing w:line="240" w:lineRule="auto" w:before="33"/>
                          <w:ind w:left="1384" w:right="0"/>
                          <w:jc w:val="left"/>
                          <w:rPr>
                            <w:rFonts w:ascii="Times New Roman" w:hAnsi="Times New Roman" w:cs="Times New Roman" w:eastAsia="Times New Roman" w:hint="default"/>
                            <w:sz w:val="18"/>
                            <w:szCs w:val="18"/>
                          </w:rPr>
                        </w:pPr>
                        <w:r>
                          <w:rPr>
                            <w:rFonts w:ascii="Times New Roman"/>
                            <w:sz w:val="18"/>
                          </w:rPr>
                          <w:t>0.00</w:t>
                          <w:tab/>
                          <w:t>104,400.40</w:t>
                          <w:tab/>
                          <w:t>0.00</w:t>
                          <w:tab/>
                          <w:t>104,400.40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楷体" w:hAnsi="楷体" w:cs="楷体" w:eastAsia="楷体" w:hint="default"/>
                            <w:sz w:val="18"/>
                            <w:szCs w:val="18"/>
                          </w:rPr>
                        </w:pPr>
                        <w:r>
                          <w:rPr>
                            <w:rFonts w:ascii="楷体" w:hAnsi="楷体" w:cs="楷体" w:eastAsia="楷体" w:hint="default"/>
                            <w:sz w:val="18"/>
                            <w:szCs w:val="18"/>
                          </w:rPr>
                          <w:t>科学技术部</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经费</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2091" w:val="left" w:leader="none"/>
                            <w:tab w:pos="3791" w:val="left" w:leader="none"/>
                            <w:tab w:pos="4548" w:val="left" w:leader="none"/>
                          </w:tabs>
                          <w:spacing w:line="240" w:lineRule="auto" w:before="33"/>
                          <w:ind w:left="1384" w:right="0"/>
                          <w:jc w:val="left"/>
                          <w:rPr>
                            <w:rFonts w:ascii="Times New Roman" w:hAnsi="Times New Roman" w:cs="Times New Roman" w:eastAsia="Times New Roman" w:hint="default"/>
                            <w:sz w:val="18"/>
                            <w:szCs w:val="18"/>
                          </w:rPr>
                        </w:pPr>
                        <w:r>
                          <w:rPr>
                            <w:rFonts w:ascii="Times New Roman"/>
                            <w:sz w:val="18"/>
                          </w:rPr>
                          <w:t>0.00</w:t>
                          <w:tab/>
                          <w:t>700,000.00</w:t>
                          <w:tab/>
                          <w:t>0.00</w:t>
                          <w:tab/>
                          <w:t>700,000.00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工业和信息化部</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1957" w:val="left" w:leader="none"/>
                            <w:tab w:pos="3790" w:val="left" w:leader="none"/>
                            <w:tab w:pos="4413" w:val="left" w:leader="none"/>
                          </w:tabs>
                          <w:spacing w:line="240" w:lineRule="auto" w:before="33"/>
                          <w:ind w:left="1384" w:right="0"/>
                          <w:jc w:val="left"/>
                          <w:rPr>
                            <w:rFonts w:ascii="Times New Roman" w:hAnsi="Times New Roman" w:cs="Times New Roman" w:eastAsia="Times New Roman" w:hint="default"/>
                            <w:sz w:val="18"/>
                            <w:szCs w:val="18"/>
                          </w:rPr>
                        </w:pPr>
                        <w:r>
                          <w:rPr>
                            <w:rFonts w:ascii="Times New Roman"/>
                            <w:sz w:val="18"/>
                          </w:rPr>
                          <w:t>0.00</w:t>
                          <w:tab/>
                        </w:r>
                        <w:r>
                          <w:rPr>
                            <w:rFonts w:ascii="Times New Roman"/>
                            <w:spacing w:val="-1"/>
                            <w:sz w:val="18"/>
                          </w:rPr>
                          <w:t>6,000,000.00</w:t>
                          <w:tab/>
                        </w:r>
                        <w:r>
                          <w:rPr>
                            <w:rFonts w:ascii="Times New Roman"/>
                            <w:sz w:val="18"/>
                          </w:rPr>
                          <w:t>0.00</w:t>
                          <w:tab/>
                        </w:r>
                        <w:r>
                          <w:rPr>
                            <w:rFonts w:ascii="Times New Roman"/>
                            <w:spacing w:val="-1"/>
                            <w:sz w:val="18"/>
                          </w:rPr>
                          <w:t>6,000,000.00</w:t>
                        </w:r>
                      </w:p>
                    </w:tc>
                  </w:tr>
                  <w:tr>
                    <w:trPr>
                      <w:trHeight w:val="283" w:hRule="exact"/>
                    </w:trPr>
                    <w:tc>
                      <w:tcPr>
                        <w:tcW w:w="3192" w:type="dxa"/>
                        <w:tcBorders>
                          <w:top w:val="nil" w:sz="6" w:space="0" w:color="auto"/>
                          <w:left w:val="nil" w:sz="6" w:space="0" w:color="auto"/>
                          <w:bottom w:val="nil" w:sz="6" w:space="0" w:color="auto"/>
                          <w:right w:val="nil" w:sz="6" w:space="0" w:color="auto"/>
                        </w:tcBorders>
                      </w:tcPr>
                      <w:p>
                        <w:pPr>
                          <w:pStyle w:val="TableParagraph"/>
                          <w:spacing w:line="226" w:lineRule="exact"/>
                          <w:ind w:left="122" w:right="0"/>
                          <w:jc w:val="left"/>
                          <w:rPr>
                            <w:rFonts w:ascii="楷体" w:hAnsi="楷体" w:cs="楷体" w:eastAsia="楷体" w:hint="default"/>
                            <w:sz w:val="18"/>
                            <w:szCs w:val="18"/>
                          </w:rPr>
                        </w:pPr>
                        <w:r>
                          <w:rPr>
                            <w:rFonts w:ascii="楷体" w:hAnsi="楷体" w:cs="楷体" w:eastAsia="楷体" w:hint="default"/>
                            <w:sz w:val="18"/>
                            <w:szCs w:val="18"/>
                          </w:rPr>
                          <w:t>信息产业部电子工业标准化研究所</w:t>
                        </w:r>
                      </w:p>
                    </w:tc>
                    <w:tc>
                      <w:tcPr>
                        <w:tcW w:w="5467" w:type="dxa"/>
                        <w:gridSpan w:val="4"/>
                        <w:tcBorders>
                          <w:top w:val="nil" w:sz="6" w:space="0" w:color="auto"/>
                          <w:left w:val="nil" w:sz="6" w:space="0" w:color="auto"/>
                          <w:bottom w:val="nil" w:sz="6" w:space="0" w:color="auto"/>
                          <w:right w:val="nil" w:sz="6" w:space="0" w:color="auto"/>
                        </w:tcBorders>
                      </w:tcPr>
                      <w:p>
                        <w:pPr>
                          <w:pStyle w:val="TableParagraph"/>
                          <w:tabs>
                            <w:tab w:pos="2091" w:val="left" w:leader="none"/>
                            <w:tab w:pos="3295" w:val="left" w:leader="none"/>
                            <w:tab w:pos="5043" w:val="left" w:leader="none"/>
                          </w:tabs>
                          <w:spacing w:line="240" w:lineRule="auto" w:before="32"/>
                          <w:ind w:left="1384" w:right="0"/>
                          <w:jc w:val="left"/>
                          <w:rPr>
                            <w:rFonts w:ascii="Times New Roman" w:hAnsi="Times New Roman" w:cs="Times New Roman" w:eastAsia="Times New Roman" w:hint="default"/>
                            <w:sz w:val="18"/>
                            <w:szCs w:val="18"/>
                          </w:rPr>
                        </w:pPr>
                        <w:r>
                          <w:rPr>
                            <w:rFonts w:ascii="Times New Roman"/>
                            <w:sz w:val="18"/>
                          </w:rPr>
                          <w:t>0.00</w:t>
                          <w:tab/>
                          <w:t>400,000.00</w:t>
                          <w:tab/>
                          <w:t>400,000.00</w:t>
                          <w:tab/>
                          <w:t>0.00</w:t>
                        </w:r>
                      </w:p>
                    </w:tc>
                  </w:tr>
                  <w:tr>
                    <w:trPr>
                      <w:trHeight w:val="290" w:hRule="exact"/>
                    </w:trPr>
                    <w:tc>
                      <w:tcPr>
                        <w:tcW w:w="3192" w:type="dxa"/>
                        <w:tcBorders>
                          <w:top w:val="nil" w:sz="6" w:space="0" w:color="auto"/>
                          <w:left w:val="nil" w:sz="6" w:space="0" w:color="auto"/>
                          <w:bottom w:val="single" w:sz="4" w:space="0" w:color="000000"/>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5467" w:type="dxa"/>
                        <w:gridSpan w:val="4"/>
                        <w:tcBorders>
                          <w:top w:val="nil" w:sz="6" w:space="0" w:color="auto"/>
                          <w:left w:val="nil" w:sz="6" w:space="0" w:color="auto"/>
                          <w:bottom w:val="single" w:sz="4" w:space="0" w:color="000000"/>
                          <w:right w:val="nil" w:sz="6" w:space="0" w:color="auto"/>
                        </w:tcBorders>
                      </w:tcPr>
                      <w:p>
                        <w:pPr>
                          <w:pStyle w:val="TableParagraph"/>
                          <w:tabs>
                            <w:tab w:pos="2587" w:val="left" w:leader="none"/>
                            <w:tab w:pos="3160" w:val="left" w:leader="none"/>
                            <w:tab w:pos="4413" w:val="left" w:leader="none"/>
                          </w:tabs>
                          <w:spacing w:line="240" w:lineRule="auto" w:before="33"/>
                          <w:ind w:left="754" w:right="0"/>
                          <w:jc w:val="left"/>
                          <w:rPr>
                            <w:rFonts w:ascii="Times New Roman" w:hAnsi="Times New Roman" w:cs="Times New Roman" w:eastAsia="Times New Roman" w:hint="default"/>
                            <w:sz w:val="18"/>
                            <w:szCs w:val="18"/>
                          </w:rPr>
                        </w:pPr>
                        <w:r>
                          <w:rPr>
                            <w:rFonts w:ascii="Times New Roman"/>
                            <w:spacing w:val="-1"/>
                            <w:sz w:val="18"/>
                          </w:rPr>
                          <w:t>6,274,254.52</w:t>
                          <w:tab/>
                        </w:r>
                        <w:r>
                          <w:rPr>
                            <w:rFonts w:ascii="Times New Roman"/>
                            <w:sz w:val="18"/>
                          </w:rPr>
                          <w:t>0.00</w:t>
                          <w:tab/>
                        </w:r>
                        <w:r>
                          <w:rPr>
                            <w:rFonts w:ascii="Times New Roman"/>
                            <w:spacing w:val="-1"/>
                            <w:sz w:val="18"/>
                          </w:rPr>
                          <w:t>1,071,930.51</w:t>
                          <w:tab/>
                          <w:t>5,202,324.01</w:t>
                        </w:r>
                      </w:p>
                    </w:tc>
                  </w:tr>
                  <w:tr>
                    <w:trPr>
                      <w:trHeight w:val="303" w:hRule="exact"/>
                    </w:trPr>
                    <w:tc>
                      <w:tcPr>
                        <w:tcW w:w="3192" w:type="dxa"/>
                        <w:tcBorders>
                          <w:top w:val="single" w:sz="4" w:space="0" w:color="000000"/>
                          <w:left w:val="nil" w:sz="6" w:space="0" w:color="auto"/>
                          <w:bottom w:val="single" w:sz="12" w:space="0" w:color="000000"/>
                          <w:right w:val="nil" w:sz="6" w:space="0" w:color="auto"/>
                        </w:tcBorders>
                      </w:tcPr>
                      <w:p>
                        <w:pPr>
                          <w:pStyle w:val="TableParagraph"/>
                          <w:spacing w:line="245"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5467" w:type="dxa"/>
                        <w:gridSpan w:val="4"/>
                        <w:tcBorders>
                          <w:top w:val="single" w:sz="4" w:space="0" w:color="000000"/>
                          <w:left w:val="nil" w:sz="6" w:space="0" w:color="auto"/>
                          <w:bottom w:val="single" w:sz="12" w:space="0" w:color="000000"/>
                          <w:right w:val="nil" w:sz="6" w:space="0" w:color="auto"/>
                        </w:tcBorders>
                      </w:tcPr>
                      <w:p>
                        <w:pPr>
                          <w:pStyle w:val="TableParagraph"/>
                          <w:tabs>
                            <w:tab w:pos="1957" w:val="left" w:leader="none"/>
                            <w:tab w:pos="3161" w:val="left" w:leader="none"/>
                            <w:tab w:pos="4324" w:val="left" w:leader="none"/>
                          </w:tabs>
                          <w:spacing w:line="240" w:lineRule="auto" w:before="31"/>
                          <w:ind w:left="664" w:right="0"/>
                          <w:jc w:val="left"/>
                          <w:rPr>
                            <w:rFonts w:ascii="Times New Roman" w:hAnsi="Times New Roman" w:cs="Times New Roman" w:eastAsia="Times New Roman" w:hint="default"/>
                            <w:sz w:val="18"/>
                            <w:szCs w:val="18"/>
                          </w:rPr>
                        </w:pPr>
                        <w:r>
                          <w:rPr>
                            <w:rFonts w:ascii="Times New Roman"/>
                            <w:b/>
                            <w:spacing w:val="-1"/>
                            <w:sz w:val="18"/>
                          </w:rPr>
                          <w:t>96,725,254.52</w:t>
                          <w:tab/>
                          <w:t>8,374,400.40</w:t>
                          <w:tab/>
                          <w:t>8,472,930.51</w:t>
                          <w:tab/>
                          <w:t>96,626,724.41</w:t>
                        </w:r>
                        <w:r>
                          <w:rPr>
                            <w:rFonts w:ascii="Times New Roman"/>
                            <w:spacing w:val="-1"/>
                            <w:sz w:val="18"/>
                          </w:rPr>
                        </w:r>
                      </w:p>
                    </w:tc>
                  </w:tr>
                  <w:tr>
                    <w:trPr>
                      <w:trHeight w:val="576" w:hRule="exact"/>
                    </w:trPr>
                    <w:tc>
                      <w:tcPr>
                        <w:tcW w:w="31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6"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35.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预计负债</w:t>
                        </w:r>
                      </w:p>
                    </w:tc>
                    <w:tc>
                      <w:tcPr>
                        <w:tcW w:w="5467" w:type="dxa"/>
                        <w:gridSpan w:val="4"/>
                        <w:tcBorders>
                          <w:top w:val="single" w:sz="12" w:space="0" w:color="000000"/>
                          <w:left w:val="nil" w:sz="6" w:space="0" w:color="auto"/>
                          <w:bottom w:val="single" w:sz="12" w:space="0" w:color="000000"/>
                          <w:right w:val="nil" w:sz="6" w:space="0" w:color="auto"/>
                        </w:tcBorders>
                      </w:tcPr>
                      <w:p>
                        <w:pPr/>
                      </w:p>
                    </w:tc>
                  </w:tr>
                  <w:tr>
                    <w:trPr>
                      <w:trHeight w:val="303" w:hRule="exact"/>
                    </w:trPr>
                    <w:tc>
                      <w:tcPr>
                        <w:tcW w:w="3192" w:type="dxa"/>
                        <w:tcBorders>
                          <w:top w:val="single" w:sz="12" w:space="0" w:color="000000"/>
                          <w:left w:val="nil" w:sz="6" w:space="0" w:color="auto"/>
                          <w:bottom w:val="single" w:sz="4" w:space="0" w:color="000000"/>
                          <w:right w:val="nil" w:sz="6" w:space="0" w:color="auto"/>
                        </w:tcBorders>
                      </w:tcPr>
                      <w:p>
                        <w:pPr>
                          <w:pStyle w:val="TableParagraph"/>
                          <w:tabs>
                            <w:tab w:pos="1876" w:val="left" w:leader="none"/>
                          </w:tabs>
                          <w:spacing w:line="246"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r>
                        <w:r>
                          <w:rPr>
                            <w:rFonts w:ascii="Microsoft JhengHei" w:hAnsi="Microsoft JhengHei" w:cs="Microsoft JhengHei" w:eastAsia="Microsoft JhengHei" w:hint="default"/>
                            <w:sz w:val="18"/>
                            <w:szCs w:val="18"/>
                          </w:rPr>
                        </w:r>
                      </w:p>
                    </w:tc>
                    <w:tc>
                      <w:tcPr>
                        <w:tcW w:w="5467" w:type="dxa"/>
                        <w:gridSpan w:val="4"/>
                        <w:tcBorders>
                          <w:top w:val="single" w:sz="12" w:space="0" w:color="000000"/>
                          <w:left w:val="nil" w:sz="6" w:space="0" w:color="auto"/>
                          <w:bottom w:val="single" w:sz="4" w:space="0" w:color="000000"/>
                          <w:right w:val="nil" w:sz="6" w:space="0" w:color="auto"/>
                        </w:tcBorders>
                      </w:tcPr>
                      <w:p>
                        <w:pPr>
                          <w:pStyle w:val="TableParagraph"/>
                          <w:tabs>
                            <w:tab w:pos="1387" w:val="left" w:leader="none"/>
                            <w:tab w:pos="2692" w:val="left" w:leader="none"/>
                            <w:tab w:pos="4209" w:val="left" w:leader="none"/>
                          </w:tabs>
                          <w:spacing w:line="246" w:lineRule="exact"/>
                          <w:ind w:left="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tab/>
                          <w:t>本年结转</w:t>
                          <w:tab/>
                          <w:t>年末金额</w:t>
                          <w:tab/>
                          <w:t>形成原因</w:t>
                        </w:r>
                        <w:r>
                          <w:rPr>
                            <w:rFonts w:ascii="Microsoft JhengHei" w:hAnsi="Microsoft JhengHei" w:cs="Microsoft JhengHei" w:eastAsia="Microsoft JhengHei" w:hint="default"/>
                            <w:sz w:val="18"/>
                            <w:szCs w:val="18"/>
                          </w:rPr>
                        </w:r>
                      </w:p>
                    </w:tc>
                  </w:tr>
                  <w:tr>
                    <w:trPr>
                      <w:trHeight w:val="293" w:hRule="exact"/>
                    </w:trPr>
                    <w:tc>
                      <w:tcPr>
                        <w:tcW w:w="3192" w:type="dxa"/>
                        <w:tcBorders>
                          <w:top w:val="single" w:sz="4" w:space="0" w:color="000000"/>
                          <w:left w:val="nil" w:sz="6" w:space="0" w:color="auto"/>
                          <w:bottom w:val="single" w:sz="4" w:space="0" w:color="000000"/>
                          <w:right w:val="nil" w:sz="6" w:space="0" w:color="auto"/>
                        </w:tcBorders>
                      </w:tcPr>
                      <w:p>
                        <w:pPr>
                          <w:pStyle w:val="TableParagraph"/>
                          <w:tabs>
                            <w:tab w:pos="1839" w:val="left" w:leader="none"/>
                          </w:tabs>
                          <w:spacing w:line="239" w:lineRule="exact"/>
                          <w:ind w:left="122"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产品保修费</w:t>
                          <w:tab/>
                        </w:r>
                        <w:r>
                          <w:rPr>
                            <w:rFonts w:ascii="Times New Roman" w:hAnsi="Times New Roman" w:cs="Times New Roman" w:eastAsia="Times New Roman" w:hint="default"/>
                            <w:sz w:val="18"/>
                            <w:szCs w:val="18"/>
                          </w:rPr>
                          <w:t>5,338,135.24</w:t>
                        </w:r>
                      </w:p>
                    </w:tc>
                    <w:tc>
                      <w:tcPr>
                        <w:tcW w:w="5467" w:type="dxa"/>
                        <w:gridSpan w:val="4"/>
                        <w:tcBorders>
                          <w:top w:val="single" w:sz="4" w:space="0" w:color="000000"/>
                          <w:left w:val="nil" w:sz="6" w:space="0" w:color="auto"/>
                          <w:bottom w:val="single" w:sz="4" w:space="0" w:color="000000"/>
                          <w:right w:val="nil" w:sz="6" w:space="0" w:color="auto"/>
                        </w:tcBorders>
                      </w:tcPr>
                      <w:p>
                        <w:pPr>
                          <w:pStyle w:val="TableParagraph"/>
                          <w:tabs>
                            <w:tab w:pos="1380" w:val="left" w:leader="none"/>
                            <w:tab w:pos="2622" w:val="left" w:leader="none"/>
                            <w:tab w:pos="3852" w:val="left" w:leader="none"/>
                          </w:tabs>
                          <w:spacing w:line="239" w:lineRule="exact"/>
                          <w:ind w:left="9" w:right="0"/>
                          <w:jc w:val="left"/>
                          <w:rPr>
                            <w:rFonts w:ascii="楷体" w:hAnsi="楷体" w:cs="楷体" w:eastAsia="楷体" w:hint="default"/>
                            <w:sz w:val="18"/>
                            <w:szCs w:val="18"/>
                          </w:rPr>
                        </w:pPr>
                        <w:r>
                          <w:rPr>
                            <w:rFonts w:ascii="Times New Roman" w:hAnsi="Times New Roman" w:cs="Times New Roman" w:eastAsia="Times New Roman" w:hint="default"/>
                            <w:spacing w:val="-1"/>
                            <w:sz w:val="18"/>
                            <w:szCs w:val="18"/>
                          </w:rPr>
                          <w:t>1,192,260.00</w:t>
                          <w:tab/>
                          <w:t>5,338,135.24</w:t>
                          <w:tab/>
                          <w:t>1,192,260.00</w:t>
                          <w:tab/>
                        </w:r>
                        <w:r>
                          <w:rPr>
                            <w:rFonts w:ascii="楷体" w:hAnsi="楷体" w:cs="楷体" w:eastAsia="楷体" w:hint="default"/>
                            <w:sz w:val="18"/>
                            <w:szCs w:val="18"/>
                          </w:rPr>
                          <w:t>计提的船舶维修费</w:t>
                        </w:r>
                      </w:p>
                    </w:tc>
                  </w:tr>
                  <w:tr>
                    <w:trPr>
                      <w:trHeight w:val="303" w:hRule="exact"/>
                    </w:trPr>
                    <w:tc>
                      <w:tcPr>
                        <w:tcW w:w="3192" w:type="dxa"/>
                        <w:tcBorders>
                          <w:top w:val="single" w:sz="4" w:space="0" w:color="000000"/>
                          <w:left w:val="nil" w:sz="6" w:space="0" w:color="auto"/>
                          <w:bottom w:val="single" w:sz="12" w:space="0" w:color="000000"/>
                          <w:right w:val="nil" w:sz="6" w:space="0" w:color="auto"/>
                        </w:tcBorders>
                      </w:tcPr>
                      <w:p>
                        <w:pPr>
                          <w:pStyle w:val="TableParagraph"/>
                          <w:tabs>
                            <w:tab w:pos="1839" w:val="left" w:leader="none"/>
                          </w:tabs>
                          <w:spacing w:line="246" w:lineRule="exact"/>
                          <w:ind w:left="122"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5,338,135.24</w:t>
                        </w:r>
                        <w:r>
                          <w:rPr>
                            <w:rFonts w:ascii="Times New Roman" w:hAnsi="Times New Roman" w:cs="Times New Roman" w:eastAsia="Times New Roman" w:hint="default"/>
                            <w:sz w:val="18"/>
                            <w:szCs w:val="18"/>
                          </w:rPr>
                        </w:r>
                      </w:p>
                    </w:tc>
                    <w:tc>
                      <w:tcPr>
                        <w:tcW w:w="5467" w:type="dxa"/>
                        <w:gridSpan w:val="4"/>
                        <w:tcBorders>
                          <w:top w:val="single" w:sz="4" w:space="0" w:color="000000"/>
                          <w:left w:val="nil" w:sz="6" w:space="0" w:color="auto"/>
                          <w:bottom w:val="single" w:sz="12" w:space="0" w:color="000000"/>
                          <w:right w:val="nil" w:sz="6" w:space="0" w:color="auto"/>
                        </w:tcBorders>
                      </w:tcPr>
                      <w:p>
                        <w:pPr>
                          <w:pStyle w:val="TableParagraph"/>
                          <w:tabs>
                            <w:tab w:pos="1381" w:val="left" w:leader="none"/>
                            <w:tab w:pos="2623" w:val="left" w:leader="none"/>
                          </w:tabs>
                          <w:spacing w:line="240" w:lineRule="auto" w:before="32"/>
                          <w:ind w:left="9" w:right="0"/>
                          <w:jc w:val="left"/>
                          <w:rPr>
                            <w:rFonts w:ascii="Times New Roman" w:hAnsi="Times New Roman" w:cs="Times New Roman" w:eastAsia="Times New Roman" w:hint="default"/>
                            <w:sz w:val="18"/>
                            <w:szCs w:val="18"/>
                          </w:rPr>
                        </w:pPr>
                        <w:r>
                          <w:rPr>
                            <w:rFonts w:ascii="Times New Roman"/>
                            <w:b/>
                            <w:spacing w:val="-1"/>
                            <w:sz w:val="18"/>
                          </w:rPr>
                          <w:t>1,192,260.00</w:t>
                          <w:tab/>
                          <w:t>5,338,135.24</w:t>
                          <w:tab/>
                          <w:t>1,192,260.00</w:t>
                        </w:r>
                        <w:r>
                          <w:rPr>
                            <w:rFonts w:ascii="Times New Roman"/>
                            <w:spacing w:val="-1"/>
                            <w:sz w:val="18"/>
                          </w:rPr>
                        </w:r>
                      </w:p>
                    </w:tc>
                  </w:tr>
                  <w:tr>
                    <w:trPr>
                      <w:trHeight w:val="576" w:hRule="exact"/>
                    </w:trPr>
                    <w:tc>
                      <w:tcPr>
                        <w:tcW w:w="31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6"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36.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其他非流动负债</w:t>
                        </w:r>
                      </w:p>
                    </w:tc>
                    <w:tc>
                      <w:tcPr>
                        <w:tcW w:w="5467" w:type="dxa"/>
                        <w:gridSpan w:val="4"/>
                        <w:tcBorders>
                          <w:top w:val="single" w:sz="12" w:space="0" w:color="000000"/>
                          <w:left w:val="nil" w:sz="6" w:space="0" w:color="auto"/>
                          <w:bottom w:val="single" w:sz="12" w:space="0" w:color="000000"/>
                          <w:right w:val="nil" w:sz="6" w:space="0" w:color="auto"/>
                        </w:tcBorders>
                      </w:tcPr>
                      <w:p>
                        <w:pPr/>
                      </w:p>
                    </w:tc>
                  </w:tr>
                  <w:tr>
                    <w:trPr>
                      <w:trHeight w:val="303" w:hRule="exact"/>
                    </w:trPr>
                    <w:tc>
                      <w:tcPr>
                        <w:tcW w:w="319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5467" w:type="dxa"/>
                        <w:gridSpan w:val="4"/>
                        <w:tcBorders>
                          <w:top w:val="single" w:sz="12" w:space="0" w:color="000000"/>
                          <w:left w:val="nil" w:sz="6" w:space="0" w:color="auto"/>
                          <w:bottom w:val="single" w:sz="4" w:space="0" w:color="000000"/>
                          <w:right w:val="nil" w:sz="6" w:space="0" w:color="auto"/>
                        </w:tcBorders>
                      </w:tcPr>
                      <w:p>
                        <w:pPr>
                          <w:pStyle w:val="TableParagraph"/>
                          <w:tabs>
                            <w:tab w:pos="4479" w:val="left" w:leader="none"/>
                          </w:tabs>
                          <w:spacing w:line="246" w:lineRule="exact"/>
                          <w:ind w:left="32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tc>
                  </w:tr>
                  <w:tr>
                    <w:trPr>
                      <w:trHeight w:val="287" w:hRule="exact"/>
                    </w:trPr>
                    <w:tc>
                      <w:tcPr>
                        <w:tcW w:w="5065" w:type="dxa"/>
                        <w:gridSpan w:val="2"/>
                        <w:tcBorders>
                          <w:top w:val="nil" w:sz="6" w:space="0" w:color="auto"/>
                          <w:left w:val="nil" w:sz="6" w:space="0" w:color="auto"/>
                          <w:bottom w:val="nil" w:sz="6" w:space="0" w:color="auto"/>
                          <w:right w:val="nil" w:sz="6" w:space="0" w:color="auto"/>
                        </w:tcBorders>
                      </w:tcPr>
                      <w:p>
                        <w:pPr>
                          <w:pStyle w:val="TableParagraph"/>
                          <w:spacing w:line="239" w:lineRule="exact"/>
                          <w:ind w:left="122"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年度第三批工业发展资金计划</w:t>
                        </w:r>
                      </w:p>
                    </w:tc>
                    <w:tc>
                      <w:tcPr>
                        <w:tcW w:w="2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289" w:right="0"/>
                          <w:jc w:val="left"/>
                          <w:rPr>
                            <w:rFonts w:ascii="Times New Roman" w:hAnsi="Times New Roman" w:cs="Times New Roman" w:eastAsia="Times New Roman" w:hint="default"/>
                            <w:sz w:val="18"/>
                            <w:szCs w:val="18"/>
                          </w:rPr>
                        </w:pPr>
                        <w:r>
                          <w:rPr>
                            <w:rFonts w:ascii="Times New Roman"/>
                            <w:sz w:val="18"/>
                          </w:rPr>
                          <w:t>2,000,000.00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065"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高新工程人才特殊津贴（泰豪科技并入）</w:t>
                        </w:r>
                      </w:p>
                    </w:tc>
                    <w:tc>
                      <w:tcPr>
                        <w:tcW w:w="2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24" w:right="0"/>
                          <w:jc w:val="left"/>
                          <w:rPr>
                            <w:rFonts w:ascii="Times New Roman" w:hAnsi="Times New Roman" w:cs="Times New Roman" w:eastAsia="Times New Roman" w:hint="default"/>
                            <w:sz w:val="18"/>
                            <w:szCs w:val="18"/>
                          </w:rPr>
                        </w:pPr>
                        <w:r>
                          <w:rPr>
                            <w:rFonts w:ascii="Times New Roman"/>
                            <w:sz w:val="18"/>
                          </w:rPr>
                          <w:t>599,039.00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47,000.00</w:t>
                        </w:r>
                      </w:p>
                    </w:tc>
                  </w:tr>
                  <w:tr>
                    <w:trPr>
                      <w:trHeight w:val="283" w:hRule="exact"/>
                    </w:trPr>
                    <w:tc>
                      <w:tcPr>
                        <w:tcW w:w="5065"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现场总线智能控制器项目（泰豪科技并入）</w:t>
                        </w:r>
                      </w:p>
                    </w:tc>
                    <w:tc>
                      <w:tcPr>
                        <w:tcW w:w="2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289" w:right="0"/>
                          <w:jc w:val="left"/>
                          <w:rPr>
                            <w:rFonts w:ascii="Times New Roman" w:hAnsi="Times New Roman" w:cs="Times New Roman" w:eastAsia="Times New Roman" w:hint="default"/>
                            <w:sz w:val="18"/>
                            <w:szCs w:val="18"/>
                          </w:rPr>
                        </w:pPr>
                        <w:r>
                          <w:rPr>
                            <w:rFonts w:ascii="Times New Roman"/>
                            <w:sz w:val="18"/>
                          </w:rPr>
                          <w:t>1,458,000.00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1,620,000.00</w:t>
                        </w:r>
                      </w:p>
                    </w:tc>
                  </w:tr>
                  <w:tr>
                    <w:trPr>
                      <w:trHeight w:val="283" w:hRule="exact"/>
                    </w:trPr>
                    <w:tc>
                      <w:tcPr>
                        <w:tcW w:w="5065"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万台（套）静音电源项目（泰豪科技并入）</w:t>
                        </w:r>
                      </w:p>
                    </w:tc>
                    <w:tc>
                      <w:tcPr>
                        <w:tcW w:w="2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289" w:right="0"/>
                          <w:jc w:val="left"/>
                          <w:rPr>
                            <w:rFonts w:ascii="Times New Roman" w:hAnsi="Times New Roman" w:cs="Times New Roman" w:eastAsia="Times New Roman" w:hint="default"/>
                            <w:sz w:val="18"/>
                            <w:szCs w:val="18"/>
                          </w:rPr>
                        </w:pPr>
                        <w:r>
                          <w:rPr>
                            <w:rFonts w:ascii="Times New Roman"/>
                            <w:sz w:val="18"/>
                          </w:rPr>
                          <w:t>6,000,000.00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283" w:hRule="exact"/>
                    </w:trPr>
                    <w:tc>
                      <w:tcPr>
                        <w:tcW w:w="5065"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071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工程（泰豪科技并入）</w:t>
                        </w:r>
                      </w:p>
                    </w:tc>
                    <w:tc>
                      <w:tcPr>
                        <w:tcW w:w="2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289" w:right="0"/>
                          <w:jc w:val="left"/>
                          <w:rPr>
                            <w:rFonts w:ascii="Times New Roman" w:hAnsi="Times New Roman" w:cs="Times New Roman" w:eastAsia="Times New Roman" w:hint="default"/>
                            <w:sz w:val="18"/>
                            <w:szCs w:val="18"/>
                          </w:rPr>
                        </w:pPr>
                        <w:r>
                          <w:rPr>
                            <w:rFonts w:ascii="Times New Roman"/>
                            <w:sz w:val="18"/>
                          </w:rPr>
                          <w:t>5,000,000.00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283" w:hRule="exact"/>
                    </w:trPr>
                    <w:tc>
                      <w:tcPr>
                        <w:tcW w:w="5065"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特种电站虚拟仿真平台（泰豪科技并入）</w:t>
                        </w:r>
                      </w:p>
                    </w:tc>
                    <w:tc>
                      <w:tcPr>
                        <w:tcW w:w="2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289" w:right="0"/>
                          <w:jc w:val="left"/>
                          <w:rPr>
                            <w:rFonts w:ascii="Times New Roman" w:hAnsi="Times New Roman" w:cs="Times New Roman" w:eastAsia="Times New Roman" w:hint="default"/>
                            <w:sz w:val="18"/>
                            <w:szCs w:val="18"/>
                          </w:rPr>
                        </w:pPr>
                        <w:r>
                          <w:rPr>
                            <w:rFonts w:ascii="Times New Roman"/>
                            <w:sz w:val="18"/>
                          </w:rPr>
                          <w:t>3,000,000.00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r>
                  <w:tr>
                    <w:trPr>
                      <w:trHeight w:val="298" w:hRule="exact"/>
                    </w:trPr>
                    <w:tc>
                      <w:tcPr>
                        <w:tcW w:w="5065" w:type="dxa"/>
                        <w:gridSpan w:val="2"/>
                        <w:tcBorders>
                          <w:top w:val="nil" w:sz="6" w:space="0" w:color="auto"/>
                          <w:left w:val="nil" w:sz="6" w:space="0" w:color="auto"/>
                          <w:bottom w:val="single" w:sz="12" w:space="0" w:color="000000"/>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低温空气源项目（泰豪科技并入）</w:t>
                        </w:r>
                      </w:p>
                    </w:tc>
                    <w:tc>
                      <w:tcPr>
                        <w:tcW w:w="2343"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33"/>
                          <w:ind w:left="1289" w:right="0"/>
                          <w:jc w:val="left"/>
                          <w:rPr>
                            <w:rFonts w:ascii="Times New Roman" w:hAnsi="Times New Roman" w:cs="Times New Roman" w:eastAsia="Times New Roman" w:hint="default"/>
                            <w:sz w:val="18"/>
                            <w:szCs w:val="18"/>
                          </w:rPr>
                        </w:pPr>
                        <w:r>
                          <w:rPr>
                            <w:rFonts w:ascii="Times New Roman"/>
                            <w:sz w:val="18"/>
                          </w:rPr>
                          <w:t>6,080,000.00</w:t>
                        </w:r>
                      </w:p>
                    </w:tc>
                    <w:tc>
                      <w:tcPr>
                        <w:tcW w:w="1251"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3,975,000.00</w:t>
                        </w:r>
                      </w:p>
                    </w:tc>
                  </w:tr>
                </w:tbl>
                <w:p>
                  <w:pPr/>
                </w:p>
              </w:txbxContent>
            </v:textbox>
            <w10:wrap type="none"/>
          </v:shape>
        </w:pic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3"/>
        <w:rPr>
          <w:rFonts w:ascii="楷体" w:hAnsi="楷体" w:cs="楷体" w:eastAsia="楷体" w:hint="default"/>
          <w:sz w:val="18"/>
          <w:szCs w:val="18"/>
        </w:rPr>
      </w:pPr>
    </w:p>
    <w:p>
      <w:pPr>
        <w:tabs>
          <w:tab w:pos="6181" w:val="left" w:leader="none"/>
          <w:tab w:pos="7385" w:val="left" w:leader="none"/>
          <w:tab w:pos="8142" w:val="left" w:leader="none"/>
        </w:tabs>
        <w:spacing w:before="76"/>
        <w:ind w:left="4482" w:right="0" w:firstLine="0"/>
        <w:jc w:val="left"/>
        <w:rPr>
          <w:rFonts w:ascii="Times New Roman" w:hAnsi="Times New Roman" w:cs="Times New Roman" w:eastAsia="Times New Roman" w:hint="default"/>
          <w:sz w:val="18"/>
          <w:szCs w:val="18"/>
        </w:rPr>
      </w:pPr>
      <w:r>
        <w:rPr>
          <w:rFonts w:ascii="Times New Roman"/>
          <w:sz w:val="18"/>
        </w:rPr>
        <w:t>600,000.00</w:t>
        <w:tab/>
        <w:t>0.00</w:t>
        <w:tab/>
        <w:t>0.00</w:t>
        <w:tab/>
        <w:t>600,000.00</w:t>
      </w:r>
    </w:p>
    <w:p>
      <w:pPr>
        <w:spacing w:after="0"/>
        <w:jc w:val="lef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6"/>
        <w:rPr>
          <w:rFonts w:ascii="Times New Roman" w:hAnsi="Times New Roman" w:cs="Times New Roman" w:eastAsia="Times New Roman" w:hint="default"/>
          <w:sz w:val="3"/>
          <w:szCs w:val="3"/>
        </w:rPr>
      </w:pPr>
    </w:p>
    <w:tbl>
      <w:tblPr>
        <w:tblW w:w="0" w:type="auto"/>
        <w:jc w:val="left"/>
        <w:tblInd w:w="416" w:type="dxa"/>
        <w:tblLayout w:type="fixed"/>
        <w:tblCellMar>
          <w:top w:w="0" w:type="dxa"/>
          <w:left w:w="0" w:type="dxa"/>
          <w:bottom w:w="0" w:type="dxa"/>
          <w:right w:w="0" w:type="dxa"/>
        </w:tblCellMar>
        <w:tblLook w:val="01E0"/>
      </w:tblPr>
      <w:tblGrid>
        <w:gridCol w:w="5879"/>
        <w:gridCol w:w="1514"/>
        <w:gridCol w:w="1244"/>
      </w:tblGrid>
      <w:tr>
        <w:trPr>
          <w:trHeight w:val="247" w:hRule="exact"/>
        </w:trPr>
        <w:tc>
          <w:tcPr>
            <w:tcW w:w="5879" w:type="dxa"/>
            <w:tcBorders>
              <w:top w:val="nil" w:sz="6" w:space="0" w:color="auto"/>
              <w:left w:val="nil" w:sz="6" w:space="0" w:color="auto"/>
              <w:bottom w:val="single" w:sz="4" w:space="0" w:color="000000"/>
              <w:right w:val="nil" w:sz="6" w:space="0" w:color="auto"/>
            </w:tcBorders>
          </w:tcPr>
          <w:p>
            <w:pPr>
              <w:pStyle w:val="TableParagraph"/>
              <w:spacing w:line="20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514" w:type="dxa"/>
            <w:tcBorders>
              <w:top w:val="nil" w:sz="6" w:space="0" w:color="auto"/>
              <w:left w:val="nil" w:sz="6" w:space="0" w:color="auto"/>
              <w:bottom w:val="single" w:sz="4" w:space="0" w:color="000000"/>
              <w:right w:val="nil" w:sz="6" w:space="0" w:color="auto"/>
            </w:tcBorders>
          </w:tcPr>
          <w:p>
            <w:pPr>
              <w:pStyle w:val="TableParagraph"/>
              <w:spacing w:line="206" w:lineRule="exact"/>
              <w:ind w:left="5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244" w:type="dxa"/>
            <w:tcBorders>
              <w:top w:val="nil" w:sz="6" w:space="0" w:color="auto"/>
              <w:left w:val="nil" w:sz="6" w:space="0" w:color="auto"/>
              <w:bottom w:val="single" w:sz="4" w:space="0" w:color="000000"/>
              <w:right w:val="nil" w:sz="6" w:space="0" w:color="auto"/>
            </w:tcBorders>
          </w:tcPr>
          <w:p>
            <w:pPr>
              <w:pStyle w:val="TableParagraph"/>
              <w:spacing w:line="206" w:lineRule="exact"/>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587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高成长企业水地源项目（泰豪科技并入）</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z w:val="18"/>
              </w:rPr>
              <w:t>400,000.00</w:t>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500,000.00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北京高新技术创业服务中心自主创新科技专项资金（创新投资并入）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495,000.00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楷体" w:hAnsi="楷体" w:cs="楷体" w:eastAsia="楷体" w:hint="default"/>
                <w:sz w:val="18"/>
                <w:szCs w:val="18"/>
              </w:rPr>
              <w:t>铁路货物</w:t>
            </w:r>
            <w:r>
              <w:rPr>
                <w:rFonts w:ascii="Times New Roman" w:hAnsi="Times New Roman" w:cs="Times New Roman" w:eastAsia="Times New Roman" w:hint="default"/>
                <w:sz w:val="18"/>
                <w:szCs w:val="18"/>
              </w:rPr>
              <w:t>/</w:t>
            </w:r>
            <w:r>
              <w:rPr>
                <w:rFonts w:ascii="楷体" w:hAnsi="楷体" w:cs="楷体" w:eastAsia="楷体" w:hint="default"/>
                <w:sz w:val="18"/>
                <w:szCs w:val="18"/>
              </w:rPr>
              <w:t>车辆检查系统研制项目（威视股份并入）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1,400,000.00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优化机电和高新技术产品进出口结构资金（威视股份并入）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600,000.00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双能成像技术的集装箱货物检查系统开发（威视股份并入）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150,000.00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年海淀科技园国际化经营促进支持资金（威视股份并入）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700,000.00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具有核素识别功能的放射性物质监测设备的研发（威视股份并入）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700,000.00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高新技术出口产品研发资金（威视股份并入）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z w:val="18"/>
              </w:rPr>
              <w:t>600,000.00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年度标准化专项资金（威视股份并入）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80,000.00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先进特异物资检测技术产业化项目（威视股份并入）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6,000,000.00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macrostor</w:t>
            </w:r>
            <w:r>
              <w:rPr>
                <w:rFonts w:ascii="Times New Roman" w:hAnsi="Times New Roman" w:cs="Times New Roman" w:eastAsia="Times New Roman" w:hint="default"/>
                <w:spacing w:val="43"/>
                <w:sz w:val="18"/>
                <w:szCs w:val="18"/>
              </w:rPr>
              <w:t> </w:t>
            </w:r>
            <w:r>
              <w:rPr>
                <w:rFonts w:ascii="楷体" w:hAnsi="楷体" w:cs="楷体" w:eastAsia="楷体" w:hint="default"/>
                <w:sz w:val="18"/>
                <w:szCs w:val="18"/>
              </w:rPr>
              <w:t>智能持续支持保护系统（威视股份并入）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3,000,000.00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滚装运输车辆安检仪的产业化推广项目（威视股份并入）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1,800,000.00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WisCDP</w:t>
            </w:r>
            <w:r>
              <w:rPr>
                <w:rFonts w:ascii="Times New Roman" w:hAnsi="Times New Roman" w:cs="Times New Roman" w:eastAsia="Times New Roman" w:hint="default"/>
                <w:spacing w:val="-10"/>
                <w:sz w:val="18"/>
                <w:szCs w:val="18"/>
              </w:rPr>
              <w:t> </w:t>
            </w:r>
            <w:r>
              <w:rPr>
                <w:rFonts w:ascii="楷体" w:hAnsi="楷体" w:cs="楷体" w:eastAsia="楷体" w:hint="default"/>
                <w:sz w:val="18"/>
                <w:szCs w:val="18"/>
              </w:rPr>
              <w:t>智能持续数据保护系统（威视股份并入）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700,000.00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57" w:hRule="exact"/>
        </w:trPr>
        <w:tc>
          <w:tcPr>
            <w:tcW w:w="5879"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厂房改造及外线工程项目（鞍山科技园并入）</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1,773,417.00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1,773,417.00</w:t>
            </w:r>
          </w:p>
        </w:tc>
      </w:tr>
      <w:tr>
        <w:trPr>
          <w:trHeight w:val="315" w:hRule="exact"/>
        </w:trPr>
        <w:tc>
          <w:tcPr>
            <w:tcW w:w="5879" w:type="dxa"/>
            <w:tcBorders>
              <w:top w:val="nil" w:sz="6" w:space="0" w:color="auto"/>
              <w:left w:val="nil" w:sz="6" w:space="0" w:color="auto"/>
              <w:bottom w:val="single" w:sz="4" w:space="0" w:color="000000"/>
              <w:right w:val="nil" w:sz="6" w:space="0" w:color="auto"/>
            </w:tcBorders>
          </w:tcPr>
          <w:p>
            <w:pPr>
              <w:pStyle w:val="TableParagraph"/>
              <w:spacing w:line="261" w:lineRule="exact"/>
              <w:ind w:left="107" w:right="0"/>
              <w:jc w:val="left"/>
              <w:rPr>
                <w:rFonts w:ascii="楷体" w:hAnsi="楷体" w:cs="楷体" w:eastAsia="楷体" w:hint="default"/>
                <w:sz w:val="24"/>
                <w:szCs w:val="24"/>
              </w:rPr>
            </w:pPr>
            <w:r>
              <w:rPr>
                <w:rFonts w:ascii="楷体" w:hAnsi="楷体" w:cs="楷体" w:eastAsia="楷体" w:hint="default"/>
                <w:sz w:val="24"/>
                <w:szCs w:val="24"/>
              </w:rPr>
              <w:t>其他</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8"/>
                <w:szCs w:val="18"/>
              </w:rPr>
            </w:pPr>
            <w:r>
              <w:rPr>
                <w:rFonts w:ascii="Times New Roman"/>
                <w:spacing w:val="-1"/>
                <w:sz w:val="18"/>
              </w:rPr>
              <w:t>1,423,284.95</w:t>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7,596,776.70</w:t>
            </w:r>
          </w:p>
        </w:tc>
      </w:tr>
      <w:tr>
        <w:trPr>
          <w:trHeight w:val="303" w:hRule="exact"/>
        </w:trPr>
        <w:tc>
          <w:tcPr>
            <w:tcW w:w="587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pacing w:val="-1"/>
                <w:sz w:val="18"/>
              </w:rPr>
              <w:t>43,958,740.95</w:t>
            </w:r>
            <w:r>
              <w:rPr>
                <w:rFonts w:ascii="Times New Roman"/>
                <w:spacing w:val="-1"/>
                <w:sz w:val="18"/>
              </w:rPr>
            </w:r>
          </w:p>
        </w:tc>
        <w:tc>
          <w:tcPr>
            <w:tcW w:w="12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24,012,193.70</w:t>
            </w:r>
            <w:r>
              <w:rPr>
                <w:rFonts w:ascii="Times New Roman"/>
                <w:spacing w:val="-1"/>
                <w:sz w:val="18"/>
              </w:rPr>
            </w:r>
          </w:p>
        </w:tc>
      </w:tr>
    </w:tbl>
    <w:p>
      <w:pPr>
        <w:spacing w:before="79"/>
        <w:ind w:left="578" w:right="0" w:firstLine="0"/>
        <w:jc w:val="left"/>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1</w:t>
      </w:r>
      <w:r>
        <w:rPr>
          <w:rFonts w:ascii="楷体" w:hAnsi="楷体" w:cs="楷体" w:eastAsia="楷体" w:hint="default"/>
          <w:sz w:val="22"/>
          <w:szCs w:val="22"/>
        </w:rPr>
        <w:t>：本公司收到北京市科学技术委员会拨付企业技术中心专项补助款</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2,000,000.00</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元。</w:t>
      </w:r>
    </w:p>
    <w:p>
      <w:pPr>
        <w:spacing w:line="307" w:lineRule="auto" w:before="163"/>
        <w:ind w:left="138" w:right="142" w:firstLine="440"/>
        <w:jc w:val="both"/>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41"/>
          <w:sz w:val="22"/>
          <w:szCs w:val="22"/>
        </w:rPr>
        <w:t> </w:t>
      </w:r>
      <w:r>
        <w:rPr>
          <w:rFonts w:ascii="Times New Roman" w:hAnsi="Times New Roman" w:cs="Times New Roman" w:eastAsia="Times New Roman" w:hint="default"/>
          <w:sz w:val="22"/>
          <w:szCs w:val="22"/>
        </w:rPr>
        <w:t>2</w:t>
      </w:r>
      <w:r>
        <w:rPr>
          <w:rFonts w:ascii="楷体" w:hAnsi="楷体" w:cs="楷体" w:eastAsia="楷体" w:hint="default"/>
          <w:sz w:val="22"/>
          <w:szCs w:val="22"/>
        </w:rPr>
        <w:t>：本公司所属子公司泰豪科技股份有限公司收到南昌市财政局对现场总线智能控制器系</w:t>
      </w:r>
      <w:r>
        <w:rPr>
          <w:rFonts w:ascii="楷体" w:hAnsi="楷体" w:cs="楷体" w:eastAsia="楷体" w:hint="default"/>
          <w:w w:val="99"/>
          <w:sz w:val="22"/>
          <w:szCs w:val="22"/>
        </w:rPr>
        <w:t> </w:t>
      </w:r>
      <w:r>
        <w:rPr>
          <w:rFonts w:ascii="楷体" w:hAnsi="楷体" w:cs="楷体" w:eastAsia="楷体" w:hint="default"/>
          <w:sz w:val="22"/>
          <w:szCs w:val="22"/>
        </w:rPr>
        <w:t>列产品建设项目国债专项拨款 </w:t>
      </w:r>
      <w:r>
        <w:rPr>
          <w:rFonts w:ascii="Times New Roman" w:hAnsi="Times New Roman" w:cs="Times New Roman" w:eastAsia="Times New Roman" w:hint="default"/>
          <w:sz w:val="22"/>
          <w:szCs w:val="22"/>
        </w:rPr>
        <w:t>1,458,000.00</w:t>
      </w:r>
      <w:r>
        <w:rPr>
          <w:rFonts w:ascii="Times New Roman" w:hAnsi="Times New Roman" w:cs="Times New Roman" w:eastAsia="Times New Roman" w:hint="default"/>
          <w:spacing w:val="45"/>
          <w:sz w:val="22"/>
          <w:szCs w:val="22"/>
        </w:rPr>
        <w:t> </w:t>
      </w:r>
      <w:r>
        <w:rPr>
          <w:rFonts w:ascii="楷体" w:hAnsi="楷体" w:cs="楷体" w:eastAsia="楷体" w:hint="default"/>
          <w:sz w:val="22"/>
          <w:szCs w:val="22"/>
        </w:rPr>
        <w:t>元。</w:t>
      </w:r>
    </w:p>
    <w:p>
      <w:pPr>
        <w:spacing w:line="307" w:lineRule="auto" w:before="95"/>
        <w:ind w:left="138" w:right="142" w:firstLine="440"/>
        <w:jc w:val="both"/>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41"/>
          <w:sz w:val="22"/>
          <w:szCs w:val="22"/>
        </w:rPr>
        <w:t> </w:t>
      </w:r>
      <w:r>
        <w:rPr>
          <w:rFonts w:ascii="Times New Roman" w:hAnsi="Times New Roman" w:cs="Times New Roman" w:eastAsia="Times New Roman" w:hint="default"/>
          <w:sz w:val="22"/>
          <w:szCs w:val="22"/>
        </w:rPr>
        <w:t>3</w:t>
      </w:r>
      <w:r>
        <w:rPr>
          <w:rFonts w:ascii="楷体" w:hAnsi="楷体" w:cs="楷体" w:eastAsia="楷体" w:hint="default"/>
          <w:sz w:val="22"/>
          <w:szCs w:val="22"/>
        </w:rPr>
        <w:t>：本公司所属子公司泰豪科技股份有限公司收到南昌市财政局、南昌市科技局拨付的省</w:t>
      </w:r>
      <w:r>
        <w:rPr>
          <w:rFonts w:ascii="楷体" w:hAnsi="楷体" w:cs="楷体" w:eastAsia="楷体" w:hint="default"/>
          <w:w w:val="99"/>
          <w:sz w:val="22"/>
          <w:szCs w:val="22"/>
        </w:rPr>
        <w:t> </w:t>
      </w:r>
      <w:r>
        <w:rPr>
          <w:rFonts w:ascii="楷体" w:hAnsi="楷体" w:cs="楷体" w:eastAsia="楷体" w:hint="default"/>
          <w:sz w:val="22"/>
          <w:szCs w:val="22"/>
        </w:rPr>
        <w:t>级高新产业重大项目配套资金 </w:t>
      </w:r>
      <w:r>
        <w:rPr>
          <w:rFonts w:ascii="Times New Roman" w:hAnsi="Times New Roman" w:cs="Times New Roman" w:eastAsia="Times New Roman" w:hint="default"/>
          <w:sz w:val="22"/>
          <w:szCs w:val="22"/>
        </w:rPr>
        <w:t>6,000,000.00</w:t>
      </w:r>
      <w:r>
        <w:rPr>
          <w:rFonts w:ascii="Times New Roman" w:hAnsi="Times New Roman" w:cs="Times New Roman" w:eastAsia="Times New Roman" w:hint="default"/>
          <w:spacing w:val="45"/>
          <w:sz w:val="22"/>
          <w:szCs w:val="22"/>
        </w:rPr>
        <w:t> </w:t>
      </w:r>
      <w:r>
        <w:rPr>
          <w:rFonts w:ascii="楷体" w:hAnsi="楷体" w:cs="楷体" w:eastAsia="楷体" w:hint="default"/>
          <w:sz w:val="22"/>
          <w:szCs w:val="22"/>
        </w:rPr>
        <w:t>元。</w:t>
      </w:r>
    </w:p>
    <w:p>
      <w:pPr>
        <w:spacing w:line="307" w:lineRule="auto" w:before="95"/>
        <w:ind w:left="138" w:right="142" w:firstLine="440"/>
        <w:jc w:val="both"/>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41"/>
          <w:sz w:val="22"/>
          <w:szCs w:val="22"/>
        </w:rPr>
        <w:t> </w:t>
      </w:r>
      <w:r>
        <w:rPr>
          <w:rFonts w:ascii="Times New Roman" w:hAnsi="Times New Roman" w:cs="Times New Roman" w:eastAsia="Times New Roman" w:hint="default"/>
          <w:sz w:val="22"/>
          <w:szCs w:val="22"/>
        </w:rPr>
        <w:t>4</w:t>
      </w:r>
      <w:r>
        <w:rPr>
          <w:rFonts w:ascii="楷体" w:hAnsi="楷体" w:cs="楷体" w:eastAsia="楷体" w:hint="default"/>
          <w:sz w:val="22"/>
          <w:szCs w:val="22"/>
        </w:rPr>
        <w:t>：本公司所属子公司泰豪科技股份有限公司的控股子公司江西清华泰豪三波电机有限公</w:t>
      </w:r>
      <w:r>
        <w:rPr>
          <w:rFonts w:ascii="楷体" w:hAnsi="楷体" w:cs="楷体" w:eastAsia="楷体" w:hint="default"/>
          <w:w w:val="99"/>
          <w:sz w:val="22"/>
          <w:szCs w:val="22"/>
        </w:rPr>
        <w:t> </w:t>
      </w:r>
      <w:r>
        <w:rPr>
          <w:rFonts w:ascii="楷体" w:hAnsi="楷体" w:cs="楷体" w:eastAsia="楷体" w:hint="default"/>
          <w:sz w:val="22"/>
          <w:szCs w:val="22"/>
        </w:rPr>
        <w:t>司收到南昌市财政局拨付的 </w:t>
      </w:r>
      <w:r>
        <w:rPr>
          <w:rFonts w:ascii="Times New Roman" w:hAnsi="Times New Roman" w:cs="Times New Roman" w:eastAsia="Times New Roman" w:hint="default"/>
          <w:sz w:val="22"/>
          <w:szCs w:val="22"/>
        </w:rPr>
        <w:t>071 </w:t>
      </w:r>
      <w:r>
        <w:rPr>
          <w:rFonts w:ascii="楷体" w:hAnsi="楷体" w:cs="楷体" w:eastAsia="楷体" w:hint="default"/>
          <w:sz w:val="22"/>
          <w:szCs w:val="22"/>
        </w:rPr>
        <w:t>项目资金 </w:t>
      </w:r>
      <w:r>
        <w:rPr>
          <w:rFonts w:ascii="Times New Roman" w:hAnsi="Times New Roman" w:cs="Times New Roman" w:eastAsia="Times New Roman" w:hint="default"/>
          <w:sz w:val="22"/>
          <w:szCs w:val="22"/>
        </w:rPr>
        <w:t>5,000,000.00</w:t>
      </w:r>
      <w:r>
        <w:rPr>
          <w:rFonts w:ascii="Times New Roman" w:hAnsi="Times New Roman" w:cs="Times New Roman" w:eastAsia="Times New Roman" w:hint="default"/>
          <w:spacing w:val="-10"/>
          <w:sz w:val="22"/>
          <w:szCs w:val="22"/>
        </w:rPr>
        <w:t> </w:t>
      </w:r>
      <w:r>
        <w:rPr>
          <w:rFonts w:ascii="楷体" w:hAnsi="楷体" w:cs="楷体" w:eastAsia="楷体" w:hint="default"/>
          <w:sz w:val="22"/>
          <w:szCs w:val="22"/>
        </w:rPr>
        <w:t>元。</w:t>
      </w:r>
    </w:p>
    <w:p>
      <w:pPr>
        <w:spacing w:line="307" w:lineRule="auto" w:before="95"/>
        <w:ind w:left="138" w:right="142" w:firstLine="440"/>
        <w:jc w:val="both"/>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41"/>
          <w:sz w:val="22"/>
          <w:szCs w:val="22"/>
        </w:rPr>
        <w:t> </w:t>
      </w:r>
      <w:r>
        <w:rPr>
          <w:rFonts w:ascii="Times New Roman" w:hAnsi="Times New Roman" w:cs="Times New Roman" w:eastAsia="Times New Roman" w:hint="default"/>
          <w:sz w:val="22"/>
          <w:szCs w:val="22"/>
        </w:rPr>
        <w:t>5</w:t>
      </w:r>
      <w:r>
        <w:rPr>
          <w:rFonts w:ascii="楷体" w:hAnsi="楷体" w:cs="楷体" w:eastAsia="楷体" w:hint="default"/>
          <w:sz w:val="22"/>
          <w:szCs w:val="22"/>
        </w:rPr>
        <w:t>：本公司所属子公司泰豪科技股份有限公司收到江西省经济贸易委员会拨付的试验平台</w:t>
      </w:r>
      <w:r>
        <w:rPr>
          <w:rFonts w:ascii="楷体" w:hAnsi="楷体" w:cs="楷体" w:eastAsia="楷体" w:hint="default"/>
          <w:w w:val="99"/>
          <w:sz w:val="22"/>
          <w:szCs w:val="22"/>
        </w:rPr>
        <w:t> </w:t>
      </w:r>
      <w:r>
        <w:rPr>
          <w:rFonts w:ascii="楷体" w:hAnsi="楷体" w:cs="楷体" w:eastAsia="楷体" w:hint="default"/>
          <w:sz w:val="22"/>
          <w:szCs w:val="22"/>
        </w:rPr>
        <w:t>建设及设备购置款</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3,000,000.00</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元。</w:t>
      </w:r>
    </w:p>
    <w:p>
      <w:pPr>
        <w:spacing w:line="307" w:lineRule="auto" w:before="95"/>
        <w:ind w:left="137" w:right="142" w:firstLine="440"/>
        <w:jc w:val="both"/>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41"/>
          <w:sz w:val="22"/>
          <w:szCs w:val="22"/>
        </w:rPr>
        <w:t> </w:t>
      </w:r>
      <w:r>
        <w:rPr>
          <w:rFonts w:ascii="Times New Roman" w:hAnsi="Times New Roman" w:cs="Times New Roman" w:eastAsia="Times New Roman" w:hint="default"/>
          <w:sz w:val="22"/>
          <w:szCs w:val="22"/>
        </w:rPr>
        <w:t>6</w:t>
      </w:r>
      <w:r>
        <w:rPr>
          <w:rFonts w:ascii="楷体" w:hAnsi="楷体" w:cs="楷体" w:eastAsia="楷体" w:hint="default"/>
          <w:sz w:val="22"/>
          <w:szCs w:val="22"/>
        </w:rPr>
        <w:t>：本公司所属子公司泰豪科技股份有限公司的控股子公司同方人工环境有限公司收到北</w:t>
      </w:r>
      <w:r>
        <w:rPr>
          <w:rFonts w:ascii="楷体" w:hAnsi="楷体" w:cs="楷体" w:eastAsia="楷体" w:hint="default"/>
          <w:w w:val="99"/>
          <w:sz w:val="22"/>
          <w:szCs w:val="22"/>
        </w:rPr>
        <w:t> 京市科学技术委员会拨付的大型高能效低温空气源热泵研发项目资金 </w:t>
      </w:r>
      <w:r>
        <w:rPr>
          <w:rFonts w:ascii="Times New Roman" w:hAnsi="Times New Roman" w:cs="Times New Roman" w:eastAsia="Times New Roman" w:hint="default"/>
          <w:spacing w:val="-1"/>
          <w:w w:val="99"/>
          <w:sz w:val="22"/>
          <w:szCs w:val="22"/>
        </w:rPr>
        <w:t>6,080,000.00</w:t>
      </w: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pacing w:val="23"/>
          <w:w w:val="99"/>
          <w:sz w:val="22"/>
          <w:szCs w:val="22"/>
        </w:rPr>
        <w:t> </w:t>
      </w:r>
      <w:r>
        <w:rPr>
          <w:rFonts w:ascii="楷体" w:hAnsi="楷体" w:cs="楷体" w:eastAsia="楷体" w:hint="default"/>
          <w:spacing w:val="-16"/>
          <w:w w:val="99"/>
          <w:sz w:val="22"/>
          <w:szCs w:val="22"/>
        </w:rPr>
        <w:t>元，高成长企</w:t>
      </w:r>
      <w:r>
        <w:rPr>
          <w:rFonts w:ascii="楷体" w:hAnsi="楷体" w:cs="楷体" w:eastAsia="楷体" w:hint="default"/>
          <w:spacing w:val="-16"/>
          <w:sz w:val="22"/>
          <w:szCs w:val="22"/>
        </w:rPr>
      </w:r>
    </w:p>
    <w:p>
      <w:pPr>
        <w:spacing w:before="17"/>
        <w:ind w:left="138" w:right="2246" w:firstLine="0"/>
        <w:jc w:val="left"/>
        <w:rPr>
          <w:rFonts w:ascii="楷体" w:hAnsi="楷体" w:cs="楷体" w:eastAsia="楷体" w:hint="default"/>
          <w:sz w:val="22"/>
          <w:szCs w:val="22"/>
        </w:rPr>
      </w:pPr>
      <w:r>
        <w:rPr>
          <w:rFonts w:ascii="楷体" w:hAnsi="楷体" w:cs="楷体" w:eastAsia="楷体" w:hint="default"/>
          <w:sz w:val="22"/>
          <w:szCs w:val="22"/>
        </w:rPr>
        <w:t>业水源地项目资金 </w:t>
      </w:r>
      <w:r>
        <w:rPr>
          <w:rFonts w:ascii="Times New Roman" w:hAnsi="Times New Roman" w:cs="Times New Roman" w:eastAsia="Times New Roman" w:hint="default"/>
          <w:sz w:val="22"/>
          <w:szCs w:val="22"/>
        </w:rPr>
        <w:t>400,000.00</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元。</w:t>
      </w:r>
    </w:p>
    <w:p>
      <w:pPr>
        <w:spacing w:line="307" w:lineRule="auto" w:before="163"/>
        <w:ind w:left="137" w:right="143" w:firstLine="440"/>
        <w:jc w:val="both"/>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41"/>
          <w:sz w:val="22"/>
          <w:szCs w:val="22"/>
        </w:rPr>
        <w:t> </w:t>
      </w:r>
      <w:r>
        <w:rPr>
          <w:rFonts w:ascii="Times New Roman" w:hAnsi="Times New Roman" w:cs="Times New Roman" w:eastAsia="Times New Roman" w:hint="default"/>
          <w:sz w:val="22"/>
          <w:szCs w:val="22"/>
        </w:rPr>
        <w:t>7</w:t>
      </w:r>
      <w:r>
        <w:rPr>
          <w:rFonts w:ascii="楷体" w:hAnsi="楷体" w:cs="楷体" w:eastAsia="楷体" w:hint="default"/>
          <w:sz w:val="22"/>
          <w:szCs w:val="22"/>
        </w:rPr>
        <w:t>：本公司所属子公司同方威视技术股份有限公司收到北京市科学技术委员会拨付的先进</w:t>
      </w:r>
      <w:r>
        <w:rPr>
          <w:rFonts w:ascii="楷体" w:hAnsi="楷体" w:cs="楷体" w:eastAsia="楷体" w:hint="default"/>
          <w:w w:val="99"/>
          <w:sz w:val="22"/>
          <w:szCs w:val="22"/>
        </w:rPr>
        <w:t> </w:t>
      </w:r>
      <w:r>
        <w:rPr>
          <w:rFonts w:ascii="楷体" w:hAnsi="楷体" w:cs="楷体" w:eastAsia="楷体" w:hint="default"/>
          <w:sz w:val="22"/>
          <w:szCs w:val="22"/>
        </w:rPr>
        <w:t>特异物资检测技术产业化项目资金</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6,000,000.00</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元。</w:t>
      </w:r>
    </w:p>
    <w:p>
      <w:pPr>
        <w:spacing w:line="307" w:lineRule="auto" w:before="95"/>
        <w:ind w:left="137" w:right="109" w:firstLine="440"/>
        <w:jc w:val="both"/>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40"/>
          <w:sz w:val="22"/>
          <w:szCs w:val="22"/>
        </w:rPr>
        <w:t> </w:t>
      </w:r>
      <w:r>
        <w:rPr>
          <w:rFonts w:ascii="Times New Roman" w:hAnsi="Times New Roman" w:cs="Times New Roman" w:eastAsia="Times New Roman" w:hint="default"/>
          <w:sz w:val="22"/>
          <w:szCs w:val="22"/>
        </w:rPr>
        <w:t>8</w:t>
      </w:r>
      <w:r>
        <w:rPr>
          <w:rFonts w:ascii="楷体" w:hAnsi="楷体" w:cs="楷体" w:eastAsia="楷体" w:hint="default"/>
          <w:sz w:val="22"/>
          <w:szCs w:val="22"/>
        </w:rPr>
        <w:t>：本公司所属子公司同方威视技术股份有限公司的控股子公司北京威视数据系统有限公</w:t>
      </w:r>
      <w:r>
        <w:rPr>
          <w:rFonts w:ascii="楷体" w:hAnsi="楷体" w:cs="楷体" w:eastAsia="楷体" w:hint="default"/>
          <w:w w:val="99"/>
          <w:sz w:val="22"/>
          <w:szCs w:val="22"/>
        </w:rPr>
        <w:t> </w:t>
      </w:r>
      <w:r>
        <w:rPr>
          <w:rFonts w:ascii="楷体" w:hAnsi="楷体" w:cs="楷体" w:eastAsia="楷体" w:hint="default"/>
          <w:spacing w:val="31"/>
          <w:sz w:val="22"/>
          <w:szCs w:val="22"/>
        </w:rPr>
        <w:t>司收到北京市发展和改革委员会拨付的 </w:t>
      </w:r>
      <w:r>
        <w:rPr>
          <w:rFonts w:ascii="Times New Roman" w:hAnsi="Times New Roman" w:cs="Times New Roman" w:eastAsia="Times New Roman" w:hint="default"/>
          <w:sz w:val="22"/>
          <w:szCs w:val="22"/>
        </w:rPr>
        <w:t>macrostor</w:t>
      </w:r>
      <w:r>
        <w:rPr>
          <w:rFonts w:ascii="Times New Roman" w:hAnsi="Times New Roman" w:cs="Times New Roman" w:eastAsia="Times New Roman" w:hint="default"/>
          <w:spacing w:val="34"/>
          <w:sz w:val="22"/>
          <w:szCs w:val="22"/>
        </w:rPr>
        <w:t> </w:t>
      </w:r>
      <w:r>
        <w:rPr>
          <w:rFonts w:ascii="楷体" w:hAnsi="楷体" w:cs="楷体" w:eastAsia="楷体" w:hint="default"/>
          <w:spacing w:val="30"/>
          <w:sz w:val="22"/>
          <w:szCs w:val="22"/>
        </w:rPr>
        <w:t>智能持续支持保护系统的项目资金</w:t>
      </w:r>
      <w:r>
        <w:rPr>
          <w:rFonts w:ascii="楷体" w:hAnsi="楷体" w:cs="楷体" w:eastAsia="楷体" w:hint="default"/>
          <w:spacing w:val="-77"/>
          <w:sz w:val="22"/>
          <w:szCs w:val="22"/>
        </w:rPr>
        <w:t> </w:t>
      </w:r>
      <w:r>
        <w:rPr>
          <w:rFonts w:ascii="Times New Roman" w:hAnsi="Times New Roman" w:cs="Times New Roman" w:eastAsia="Times New Roman" w:hint="default"/>
          <w:sz w:val="22"/>
          <w:szCs w:val="22"/>
        </w:rPr>
        <w:t>3,000,000.00</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元。</w:t>
      </w:r>
    </w:p>
    <w:p>
      <w:pPr>
        <w:spacing w:line="307" w:lineRule="auto" w:before="95"/>
        <w:ind w:left="137" w:right="143" w:firstLine="440"/>
        <w:jc w:val="both"/>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41"/>
          <w:sz w:val="22"/>
          <w:szCs w:val="22"/>
        </w:rPr>
        <w:t> </w:t>
      </w:r>
      <w:r>
        <w:rPr>
          <w:rFonts w:ascii="Times New Roman" w:hAnsi="Times New Roman" w:cs="Times New Roman" w:eastAsia="Times New Roman" w:hint="default"/>
          <w:sz w:val="22"/>
          <w:szCs w:val="22"/>
        </w:rPr>
        <w:t>9</w:t>
      </w:r>
      <w:r>
        <w:rPr>
          <w:rFonts w:ascii="楷体" w:hAnsi="楷体" w:cs="楷体" w:eastAsia="楷体" w:hint="default"/>
          <w:sz w:val="22"/>
          <w:szCs w:val="22"/>
        </w:rPr>
        <w:t>：本公司所属子公司同方鞍山科技园有限公司收到鞍山市高新区管委会拨付的厂房改造</w:t>
      </w:r>
      <w:r>
        <w:rPr>
          <w:rFonts w:ascii="楷体" w:hAnsi="楷体" w:cs="楷体" w:eastAsia="楷体" w:hint="default"/>
          <w:w w:val="99"/>
          <w:sz w:val="22"/>
          <w:szCs w:val="22"/>
        </w:rPr>
        <w:t> </w:t>
      </w:r>
      <w:r>
        <w:rPr>
          <w:rFonts w:ascii="楷体" w:hAnsi="楷体" w:cs="楷体" w:eastAsia="楷体" w:hint="default"/>
          <w:sz w:val="22"/>
          <w:szCs w:val="22"/>
        </w:rPr>
        <w:t>及外线工程项目资金</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1,773,417.00</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元。</w:t>
      </w:r>
    </w:p>
    <w:p>
      <w:pPr>
        <w:spacing w:after="0" w:line="307" w:lineRule="auto"/>
        <w:jc w:val="both"/>
        <w:rPr>
          <w:rFonts w:ascii="楷体" w:hAnsi="楷体" w:cs="楷体" w:eastAsia="楷体" w:hint="default"/>
          <w:sz w:val="22"/>
          <w:szCs w:val="22"/>
        </w:rPr>
        <w:sectPr>
          <w:headerReference w:type="default" r:id="rId41"/>
          <w:pgSz w:w="11910" w:h="16840"/>
          <w:pgMar w:header="610" w:footer="784" w:top="1720" w:bottom="9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37.  </w:t>
      </w:r>
      <w:r>
        <w:rPr>
          <w:rFonts w:ascii="Times New Roman" w:hAnsi="Times New Roman" w:cs="Times New Roman" w:eastAsia="Times New Roman" w:hint="default"/>
          <w:b/>
          <w:bCs/>
          <w:spacing w:val="25"/>
          <w:sz w:val="22"/>
          <w:szCs w:val="22"/>
        </w:rPr>
        <w:t> </w:t>
      </w:r>
      <w:r>
        <w:rPr>
          <w:rFonts w:ascii="楷体" w:hAnsi="楷体" w:cs="楷体" w:eastAsia="楷体" w:hint="default"/>
          <w:sz w:val="22"/>
          <w:szCs w:val="22"/>
        </w:rPr>
        <w:t>股本</w:t>
      </w:r>
    </w:p>
    <w:p>
      <w:pPr>
        <w:spacing w:line="240" w:lineRule="auto" w:before="2"/>
        <w:rPr>
          <w:rFonts w:ascii="楷体" w:hAnsi="楷体" w:cs="楷体" w:eastAsia="楷体" w:hint="default"/>
          <w:sz w:val="11"/>
          <w:szCs w:val="11"/>
        </w:rPr>
      </w:pPr>
    </w:p>
    <w:p>
      <w:pPr>
        <w:spacing w:line="30" w:lineRule="exact"/>
        <w:ind w:left="290" w:right="0" w:firstLine="0"/>
        <w:rPr>
          <w:rFonts w:ascii="楷体" w:hAnsi="楷体" w:cs="楷体" w:eastAsia="楷体" w:hint="default"/>
          <w:sz w:val="3"/>
          <w:szCs w:val="3"/>
        </w:rPr>
      </w:pPr>
      <w:r>
        <w:rPr>
          <w:rFonts w:ascii="楷体" w:hAnsi="楷体" w:cs="楷体" w:eastAsia="楷体" w:hint="default"/>
          <w:position w:val="0"/>
          <w:sz w:val="3"/>
          <w:szCs w:val="3"/>
        </w:rPr>
        <w:pict>
          <v:group style="width:444.85pt;height:1.5pt;mso-position-horizontal-relative:char;mso-position-vertical-relative:line" coordorigin="0,0" coordsize="8897,30">
            <v:group style="position:absolute;left:15;top:15;width:8867;height:2" coordorigin="15,15" coordsize="8867,2">
              <v:shape style="position:absolute;left:15;top:15;width:8867;height:2" coordorigin="15,15" coordsize="8867,0" path="m15,15l8882,15e" filled="false" stroked="true" strokeweight="1.5pt" strokecolor="#000000">
                <v:path arrowok="t"/>
              </v:shape>
            </v:group>
          </v:group>
        </w:pict>
      </w:r>
      <w:r>
        <w:rPr>
          <w:rFonts w:ascii="楷体" w:hAnsi="楷体" w:cs="楷体" w:eastAsia="楷体" w:hint="default"/>
          <w:position w:val="0"/>
          <w:sz w:val="3"/>
          <w:szCs w:val="3"/>
        </w:rPr>
      </w:r>
    </w:p>
    <w:p>
      <w:pPr>
        <w:spacing w:after="0" w:line="30" w:lineRule="exact"/>
        <w:rPr>
          <w:rFonts w:ascii="楷体" w:hAnsi="楷体" w:cs="楷体" w:eastAsia="楷体" w:hint="default"/>
          <w:sz w:val="3"/>
          <w:szCs w:val="3"/>
        </w:rPr>
        <w:sectPr>
          <w:headerReference w:type="default" r:id="rId42"/>
          <w:pgSz w:w="11910" w:h="16840"/>
          <w:pgMar w:header="610" w:footer="784" w:top="1080" w:bottom="980" w:left="1280" w:right="1140"/>
        </w:sectPr>
      </w:pPr>
    </w:p>
    <w:p>
      <w:pPr>
        <w:spacing w:before="65"/>
        <w:ind w:left="405" w:right="-15" w:firstLine="0"/>
        <w:jc w:val="left"/>
        <w:rPr>
          <w:rFonts w:ascii="Microsoft JhengHei" w:hAnsi="Microsoft JhengHei" w:cs="Microsoft JhengHei" w:eastAsia="Microsoft JhengHei" w:hint="default"/>
          <w:sz w:val="18"/>
          <w:szCs w:val="18"/>
        </w:rPr>
      </w:pPr>
      <w:r>
        <w:rPr/>
        <w:pict>
          <v:shape style="position:absolute;margin-left:78.900002pt;margin-top:14.405563pt;width:443.7pt;height:86.25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9"/>
                    <w:gridCol w:w="1212"/>
                    <w:gridCol w:w="885"/>
                    <w:gridCol w:w="1036"/>
                    <w:gridCol w:w="1183"/>
                    <w:gridCol w:w="1062"/>
                    <w:gridCol w:w="1163"/>
                    <w:gridCol w:w="813"/>
                  </w:tblGrid>
                  <w:tr>
                    <w:trPr>
                      <w:trHeight w:val="293" w:hRule="exact"/>
                    </w:trPr>
                    <w:tc>
                      <w:tcPr>
                        <w:tcW w:w="1519" w:type="dxa"/>
                        <w:tcBorders>
                          <w:top w:val="nil" w:sz="6" w:space="0" w:color="auto"/>
                          <w:left w:val="nil" w:sz="6" w:space="0" w:color="auto"/>
                          <w:bottom w:val="single" w:sz="4" w:space="0" w:color="000000"/>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3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885"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2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036"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1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发行新股</w:t>
                        </w:r>
                        <w:r>
                          <w:rPr>
                            <w:rFonts w:ascii="Microsoft JhengHei" w:hAnsi="Microsoft JhengHei" w:cs="Microsoft JhengHei" w:eastAsia="Microsoft JhengHei" w:hint="default"/>
                            <w:sz w:val="18"/>
                            <w:szCs w:val="18"/>
                          </w:rPr>
                        </w:r>
                      </w:p>
                    </w:tc>
                    <w:tc>
                      <w:tcPr>
                        <w:tcW w:w="1183"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3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公积金转股</w:t>
                        </w:r>
                        <w:r>
                          <w:rPr>
                            <w:rFonts w:ascii="Microsoft JhengHei" w:hAnsi="Microsoft JhengHei" w:cs="Microsoft JhengHei" w:eastAsia="Microsoft JhengHei" w:hint="default"/>
                            <w:sz w:val="18"/>
                            <w:szCs w:val="18"/>
                          </w:rPr>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6" w:lineRule="exact"/>
                          <w:ind w:right="6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1163"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3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813"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1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r>
                  <w:tr>
                    <w:trPr>
                      <w:trHeight w:val="571" w:hRule="exact"/>
                    </w:trPr>
                    <w:tc>
                      <w:tcPr>
                        <w:tcW w:w="1519"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有限售条件股份</w:t>
                        </w:r>
                        <w:r>
                          <w:rPr>
                            <w:rFonts w:ascii="Microsoft JhengHei" w:hAnsi="Microsoft JhengHei" w:cs="Microsoft JhengHei" w:eastAsia="Microsoft JhengHei" w:hint="default"/>
                            <w:sz w:val="18"/>
                            <w:szCs w:val="18"/>
                          </w:rPr>
                        </w:r>
                      </w:p>
                      <w:p>
                        <w:pPr>
                          <w:pStyle w:val="TableParagraph"/>
                          <w:spacing w:line="240" w:lineRule="auto" w:before="28"/>
                          <w:ind w:left="107" w:right="0"/>
                          <w:jc w:val="left"/>
                          <w:rPr>
                            <w:rFonts w:ascii="楷体" w:hAnsi="楷体" w:cs="楷体" w:eastAsia="楷体" w:hint="default"/>
                            <w:sz w:val="18"/>
                            <w:szCs w:val="18"/>
                          </w:rPr>
                        </w:pPr>
                        <w:r>
                          <w:rPr>
                            <w:rFonts w:ascii="楷体" w:hAnsi="楷体" w:cs="楷体" w:eastAsia="楷体" w:hint="default"/>
                            <w:sz w:val="18"/>
                            <w:szCs w:val="18"/>
                          </w:rPr>
                          <w:t>国家持有股</w:t>
                        </w:r>
                      </w:p>
                    </w:tc>
                    <w:tc>
                      <w:tcPr>
                        <w:tcW w:w="1212" w:type="dxa"/>
                        <w:tcBorders>
                          <w:top w:val="single" w:sz="4" w:space="0" w:color="000000"/>
                          <w:left w:val="nil" w:sz="6" w:space="0" w:color="auto"/>
                          <w:bottom w:val="nil" w:sz="6" w:space="0" w:color="auto"/>
                          <w:right w:val="nil" w:sz="6" w:space="0" w:color="auto"/>
                        </w:tcBorders>
                      </w:tcPr>
                      <w:p>
                        <w:pPr/>
                      </w:p>
                    </w:tc>
                    <w:tc>
                      <w:tcPr>
                        <w:tcW w:w="885" w:type="dxa"/>
                        <w:tcBorders>
                          <w:top w:val="single" w:sz="4" w:space="0" w:color="000000"/>
                          <w:left w:val="nil" w:sz="6" w:space="0" w:color="auto"/>
                          <w:bottom w:val="nil" w:sz="6" w:space="0" w:color="auto"/>
                          <w:right w:val="nil" w:sz="6" w:space="0" w:color="auto"/>
                        </w:tcBorders>
                      </w:tcPr>
                      <w:p>
                        <w:pPr/>
                      </w:p>
                    </w:tc>
                    <w:tc>
                      <w:tcPr>
                        <w:tcW w:w="1036" w:type="dxa"/>
                        <w:tcBorders>
                          <w:top w:val="single" w:sz="4" w:space="0" w:color="000000"/>
                          <w:left w:val="nil" w:sz="6" w:space="0" w:color="auto"/>
                          <w:bottom w:val="nil" w:sz="6" w:space="0" w:color="auto"/>
                          <w:right w:val="nil" w:sz="6" w:space="0" w:color="auto"/>
                        </w:tcBorders>
                      </w:tcPr>
                      <w:p>
                        <w:pPr/>
                      </w:p>
                    </w:tc>
                    <w:tc>
                      <w:tcPr>
                        <w:tcW w:w="1183" w:type="dxa"/>
                        <w:tcBorders>
                          <w:top w:val="single" w:sz="4" w:space="0" w:color="000000"/>
                          <w:left w:val="nil" w:sz="6" w:space="0" w:color="auto"/>
                          <w:bottom w:val="nil" w:sz="6" w:space="0" w:color="auto"/>
                          <w:right w:val="nil" w:sz="6" w:space="0" w:color="auto"/>
                        </w:tcBorders>
                      </w:tcPr>
                      <w:p>
                        <w:pPr/>
                      </w:p>
                    </w:tc>
                    <w:tc>
                      <w:tcPr>
                        <w:tcW w:w="1062" w:type="dxa"/>
                        <w:tcBorders>
                          <w:top w:val="single" w:sz="4" w:space="0" w:color="000000"/>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nil" w:sz="6" w:space="0" w:color="auto"/>
                        </w:tcBorders>
                      </w:tcPr>
                      <w:p>
                        <w:pPr/>
                      </w:p>
                    </w:tc>
                    <w:tc>
                      <w:tcPr>
                        <w:tcW w:w="813" w:type="dxa"/>
                        <w:tcBorders>
                          <w:top w:val="single" w:sz="4" w:space="0" w:color="000000"/>
                          <w:left w:val="nil" w:sz="6" w:space="0" w:color="auto"/>
                          <w:bottom w:val="nil" w:sz="6" w:space="0" w:color="auto"/>
                          <w:right w:val="nil" w:sz="6" w:space="0" w:color="auto"/>
                        </w:tcBorders>
                      </w:tcPr>
                      <w:p>
                        <w:pPr/>
                      </w:p>
                    </w:tc>
                  </w:tr>
                  <w:tr>
                    <w:trPr>
                      <w:trHeight w:val="288" w:hRule="exact"/>
                    </w:trPr>
                    <w:tc>
                      <w:tcPr>
                        <w:tcW w:w="3616" w:type="dxa"/>
                        <w:gridSpan w:val="3"/>
                        <w:tcBorders>
                          <w:top w:val="nil" w:sz="6" w:space="0" w:color="auto"/>
                          <w:left w:val="nil" w:sz="6" w:space="0" w:color="auto"/>
                          <w:bottom w:val="nil" w:sz="6" w:space="0" w:color="auto"/>
                          <w:right w:val="nil" w:sz="6" w:space="0" w:color="auto"/>
                        </w:tcBorders>
                      </w:tcPr>
                      <w:p>
                        <w:pPr>
                          <w:pStyle w:val="TableParagraph"/>
                          <w:tabs>
                            <w:tab w:pos="1655" w:val="left" w:leader="none"/>
                          </w:tabs>
                          <w:spacing w:line="240" w:lineRule="exact"/>
                          <w:ind w:left="108"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国有法人持股</w:t>
                          <w:tab/>
                        </w:r>
                        <w:r>
                          <w:rPr>
                            <w:rFonts w:ascii="Times New Roman" w:hAnsi="Times New Roman" w:cs="Times New Roman" w:eastAsia="Times New Roman" w:hint="default"/>
                            <w:sz w:val="18"/>
                            <w:szCs w:val="18"/>
                          </w:rPr>
                          <w:t>189,986,980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73" w:right="0"/>
                          <w:jc w:val="left"/>
                          <w:rPr>
                            <w:rFonts w:ascii="Times New Roman" w:hAnsi="Times New Roman" w:cs="Times New Roman" w:eastAsia="Times New Roman" w:hint="default"/>
                            <w:sz w:val="18"/>
                            <w:szCs w:val="18"/>
                          </w:rPr>
                        </w:pPr>
                        <w:r>
                          <w:rPr>
                            <w:rFonts w:ascii="Times New Roman"/>
                            <w:sz w:val="18"/>
                          </w:rPr>
                          <w:t>30.22%</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1" w:right="0"/>
                          <w:jc w:val="center"/>
                          <w:rPr>
                            <w:rFonts w:ascii="Times New Roman" w:hAnsi="Times New Roman" w:cs="Times New Roman" w:eastAsia="Times New Roman" w:hint="default"/>
                            <w:sz w:val="18"/>
                            <w:szCs w:val="18"/>
                          </w:rPr>
                        </w:pPr>
                        <w:r>
                          <w:rPr>
                            <w:rFonts w:ascii="Times New Roman"/>
                            <w:sz w:val="18"/>
                          </w:rPr>
                          <w:t>56,996,094</w:t>
                        </w:r>
                      </w:p>
                    </w:tc>
                    <w:tc>
                      <w:tcPr>
                        <w:tcW w:w="106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66" w:right="0"/>
                          <w:jc w:val="left"/>
                          <w:rPr>
                            <w:rFonts w:ascii="Times New Roman" w:hAnsi="Times New Roman" w:cs="Times New Roman" w:eastAsia="Times New Roman" w:hint="default"/>
                            <w:sz w:val="18"/>
                            <w:szCs w:val="18"/>
                          </w:rPr>
                        </w:pPr>
                        <w:r>
                          <w:rPr>
                            <w:rFonts w:ascii="Times New Roman"/>
                            <w:sz w:val="18"/>
                          </w:rPr>
                          <w:t>246,983,074</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5" w:right="0"/>
                          <w:jc w:val="left"/>
                          <w:rPr>
                            <w:rFonts w:ascii="Times New Roman" w:hAnsi="Times New Roman" w:cs="Times New Roman" w:eastAsia="Times New Roman" w:hint="default"/>
                            <w:sz w:val="18"/>
                            <w:szCs w:val="18"/>
                          </w:rPr>
                        </w:pPr>
                        <w:r>
                          <w:rPr>
                            <w:rFonts w:ascii="Times New Roman"/>
                            <w:sz w:val="18"/>
                          </w:rPr>
                          <w:t>25.28%</w:t>
                        </w:r>
                      </w:p>
                    </w:tc>
                  </w:tr>
                  <w:tr>
                    <w:trPr>
                      <w:trHeight w:val="313" w:hRule="exact"/>
                    </w:trPr>
                    <w:tc>
                      <w:tcPr>
                        <w:tcW w:w="3616" w:type="dxa"/>
                        <w:gridSpan w:val="3"/>
                        <w:tcBorders>
                          <w:top w:val="nil" w:sz="6" w:space="0" w:color="auto"/>
                          <w:left w:val="nil" w:sz="6" w:space="0" w:color="auto"/>
                          <w:bottom w:val="nil" w:sz="6" w:space="0" w:color="auto"/>
                          <w:right w:val="nil" w:sz="6" w:space="0" w:color="auto"/>
                        </w:tcBorders>
                      </w:tcPr>
                      <w:p>
                        <w:pPr>
                          <w:pStyle w:val="TableParagraph"/>
                          <w:tabs>
                            <w:tab w:pos="1745" w:val="left" w:leader="none"/>
                          </w:tabs>
                          <w:spacing w:line="235"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其他内资持股</w:t>
                          <w:tab/>
                        </w:r>
                        <w:r>
                          <w:rPr>
                            <w:rFonts w:ascii="Times New Roman" w:hAnsi="Times New Roman" w:cs="Times New Roman" w:eastAsia="Times New Roman" w:hint="default"/>
                            <w:sz w:val="18"/>
                            <w:szCs w:val="18"/>
                          </w:rPr>
                          <w:t>54,000,000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3" w:right="0"/>
                          <w:jc w:val="left"/>
                          <w:rPr>
                            <w:rFonts w:ascii="Times New Roman" w:hAnsi="Times New Roman" w:cs="Times New Roman" w:eastAsia="Times New Roman" w:hint="default"/>
                            <w:sz w:val="18"/>
                            <w:szCs w:val="18"/>
                          </w:rPr>
                        </w:pPr>
                        <w:r>
                          <w:rPr>
                            <w:rFonts w:ascii="Times New Roman"/>
                            <w:sz w:val="18"/>
                          </w:rPr>
                          <w:t>8.59%</w:t>
                        </w:r>
                      </w:p>
                    </w:tc>
                    <w:tc>
                      <w:tcPr>
                        <w:tcW w:w="1183"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9"/>
                          <w:jc w:val="center"/>
                          <w:rPr>
                            <w:rFonts w:ascii="Times New Roman" w:hAnsi="Times New Roman" w:cs="Times New Roman" w:eastAsia="Times New Roman" w:hint="default"/>
                            <w:sz w:val="18"/>
                            <w:szCs w:val="18"/>
                          </w:rPr>
                        </w:pPr>
                        <w:r>
                          <w:rPr>
                            <w:rFonts w:ascii="Times New Roman"/>
                            <w:w w:val="95"/>
                            <w:sz w:val="18"/>
                          </w:rPr>
                          <w:t>-54,000,000</w:t>
                        </w:r>
                        <w:r>
                          <w:rPr>
                            <w:rFonts w:ascii="Times New Roman"/>
                            <w:sz w:val="18"/>
                          </w:rPr>
                        </w:r>
                      </w:p>
                    </w:tc>
                    <w:tc>
                      <w:tcPr>
                        <w:tcW w:w="1163" w:type="dxa"/>
                        <w:tcBorders>
                          <w:top w:val="nil" w:sz="6" w:space="0" w:color="auto"/>
                          <w:left w:val="nil" w:sz="6" w:space="0" w:color="auto"/>
                          <w:bottom w:val="nil" w:sz="6" w:space="0" w:color="auto"/>
                          <w:right w:val="nil" w:sz="6" w:space="0" w:color="auto"/>
                        </w:tcBorders>
                      </w:tcPr>
                      <w:p>
                        <w:pPr/>
                      </w:p>
                    </w:tc>
                    <w:tc>
                      <w:tcPr>
                        <w:tcW w:w="813" w:type="dxa"/>
                        <w:tcBorders>
                          <w:top w:val="nil" w:sz="6" w:space="0" w:color="auto"/>
                          <w:left w:val="nil" w:sz="6" w:space="0" w:color="auto"/>
                          <w:bottom w:val="nil" w:sz="6" w:space="0" w:color="auto"/>
                          <w:right w:val="nil" w:sz="6" w:space="0" w:color="auto"/>
                        </w:tcBorders>
                      </w:tcPr>
                      <w:p>
                        <w:pPr/>
                      </w:p>
                    </w:tc>
                  </w:tr>
                  <w:tr>
                    <w:trPr>
                      <w:trHeight w:val="261" w:hRule="exact"/>
                    </w:trPr>
                    <w:tc>
                      <w:tcPr>
                        <w:tcW w:w="3616" w:type="dxa"/>
                        <w:gridSpan w:val="3"/>
                        <w:tcBorders>
                          <w:top w:val="nil" w:sz="6" w:space="0" w:color="auto"/>
                          <w:left w:val="nil" w:sz="6" w:space="0" w:color="auto"/>
                          <w:bottom w:val="nil" w:sz="6" w:space="0" w:color="auto"/>
                          <w:right w:val="nil" w:sz="6" w:space="0" w:color="auto"/>
                        </w:tcBorders>
                      </w:tcPr>
                      <w:p>
                        <w:pPr>
                          <w:pStyle w:val="TableParagraph"/>
                          <w:spacing w:line="105" w:lineRule="exact"/>
                          <w:ind w:left="108" w:right="0"/>
                          <w:jc w:val="left"/>
                          <w:rPr>
                            <w:rFonts w:ascii="楷体" w:hAnsi="楷体" w:cs="楷体" w:eastAsia="楷体" w:hint="default"/>
                            <w:sz w:val="18"/>
                            <w:szCs w:val="18"/>
                          </w:rPr>
                        </w:pPr>
                        <w:r>
                          <w:rPr>
                            <w:rFonts w:ascii="楷体" w:hAnsi="楷体" w:cs="楷体" w:eastAsia="楷体" w:hint="default"/>
                            <w:spacing w:val="8"/>
                            <w:sz w:val="18"/>
                            <w:szCs w:val="18"/>
                          </w:rPr>
                          <w:t>其中：境内法人</w:t>
                        </w:r>
                        <w:r>
                          <w:rPr>
                            <w:rFonts w:ascii="楷体" w:hAnsi="楷体" w:cs="楷体" w:eastAsia="楷体" w:hint="default"/>
                            <w:sz w:val="18"/>
                            <w:szCs w:val="18"/>
                          </w:rPr>
                        </w:r>
                      </w:p>
                      <w:p>
                        <w:pPr>
                          <w:pStyle w:val="TableParagraph"/>
                          <w:tabs>
                            <w:tab w:pos="1745" w:val="left" w:leader="none"/>
                          </w:tabs>
                          <w:spacing w:line="196" w:lineRule="exact"/>
                          <w:ind w:left="108" w:right="0"/>
                          <w:jc w:val="left"/>
                          <w:rPr>
                            <w:rFonts w:ascii="Times New Roman" w:hAnsi="Times New Roman" w:cs="Times New Roman" w:eastAsia="Times New Roman" w:hint="default"/>
                            <w:sz w:val="18"/>
                            <w:szCs w:val="18"/>
                          </w:rPr>
                        </w:pPr>
                        <w:r>
                          <w:rPr>
                            <w:rFonts w:ascii="楷体" w:hAnsi="楷体" w:cs="楷体" w:eastAsia="楷体" w:hint="default"/>
                            <w:position w:val="-9"/>
                            <w:sz w:val="18"/>
                            <w:szCs w:val="18"/>
                          </w:rPr>
                          <w:t>持股</w:t>
                          <w:tab/>
                        </w:r>
                        <w:r>
                          <w:rPr>
                            <w:rFonts w:ascii="Times New Roman" w:hAnsi="Times New Roman" w:cs="Times New Roman" w:eastAsia="Times New Roman" w:hint="default"/>
                            <w:sz w:val="18"/>
                            <w:szCs w:val="18"/>
                          </w:rPr>
                          <w:t>54,000,000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63" w:right="0"/>
                          <w:jc w:val="left"/>
                          <w:rPr>
                            <w:rFonts w:ascii="Times New Roman" w:hAnsi="Times New Roman" w:cs="Times New Roman" w:eastAsia="Times New Roman" w:hint="default"/>
                            <w:sz w:val="18"/>
                            <w:szCs w:val="18"/>
                          </w:rPr>
                        </w:pPr>
                        <w:r>
                          <w:rPr>
                            <w:rFonts w:ascii="Times New Roman"/>
                            <w:sz w:val="18"/>
                          </w:rPr>
                          <w:t>8.59%</w:t>
                        </w:r>
                      </w:p>
                    </w:tc>
                    <w:tc>
                      <w:tcPr>
                        <w:tcW w:w="1183"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9"/>
                          <w:jc w:val="center"/>
                          <w:rPr>
                            <w:rFonts w:ascii="Times New Roman" w:hAnsi="Times New Roman" w:cs="Times New Roman" w:eastAsia="Times New Roman" w:hint="default"/>
                            <w:sz w:val="18"/>
                            <w:szCs w:val="18"/>
                          </w:rPr>
                        </w:pPr>
                        <w:r>
                          <w:rPr>
                            <w:rFonts w:ascii="Times New Roman"/>
                            <w:w w:val="95"/>
                            <w:sz w:val="18"/>
                          </w:rPr>
                          <w:t>-54,000,000</w:t>
                        </w:r>
                        <w:r>
                          <w:rPr>
                            <w:rFonts w:ascii="Times New Roman"/>
                            <w:sz w:val="18"/>
                          </w:rPr>
                        </w:r>
                      </w:p>
                    </w:tc>
                    <w:tc>
                      <w:tcPr>
                        <w:tcW w:w="1163" w:type="dxa"/>
                        <w:tcBorders>
                          <w:top w:val="nil" w:sz="6" w:space="0" w:color="auto"/>
                          <w:left w:val="nil" w:sz="6" w:space="0" w:color="auto"/>
                          <w:bottom w:val="nil" w:sz="6" w:space="0" w:color="auto"/>
                          <w:right w:val="nil" w:sz="6" w:space="0" w:color="auto"/>
                        </w:tcBorders>
                      </w:tcPr>
                      <w:p>
                        <w:pPr/>
                      </w:p>
                    </w:tc>
                    <w:tc>
                      <w:tcPr>
                        <w:tcW w:w="81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sz w:val="18"/>
          <w:szCs w:val="18"/>
        </w:rPr>
        <w:t>股东名称</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p>
      <w:pPr>
        <w:tabs>
          <w:tab w:pos="3062" w:val="left" w:leader="none"/>
          <w:tab w:pos="5719" w:val="left" w:leader="none"/>
        </w:tabs>
        <w:spacing w:line="246" w:lineRule="exact" w:before="0"/>
        <w:ind w:left="405"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年初金额</w:t>
        <w:tab/>
        <w:t>本年变动</w:t>
        <w:tab/>
        <w:t>年末金额</w:t>
      </w:r>
      <w:r>
        <w:rPr>
          <w:rFonts w:ascii="Microsoft JhengHei" w:hAnsi="Microsoft JhengHei" w:cs="Microsoft JhengHei" w:eastAsia="Microsoft JhengHei" w:hint="default"/>
          <w:sz w:val="18"/>
          <w:szCs w:val="18"/>
        </w:rPr>
      </w:r>
    </w:p>
    <w:p>
      <w:pPr>
        <w:spacing w:after="0" w:line="246" w:lineRule="exact"/>
        <w:jc w:val="left"/>
        <w:rPr>
          <w:rFonts w:ascii="Microsoft JhengHei" w:hAnsi="Microsoft JhengHei" w:cs="Microsoft JhengHei" w:eastAsia="Microsoft JhengHei" w:hint="default"/>
          <w:sz w:val="18"/>
          <w:szCs w:val="18"/>
        </w:rPr>
        <w:sectPr>
          <w:type w:val="continuous"/>
          <w:pgSz w:w="11910" w:h="16840"/>
          <w:pgMar w:top="1600" w:bottom="280" w:left="1280" w:right="1140"/>
          <w:cols w:num="2" w:equalWidth="0">
            <w:col w:w="1541" w:space="537"/>
            <w:col w:w="7412"/>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6"/>
          <w:szCs w:val="16"/>
        </w:rPr>
      </w:pPr>
    </w:p>
    <w:p>
      <w:pPr>
        <w:spacing w:before="44"/>
        <w:ind w:left="406" w:right="6555" w:firstLine="0"/>
        <w:jc w:val="left"/>
        <w:rPr>
          <w:rFonts w:ascii="楷体" w:hAnsi="楷体" w:cs="楷体" w:eastAsia="楷体" w:hint="default"/>
          <w:sz w:val="18"/>
          <w:szCs w:val="18"/>
        </w:rPr>
      </w:pPr>
      <w:r>
        <w:rPr>
          <w:rFonts w:ascii="楷体" w:hAnsi="楷体" w:cs="楷体" w:eastAsia="楷体" w:hint="default"/>
          <w:sz w:val="18"/>
          <w:szCs w:val="18"/>
        </w:rPr>
        <w:t>境内自然人持股</w:t>
      </w:r>
    </w:p>
    <w:p>
      <w:pPr>
        <w:spacing w:line="189" w:lineRule="auto" w:before="91"/>
        <w:ind w:left="406" w:right="7756" w:firstLine="0"/>
        <w:jc w:val="left"/>
        <w:rPr>
          <w:rFonts w:ascii="Microsoft JhengHei" w:hAnsi="Microsoft JhengHei" w:cs="Microsoft JhengHei" w:eastAsia="Microsoft JhengHei" w:hint="default"/>
          <w:sz w:val="18"/>
          <w:szCs w:val="18"/>
        </w:rPr>
      </w:pPr>
      <w:r>
        <w:rPr/>
        <w:pict>
          <v:shape style="position:absolute;margin-left:78.900002pt;margin-top:22.712181pt;width:443.7pt;height:122.45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2"/>
                    <w:gridCol w:w="904"/>
                    <w:gridCol w:w="1129"/>
                    <w:gridCol w:w="1130"/>
                    <w:gridCol w:w="1016"/>
                    <w:gridCol w:w="1135"/>
                    <w:gridCol w:w="888"/>
                  </w:tblGrid>
                  <w:tr>
                    <w:trPr>
                      <w:trHeight w:val="180" w:hRule="exact"/>
                    </w:trPr>
                    <w:tc>
                      <w:tcPr>
                        <w:tcW w:w="2672" w:type="dxa"/>
                        <w:tcBorders>
                          <w:top w:val="nil" w:sz="6" w:space="0" w:color="auto"/>
                          <w:left w:val="nil" w:sz="6" w:space="0" w:color="auto"/>
                          <w:bottom w:val="nil" w:sz="6" w:space="0" w:color="auto"/>
                          <w:right w:val="nil" w:sz="6" w:space="0" w:color="auto"/>
                        </w:tcBorders>
                      </w:tcPr>
                      <w:p>
                        <w:pPr>
                          <w:pStyle w:val="TableParagraph"/>
                          <w:tabs>
                            <w:tab w:pos="1547" w:val="left" w:leader="none"/>
                          </w:tabs>
                          <w:spacing w:line="220" w:lineRule="exact"/>
                          <w:ind w:right="4"/>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position w:val="-9"/>
                            <w:sz w:val="18"/>
                            <w:szCs w:val="18"/>
                          </w:rPr>
                          <w:t>合计</w:t>
                          <w:tab/>
                        </w:r>
                        <w:r>
                          <w:rPr>
                            <w:rFonts w:ascii="Times New Roman" w:hAnsi="Times New Roman" w:cs="Times New Roman" w:eastAsia="Times New Roman" w:hint="default"/>
                            <w:b/>
                            <w:bCs/>
                            <w:sz w:val="18"/>
                            <w:szCs w:val="18"/>
                          </w:rPr>
                          <w:t>243,986,980</w:t>
                        </w:r>
                        <w:r>
                          <w:rPr>
                            <w:rFonts w:ascii="Times New Roman" w:hAnsi="Times New Roman" w:cs="Times New Roman" w:eastAsia="Times New Roman" w:hint="default"/>
                            <w:sz w:val="18"/>
                            <w:szCs w:val="18"/>
                          </w:rPr>
                        </w:r>
                      </w:p>
                    </w:tc>
                    <w:tc>
                      <w:tcPr>
                        <w:tcW w:w="904" w:type="dxa"/>
                        <w:tcBorders>
                          <w:top w:val="nil" w:sz="6" w:space="0" w:color="auto"/>
                          <w:left w:val="nil" w:sz="6" w:space="0" w:color="auto"/>
                          <w:bottom w:val="nil" w:sz="6" w:space="0" w:color="auto"/>
                          <w:right w:val="nil" w:sz="6" w:space="0" w:color="auto"/>
                        </w:tcBorders>
                      </w:tcPr>
                      <w:p>
                        <w:pPr>
                          <w:pStyle w:val="TableParagraph"/>
                          <w:spacing w:line="184" w:lineRule="exact"/>
                          <w:ind w:right="111"/>
                          <w:jc w:val="right"/>
                          <w:rPr>
                            <w:rFonts w:ascii="Times New Roman" w:hAnsi="Times New Roman" w:cs="Times New Roman" w:eastAsia="Times New Roman" w:hint="default"/>
                            <w:sz w:val="18"/>
                            <w:szCs w:val="18"/>
                          </w:rPr>
                        </w:pPr>
                        <w:r>
                          <w:rPr>
                            <w:rFonts w:ascii="Times New Roman"/>
                            <w:b/>
                            <w:sz w:val="18"/>
                          </w:rPr>
                          <w:t>38.81%</w:t>
                        </w:r>
                        <w:r>
                          <w:rPr>
                            <w:rFonts w:ascii="Times New Roman"/>
                            <w:sz w:val="18"/>
                          </w:rPr>
                        </w:r>
                      </w:p>
                    </w:tc>
                    <w:tc>
                      <w:tcPr>
                        <w:tcW w:w="112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184" w:lineRule="exact"/>
                          <w:ind w:right="112"/>
                          <w:jc w:val="right"/>
                          <w:rPr>
                            <w:rFonts w:ascii="Times New Roman" w:hAnsi="Times New Roman" w:cs="Times New Roman" w:eastAsia="Times New Roman" w:hint="default"/>
                            <w:sz w:val="18"/>
                            <w:szCs w:val="18"/>
                          </w:rPr>
                        </w:pPr>
                        <w:r>
                          <w:rPr>
                            <w:rFonts w:ascii="Times New Roman"/>
                            <w:b/>
                            <w:sz w:val="18"/>
                          </w:rPr>
                          <w:t>56,996,094</w:t>
                        </w:r>
                        <w:r>
                          <w:rPr>
                            <w:rFonts w:ascii="Times New Roman"/>
                            <w:sz w:val="18"/>
                          </w:rPr>
                        </w:r>
                      </w:p>
                    </w:tc>
                    <w:tc>
                      <w:tcPr>
                        <w:tcW w:w="1016" w:type="dxa"/>
                        <w:tcBorders>
                          <w:top w:val="nil" w:sz="6" w:space="0" w:color="auto"/>
                          <w:left w:val="nil" w:sz="6" w:space="0" w:color="auto"/>
                          <w:bottom w:val="nil" w:sz="6" w:space="0" w:color="auto"/>
                          <w:right w:val="nil" w:sz="6" w:space="0" w:color="auto"/>
                        </w:tcBorders>
                      </w:tcPr>
                      <w:p>
                        <w:pPr>
                          <w:pStyle w:val="TableParagraph"/>
                          <w:spacing w:line="184" w:lineRule="exact"/>
                          <w:ind w:right="3"/>
                          <w:jc w:val="center"/>
                          <w:rPr>
                            <w:rFonts w:ascii="Times New Roman" w:hAnsi="Times New Roman" w:cs="Times New Roman" w:eastAsia="Times New Roman" w:hint="default"/>
                            <w:sz w:val="18"/>
                            <w:szCs w:val="18"/>
                          </w:rPr>
                        </w:pPr>
                        <w:r>
                          <w:rPr>
                            <w:rFonts w:ascii="Times New Roman"/>
                            <w:b/>
                            <w:w w:val="95"/>
                            <w:sz w:val="18"/>
                          </w:rPr>
                          <w:t>-54,000,000</w:t>
                        </w:r>
                        <w:r>
                          <w:rPr>
                            <w:rFonts w:ascii="Times New Roman"/>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184" w:lineRule="exact"/>
                          <w:ind w:right="112"/>
                          <w:jc w:val="right"/>
                          <w:rPr>
                            <w:rFonts w:ascii="Times New Roman" w:hAnsi="Times New Roman" w:cs="Times New Roman" w:eastAsia="Times New Roman" w:hint="default"/>
                            <w:sz w:val="18"/>
                            <w:szCs w:val="18"/>
                          </w:rPr>
                        </w:pPr>
                        <w:r>
                          <w:rPr>
                            <w:rFonts w:ascii="Times New Roman"/>
                            <w:b/>
                            <w:w w:val="85"/>
                            <w:sz w:val="18"/>
                          </w:rPr>
                          <w:t>246,983,074</w:t>
                        </w:r>
                        <w:r>
                          <w:rPr>
                            <w:rFonts w:ascii="Times New Roman"/>
                            <w:sz w:val="18"/>
                          </w:rPr>
                        </w:r>
                      </w:p>
                    </w:tc>
                    <w:tc>
                      <w:tcPr>
                        <w:tcW w:w="888" w:type="dxa"/>
                        <w:tcBorders>
                          <w:top w:val="nil" w:sz="6" w:space="0" w:color="auto"/>
                          <w:left w:val="nil" w:sz="6" w:space="0" w:color="auto"/>
                          <w:bottom w:val="nil" w:sz="6" w:space="0" w:color="auto"/>
                          <w:right w:val="nil" w:sz="6" w:space="0" w:color="auto"/>
                        </w:tcBorders>
                      </w:tcPr>
                      <w:p>
                        <w:pPr>
                          <w:pStyle w:val="TableParagraph"/>
                          <w:spacing w:line="184" w:lineRule="exact"/>
                          <w:ind w:right="98"/>
                          <w:jc w:val="right"/>
                          <w:rPr>
                            <w:rFonts w:ascii="Times New Roman" w:hAnsi="Times New Roman" w:cs="Times New Roman" w:eastAsia="Times New Roman" w:hint="default"/>
                            <w:sz w:val="18"/>
                            <w:szCs w:val="18"/>
                          </w:rPr>
                        </w:pPr>
                        <w:r>
                          <w:rPr>
                            <w:rFonts w:ascii="Times New Roman"/>
                            <w:b/>
                            <w:w w:val="85"/>
                            <w:sz w:val="18"/>
                          </w:rPr>
                          <w:t>25.28%</w:t>
                        </w:r>
                        <w:r>
                          <w:rPr>
                            <w:rFonts w:ascii="Times New Roman"/>
                            <w:sz w:val="18"/>
                          </w:rPr>
                        </w:r>
                      </w:p>
                    </w:tc>
                  </w:tr>
                  <w:tr>
                    <w:trPr>
                      <w:trHeight w:val="398" w:hRule="exact"/>
                    </w:trPr>
                    <w:tc>
                      <w:tcPr>
                        <w:tcW w:w="8874"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无限售条件股份</w:t>
                        </w:r>
                        <w:r>
                          <w:rPr>
                            <w:rFonts w:ascii="Microsoft JhengHei" w:hAnsi="Microsoft JhengHei" w:cs="Microsoft JhengHei" w:eastAsia="Microsoft JhengHei" w:hint="default"/>
                            <w:sz w:val="18"/>
                            <w:szCs w:val="18"/>
                          </w:rPr>
                        </w:r>
                      </w:p>
                    </w:tc>
                  </w:tr>
                  <w:tr>
                    <w:trPr>
                      <w:trHeight w:val="742" w:hRule="exact"/>
                    </w:trPr>
                    <w:tc>
                      <w:tcPr>
                        <w:tcW w:w="2672" w:type="dxa"/>
                        <w:tcBorders>
                          <w:top w:val="nil" w:sz="6" w:space="0" w:color="auto"/>
                          <w:left w:val="nil" w:sz="6" w:space="0" w:color="auto"/>
                          <w:bottom w:val="nil" w:sz="6" w:space="0" w:color="auto"/>
                          <w:right w:val="nil" w:sz="6" w:space="0" w:color="auto"/>
                        </w:tcBorders>
                      </w:tcPr>
                      <w:p>
                        <w:pPr>
                          <w:pStyle w:val="TableParagraph"/>
                          <w:tabs>
                            <w:tab w:pos="1655" w:val="left" w:leader="none"/>
                          </w:tabs>
                          <w:spacing w:line="241"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人民币普通股</w:t>
                          <w:tab/>
                        </w:r>
                        <w:r>
                          <w:rPr>
                            <w:rFonts w:ascii="Times New Roman" w:hAnsi="Times New Roman" w:cs="Times New Roman" w:eastAsia="Times New Roman" w:hint="default"/>
                            <w:sz w:val="18"/>
                            <w:szCs w:val="18"/>
                          </w:rPr>
                          <w:t>384,625,315</w:t>
                        </w:r>
                      </w:p>
                      <w:p>
                        <w:pPr>
                          <w:pStyle w:val="TableParagraph"/>
                          <w:spacing w:line="284" w:lineRule="exact" w:before="16"/>
                          <w:ind w:left="108" w:right="1301"/>
                          <w:jc w:val="left"/>
                          <w:rPr>
                            <w:rFonts w:ascii="楷体" w:hAnsi="楷体" w:cs="楷体" w:eastAsia="楷体" w:hint="default"/>
                            <w:sz w:val="18"/>
                            <w:szCs w:val="18"/>
                          </w:rPr>
                        </w:pPr>
                        <w:r>
                          <w:rPr>
                            <w:rFonts w:ascii="楷体" w:hAnsi="楷体" w:cs="楷体" w:eastAsia="楷体" w:hint="default"/>
                            <w:sz w:val="18"/>
                            <w:szCs w:val="18"/>
                          </w:rPr>
                          <w:t>境内上市外资股 境外上市外资股</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3"/>
                          <w:jc w:val="right"/>
                          <w:rPr>
                            <w:rFonts w:ascii="Times New Roman" w:hAnsi="Times New Roman" w:cs="Times New Roman" w:eastAsia="Times New Roman" w:hint="default"/>
                            <w:sz w:val="18"/>
                            <w:szCs w:val="18"/>
                          </w:rPr>
                        </w:pPr>
                        <w:r>
                          <w:rPr>
                            <w:rFonts w:ascii="Times New Roman"/>
                            <w:sz w:val="18"/>
                          </w:rPr>
                          <w:t>61.19%</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1"/>
                          <w:jc w:val="right"/>
                          <w:rPr>
                            <w:rFonts w:ascii="Times New Roman" w:hAnsi="Times New Roman" w:cs="Times New Roman" w:eastAsia="Times New Roman" w:hint="default"/>
                            <w:sz w:val="18"/>
                            <w:szCs w:val="18"/>
                          </w:rPr>
                        </w:pPr>
                        <w:r>
                          <w:rPr>
                            <w:rFonts w:ascii="Times New Roman"/>
                            <w:spacing w:val="-1"/>
                            <w:w w:val="85"/>
                            <w:sz w:val="18"/>
                          </w:rPr>
                          <w:t>122,903,516</w:t>
                        </w:r>
                        <w:r>
                          <w:rPr>
                            <w:rFonts w:ascii="Times New Roman"/>
                            <w:spacing w:val="-1"/>
                            <w:sz w:val="18"/>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2"/>
                          <w:jc w:val="right"/>
                          <w:rPr>
                            <w:rFonts w:ascii="Times New Roman" w:hAnsi="Times New Roman" w:cs="Times New Roman" w:eastAsia="Times New Roman" w:hint="default"/>
                            <w:sz w:val="18"/>
                            <w:szCs w:val="18"/>
                          </w:rPr>
                        </w:pPr>
                        <w:r>
                          <w:rPr>
                            <w:rFonts w:ascii="Times New Roman"/>
                            <w:sz w:val="18"/>
                          </w:rPr>
                          <w:t>168,458,649</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9" w:right="0"/>
                          <w:jc w:val="center"/>
                          <w:rPr>
                            <w:rFonts w:ascii="Times New Roman" w:hAnsi="Times New Roman" w:cs="Times New Roman" w:eastAsia="Times New Roman" w:hint="default"/>
                            <w:sz w:val="18"/>
                            <w:szCs w:val="18"/>
                          </w:rPr>
                        </w:pPr>
                        <w:r>
                          <w:rPr>
                            <w:rFonts w:ascii="Times New Roman"/>
                            <w:w w:val="95"/>
                            <w:sz w:val="18"/>
                          </w:rPr>
                          <w:t>54,000,000</w:t>
                        </w:r>
                        <w:r>
                          <w:rPr>
                            <w:rFonts w:ascii="Times New Roman"/>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1"/>
                          <w:jc w:val="right"/>
                          <w:rPr>
                            <w:rFonts w:ascii="Times New Roman" w:hAnsi="Times New Roman" w:cs="Times New Roman" w:eastAsia="Times New Roman" w:hint="default"/>
                            <w:sz w:val="18"/>
                            <w:szCs w:val="18"/>
                          </w:rPr>
                        </w:pPr>
                        <w:r>
                          <w:rPr>
                            <w:rFonts w:ascii="Times New Roman"/>
                            <w:spacing w:val="-1"/>
                            <w:w w:val="85"/>
                            <w:sz w:val="18"/>
                          </w:rPr>
                          <w:t>729,987,480</w:t>
                        </w:r>
                        <w:r>
                          <w:rPr>
                            <w:rFonts w:ascii="Times New Roman"/>
                            <w:spacing w:val="-1"/>
                            <w:sz w:val="18"/>
                          </w:rPr>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pacing w:val="-1"/>
                            <w:w w:val="85"/>
                            <w:sz w:val="18"/>
                          </w:rPr>
                          <w:t>74.72%</w:t>
                        </w:r>
                        <w:r>
                          <w:rPr>
                            <w:rFonts w:ascii="Times New Roman"/>
                            <w:spacing w:val="-1"/>
                            <w:sz w:val="18"/>
                          </w:rPr>
                        </w:r>
                      </w:p>
                    </w:tc>
                  </w:tr>
                  <w:tr>
                    <w:trPr>
                      <w:trHeight w:val="795" w:hRule="exact"/>
                    </w:trPr>
                    <w:tc>
                      <w:tcPr>
                        <w:tcW w:w="2672" w:type="dxa"/>
                        <w:tcBorders>
                          <w:top w:val="nil" w:sz="6" w:space="0" w:color="auto"/>
                          <w:left w:val="nil" w:sz="6" w:space="0" w:color="auto"/>
                          <w:bottom w:val="single" w:sz="4" w:space="0" w:color="000000"/>
                          <w:right w:val="nil" w:sz="6" w:space="0" w:color="auto"/>
                        </w:tcBorders>
                      </w:tcPr>
                      <w:p>
                        <w:pPr>
                          <w:pStyle w:val="TableParagraph"/>
                          <w:spacing w:line="189" w:lineRule="auto" w:before="142"/>
                          <w:ind w:left="108" w:right="1252"/>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其他 </w:t>
                        </w:r>
                        <w:r>
                          <w:rPr>
                            <w:rFonts w:ascii="Microsoft JhengHei" w:hAnsi="Microsoft JhengHei" w:cs="Microsoft JhengHei" w:eastAsia="Microsoft JhengHei" w:hint="default"/>
                            <w:b/>
                            <w:bCs/>
                            <w:spacing w:val="6"/>
                            <w:sz w:val="18"/>
                            <w:szCs w:val="18"/>
                          </w:rPr>
                          <w:t>无限售条件股份</w:t>
                        </w:r>
                        <w:r>
                          <w:rPr>
                            <w:rFonts w:ascii="Microsoft JhengHei" w:hAnsi="Microsoft JhengHei" w:cs="Microsoft JhengHei" w:eastAsia="Microsoft JhengHei" w:hint="default"/>
                            <w:spacing w:val="6"/>
                            <w:sz w:val="18"/>
                            <w:szCs w:val="18"/>
                          </w:rPr>
                        </w:r>
                      </w:p>
                      <w:p>
                        <w:pPr>
                          <w:pStyle w:val="TableParagraph"/>
                          <w:tabs>
                            <w:tab w:pos="1655" w:val="left" w:leader="none"/>
                          </w:tabs>
                          <w:spacing w:line="209"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position w:val="-9"/>
                            <w:sz w:val="18"/>
                            <w:szCs w:val="18"/>
                          </w:rPr>
                          <w:t>合计</w:t>
                          <w:tab/>
                        </w:r>
                        <w:r>
                          <w:rPr>
                            <w:rFonts w:ascii="Times New Roman" w:hAnsi="Times New Roman" w:cs="Times New Roman" w:eastAsia="Times New Roman" w:hint="default"/>
                            <w:b/>
                            <w:bCs/>
                            <w:sz w:val="18"/>
                            <w:szCs w:val="18"/>
                          </w:rPr>
                          <w:t>384,625,315</w:t>
                        </w:r>
                        <w:r>
                          <w:rPr>
                            <w:rFonts w:ascii="Times New Roman" w:hAnsi="Times New Roman" w:cs="Times New Roman" w:eastAsia="Times New Roman" w:hint="default"/>
                            <w:sz w:val="18"/>
                            <w:szCs w:val="18"/>
                          </w:rPr>
                        </w:r>
                      </w:p>
                    </w:tc>
                    <w:tc>
                      <w:tcPr>
                        <w:tcW w:w="90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b/>
                            <w:sz w:val="18"/>
                          </w:rPr>
                          <w:t>61.19%</w:t>
                        </w:r>
                        <w:r>
                          <w:rPr>
                            <w:rFonts w:ascii="Times New Roman"/>
                            <w:sz w:val="18"/>
                          </w:rPr>
                        </w: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b/>
                            <w:w w:val="85"/>
                            <w:sz w:val="18"/>
                          </w:rPr>
                          <w:t>122,903,516</w:t>
                        </w:r>
                        <w:r>
                          <w:rPr>
                            <w:rFonts w:ascii="Times New Roman"/>
                            <w:sz w:val="18"/>
                          </w:rPr>
                        </w: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b/>
                            <w:sz w:val="18"/>
                          </w:rPr>
                          <w:t>168,458,649</w:t>
                        </w:r>
                        <w:r>
                          <w:rPr>
                            <w:rFonts w:ascii="Times New Roman"/>
                            <w:sz w:val="18"/>
                          </w:rPr>
                        </w:r>
                      </w:p>
                    </w:tc>
                    <w:tc>
                      <w:tcPr>
                        <w:tcW w:w="10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b/>
                            <w:w w:val="95"/>
                            <w:sz w:val="18"/>
                          </w:rPr>
                          <w:t>54,000,000</w:t>
                        </w:r>
                        <w:r>
                          <w:rPr>
                            <w:rFonts w:ascii="Times New Roman"/>
                            <w:sz w:val="18"/>
                          </w:rPr>
                        </w: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b/>
                            <w:w w:val="85"/>
                            <w:sz w:val="18"/>
                          </w:rPr>
                          <w:t>729,987,480</w:t>
                        </w:r>
                        <w:r>
                          <w:rPr>
                            <w:rFonts w:ascii="Times New Roman"/>
                            <w:sz w:val="18"/>
                          </w:rPr>
                        </w:r>
                      </w:p>
                    </w:tc>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楷体" w:hAnsi="楷体" w:cs="楷体" w:eastAsia="楷体" w:hint="default"/>
                            <w:sz w:val="18"/>
                            <w:szCs w:val="18"/>
                          </w:rPr>
                        </w:pPr>
                      </w:p>
                      <w:p>
                        <w:pPr>
                          <w:pStyle w:val="TableParagraph"/>
                          <w:spacing w:line="240" w:lineRule="auto" w:before="11"/>
                          <w:ind w:right="0"/>
                          <w:jc w:val="left"/>
                          <w:rPr>
                            <w:rFonts w:ascii="楷体" w:hAnsi="楷体" w:cs="楷体" w:eastAsia="楷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b/>
                            <w:w w:val="85"/>
                            <w:sz w:val="18"/>
                          </w:rPr>
                          <w:t>74.72%</w:t>
                        </w:r>
                        <w:r>
                          <w:rPr>
                            <w:rFonts w:ascii="Times New Roman"/>
                            <w:sz w:val="18"/>
                          </w:rPr>
                        </w:r>
                      </w:p>
                    </w:tc>
                  </w:tr>
                  <w:tr>
                    <w:trPr>
                      <w:trHeight w:val="303" w:hRule="exact"/>
                    </w:trPr>
                    <w:tc>
                      <w:tcPr>
                        <w:tcW w:w="2672" w:type="dxa"/>
                        <w:tcBorders>
                          <w:top w:val="single" w:sz="4" w:space="0" w:color="000000"/>
                          <w:left w:val="nil" w:sz="6" w:space="0" w:color="auto"/>
                          <w:bottom w:val="single" w:sz="12" w:space="0" w:color="000000"/>
                          <w:right w:val="nil" w:sz="6" w:space="0" w:color="auto"/>
                        </w:tcBorders>
                      </w:tcPr>
                      <w:p>
                        <w:pPr>
                          <w:pStyle w:val="TableParagraph"/>
                          <w:tabs>
                            <w:tab w:pos="1547" w:val="left" w:leader="none"/>
                          </w:tabs>
                          <w:spacing w:line="246" w:lineRule="exact"/>
                          <w:ind w:right="4"/>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股份总额</w:t>
                          <w:tab/>
                        </w:r>
                        <w:r>
                          <w:rPr>
                            <w:rFonts w:ascii="Times New Roman" w:hAnsi="Times New Roman" w:cs="Times New Roman" w:eastAsia="Times New Roman" w:hint="default"/>
                            <w:b/>
                            <w:bCs/>
                            <w:sz w:val="18"/>
                            <w:szCs w:val="18"/>
                          </w:rPr>
                          <w:t>628,612,295</w:t>
                        </w:r>
                        <w:r>
                          <w:rPr>
                            <w:rFonts w:ascii="Times New Roman" w:hAnsi="Times New Roman" w:cs="Times New Roman" w:eastAsia="Times New Roman" w:hint="default"/>
                            <w:sz w:val="18"/>
                            <w:szCs w:val="18"/>
                          </w:rPr>
                        </w:r>
                      </w:p>
                    </w:tc>
                    <w:tc>
                      <w:tcPr>
                        <w:tcW w:w="90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2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2"/>
                          <w:jc w:val="right"/>
                          <w:rPr>
                            <w:rFonts w:ascii="Times New Roman" w:hAnsi="Times New Roman" w:cs="Times New Roman" w:eastAsia="Times New Roman" w:hint="default"/>
                            <w:sz w:val="18"/>
                            <w:szCs w:val="18"/>
                          </w:rPr>
                        </w:pPr>
                        <w:r>
                          <w:rPr>
                            <w:rFonts w:ascii="Times New Roman"/>
                            <w:b/>
                            <w:sz w:val="18"/>
                          </w:rPr>
                          <w:t>122,903,516</w:t>
                        </w:r>
                        <w:r>
                          <w:rPr>
                            <w:rFonts w:ascii="Times New Roman"/>
                            <w:sz w:val="18"/>
                          </w:rPr>
                        </w:r>
                      </w:p>
                    </w:tc>
                    <w:tc>
                      <w:tcPr>
                        <w:tcW w:w="113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2"/>
                          <w:jc w:val="right"/>
                          <w:rPr>
                            <w:rFonts w:ascii="Times New Roman" w:hAnsi="Times New Roman" w:cs="Times New Roman" w:eastAsia="Times New Roman" w:hint="default"/>
                            <w:sz w:val="18"/>
                            <w:szCs w:val="18"/>
                          </w:rPr>
                        </w:pPr>
                        <w:r>
                          <w:rPr>
                            <w:rFonts w:ascii="Times New Roman"/>
                            <w:b/>
                            <w:sz w:val="18"/>
                          </w:rPr>
                          <w:t>225,454,743</w:t>
                        </w:r>
                        <w:r>
                          <w:rPr>
                            <w:rFonts w:ascii="Times New Roman"/>
                            <w:sz w:val="18"/>
                          </w:rPr>
                        </w:r>
                      </w:p>
                    </w:tc>
                    <w:tc>
                      <w:tcPr>
                        <w:tcW w:w="1016" w:type="dxa"/>
                        <w:tcBorders>
                          <w:top w:val="single" w:sz="4" w:space="0" w:color="000000"/>
                          <w:left w:val="nil" w:sz="6" w:space="0" w:color="auto"/>
                          <w:bottom w:val="single" w:sz="12" w:space="0" w:color="000000"/>
                          <w:right w:val="nil" w:sz="6" w:space="0" w:color="auto"/>
                        </w:tcBorders>
                      </w:tcPr>
                      <w:p>
                        <w:pPr/>
                      </w:p>
                    </w:tc>
                    <w:tc>
                      <w:tcPr>
                        <w:tcW w:w="11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2"/>
                          <w:jc w:val="right"/>
                          <w:rPr>
                            <w:rFonts w:ascii="Times New Roman" w:hAnsi="Times New Roman" w:cs="Times New Roman" w:eastAsia="Times New Roman" w:hint="default"/>
                            <w:sz w:val="18"/>
                            <w:szCs w:val="18"/>
                          </w:rPr>
                        </w:pPr>
                        <w:r>
                          <w:rPr>
                            <w:rFonts w:ascii="Times New Roman"/>
                            <w:b/>
                            <w:sz w:val="18"/>
                          </w:rPr>
                          <w:t>976,970,554</w:t>
                        </w:r>
                        <w:r>
                          <w:rPr>
                            <w:rFonts w:ascii="Times New Roman"/>
                            <w:sz w:val="18"/>
                          </w:rPr>
                        </w:r>
                      </w:p>
                    </w:tc>
                    <w:tc>
                      <w:tcPr>
                        <w:tcW w:w="8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6"/>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p>
              </w:txbxContent>
            </v:textbox>
            <w10:wrap type="none"/>
          </v:shape>
        </w:pict>
      </w:r>
      <w:r>
        <w:rPr>
          <w:rFonts w:ascii="楷体" w:hAnsi="楷体" w:cs="楷体" w:eastAsia="楷体" w:hint="default"/>
          <w:sz w:val="18"/>
          <w:szCs w:val="18"/>
        </w:rPr>
        <w:t>外资持股 </w:t>
      </w:r>
      <w:r>
        <w:rPr>
          <w:rFonts w:ascii="Microsoft JhengHei" w:hAnsi="Microsoft JhengHei" w:cs="Microsoft JhengHei" w:eastAsia="Microsoft JhengHei" w:hint="default"/>
          <w:b/>
          <w:bCs/>
          <w:spacing w:val="6"/>
          <w:sz w:val="18"/>
          <w:szCs w:val="18"/>
        </w:rPr>
        <w:t>有限售条件股份</w:t>
      </w:r>
      <w:r>
        <w:rPr>
          <w:rFonts w:ascii="Microsoft JhengHei" w:hAnsi="Microsoft JhengHei" w:cs="Microsoft JhengHei" w:eastAsia="Microsoft JhengHei" w:hint="default"/>
          <w:spacing w:val="6"/>
          <w:sz w:val="18"/>
          <w:szCs w:val="18"/>
        </w:rPr>
      </w:r>
    </w:p>
    <w:p>
      <w:pPr>
        <w:spacing w:line="240" w:lineRule="auto" w:before="12"/>
        <w:rPr>
          <w:rFonts w:ascii="Microsoft JhengHei" w:hAnsi="Microsoft JhengHei" w:cs="Microsoft JhengHei" w:eastAsia="Microsoft JhengHei" w:hint="default"/>
          <w:b/>
          <w:bCs/>
          <w:sz w:val="11"/>
          <w:szCs w:val="11"/>
        </w:rPr>
      </w:pPr>
    </w:p>
    <w:p>
      <w:pPr>
        <w:spacing w:line="20" w:lineRule="exact"/>
        <w:ind w:left="29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44.2pt;height:.5pt;mso-position-horizontal-relative:char;mso-position-vertical-relative:line" coordorigin="0,0" coordsize="8884,10">
            <v:group style="position:absolute;left:5;top:5;width:8874;height:2" coordorigin="5,5" coordsize="8874,2">
              <v:shape style="position:absolute;left:5;top:5;width:8874;height:2" coordorigin="5,5" coordsize="8874,0" path="m5,5l8879,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5"/>
          <w:szCs w:val="25"/>
        </w:rPr>
      </w:pPr>
    </w:p>
    <w:p>
      <w:pPr>
        <w:spacing w:before="31"/>
        <w:ind w:left="578" w:right="0" w:firstLine="0"/>
        <w:jc w:val="left"/>
        <w:rPr>
          <w:rFonts w:ascii="楷体" w:hAnsi="楷体" w:cs="楷体" w:eastAsia="楷体" w:hint="default"/>
          <w:sz w:val="22"/>
          <w:szCs w:val="22"/>
        </w:rPr>
      </w:pPr>
      <w:r>
        <w:rPr>
          <w:rFonts w:ascii="楷体" w:hAnsi="楷体" w:cs="楷体" w:eastAsia="楷体" w:hint="default"/>
          <w:sz w:val="22"/>
          <w:szCs w:val="22"/>
        </w:rPr>
        <w:t>根据</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w:t>
      </w:r>
      <w:r>
        <w:rPr>
          <w:rFonts w:ascii="楷体" w:hAnsi="楷体" w:cs="楷体" w:eastAsia="楷体" w:hint="default"/>
          <w:spacing w:val="-53"/>
          <w:sz w:val="22"/>
          <w:szCs w:val="22"/>
        </w:rPr>
        <w:t> </w:t>
      </w:r>
      <w:r>
        <w:rPr>
          <w:rFonts w:ascii="Times New Roman" w:hAnsi="Times New Roman" w:cs="Times New Roman" w:eastAsia="Times New Roman" w:hint="default"/>
          <w:spacing w:val="-5"/>
          <w:sz w:val="22"/>
          <w:szCs w:val="22"/>
        </w:rPr>
        <w:t>11</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月</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日召开的</w:t>
      </w:r>
      <w:r>
        <w:rPr>
          <w:rFonts w:ascii="宋体" w:hAnsi="宋体" w:cs="宋体" w:eastAsia="宋体" w:hint="default"/>
          <w:sz w:val="22"/>
          <w:szCs w:val="22"/>
        </w:rPr>
        <w:t>“</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年第二次临时股东大会</w:t>
      </w:r>
      <w:r>
        <w:rPr>
          <w:rFonts w:ascii="宋体" w:hAnsi="宋体" w:cs="宋体" w:eastAsia="宋体" w:hint="default"/>
          <w:sz w:val="22"/>
          <w:szCs w:val="22"/>
        </w:rPr>
        <w:t>”</w:t>
      </w:r>
      <w:r>
        <w:rPr>
          <w:rFonts w:ascii="楷体" w:hAnsi="楷体" w:cs="楷体" w:eastAsia="楷体" w:hint="default"/>
          <w:sz w:val="22"/>
          <w:szCs w:val="22"/>
        </w:rPr>
        <w:t>形成的决议，本公司申请向</w:t>
      </w:r>
    </w:p>
    <w:p>
      <w:pPr>
        <w:spacing w:before="85"/>
        <w:ind w:left="138" w:right="0" w:firstLine="0"/>
        <w:jc w:val="both"/>
        <w:rPr>
          <w:rFonts w:ascii="楷体" w:hAnsi="楷体" w:cs="楷体" w:eastAsia="楷体" w:hint="default"/>
          <w:sz w:val="22"/>
          <w:szCs w:val="22"/>
        </w:rPr>
      </w:pPr>
      <w:r>
        <w:rPr>
          <w:rFonts w:ascii="楷体" w:hAnsi="楷体" w:cs="楷体" w:eastAsia="楷体" w:hint="default"/>
          <w:sz w:val="22"/>
          <w:szCs w:val="22"/>
        </w:rPr>
        <w:t>老股东配售人民币普通股，并于 </w:t>
      </w:r>
      <w:r>
        <w:rPr>
          <w:rFonts w:ascii="Times New Roman" w:hAnsi="Times New Roman" w:cs="Times New Roman" w:eastAsia="Times New Roman" w:hint="default"/>
          <w:sz w:val="22"/>
          <w:szCs w:val="22"/>
        </w:rPr>
        <w:t>2008  </w:t>
      </w:r>
      <w:r>
        <w:rPr>
          <w:rFonts w:ascii="楷体" w:hAnsi="楷体" w:cs="楷体" w:eastAsia="楷体" w:hint="default"/>
          <w:sz w:val="22"/>
          <w:szCs w:val="22"/>
        </w:rPr>
        <w:t>年 </w:t>
      </w:r>
      <w:r>
        <w:rPr>
          <w:rFonts w:ascii="Times New Roman" w:hAnsi="Times New Roman" w:cs="Times New Roman" w:eastAsia="Times New Roman" w:hint="default"/>
          <w:sz w:val="22"/>
          <w:szCs w:val="22"/>
        </w:rPr>
        <w:t>4  </w:t>
      </w:r>
      <w:r>
        <w:rPr>
          <w:rFonts w:ascii="楷体" w:hAnsi="楷体" w:cs="楷体" w:eastAsia="楷体" w:hint="default"/>
          <w:sz w:val="22"/>
          <w:szCs w:val="22"/>
        </w:rPr>
        <w:t>月 </w:t>
      </w:r>
      <w:r>
        <w:rPr>
          <w:rFonts w:ascii="Times New Roman" w:hAnsi="Times New Roman" w:cs="Times New Roman" w:eastAsia="Times New Roman" w:hint="default"/>
          <w:sz w:val="22"/>
          <w:szCs w:val="22"/>
        </w:rPr>
        <w:t>30  </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日获得中国证券监督管理委员会</w:t>
      </w:r>
      <w:r>
        <w:rPr>
          <w:rFonts w:ascii="宋体" w:hAnsi="宋体" w:cs="宋体" w:eastAsia="宋体" w:hint="default"/>
          <w:sz w:val="22"/>
          <w:szCs w:val="22"/>
        </w:rPr>
        <w:t>“</w:t>
      </w:r>
      <w:r>
        <w:rPr>
          <w:rFonts w:ascii="楷体" w:hAnsi="楷体" w:cs="楷体" w:eastAsia="楷体" w:hint="default"/>
          <w:sz w:val="22"/>
          <w:szCs w:val="22"/>
        </w:rPr>
        <w:t>证监许可</w:t>
      </w:r>
    </w:p>
    <w:p>
      <w:pPr>
        <w:spacing w:line="307" w:lineRule="auto" w:before="85"/>
        <w:ind w:left="137" w:right="143" w:firstLine="0"/>
        <w:jc w:val="both"/>
        <w:rPr>
          <w:rFonts w:ascii="楷体" w:hAnsi="楷体" w:cs="楷体" w:eastAsia="楷体" w:hint="default"/>
          <w:sz w:val="22"/>
          <w:szCs w:val="22"/>
        </w:rPr>
      </w:pPr>
      <w:r>
        <w:rPr>
          <w:rFonts w:ascii="Times New Roman" w:hAnsi="Times New Roman" w:cs="Times New Roman" w:eastAsia="Times New Roman" w:hint="default"/>
          <w:sz w:val="22"/>
          <w:szCs w:val="22"/>
        </w:rPr>
        <w:t>[2008]626</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号</w:t>
      </w:r>
      <w:r>
        <w:rPr>
          <w:rFonts w:ascii="宋体" w:hAnsi="宋体" w:cs="宋体" w:eastAsia="宋体" w:hint="default"/>
          <w:sz w:val="22"/>
          <w:szCs w:val="22"/>
        </w:rPr>
        <w:t>”</w:t>
      </w:r>
      <w:r>
        <w:rPr>
          <w:rFonts w:ascii="楷体" w:hAnsi="楷体" w:cs="楷体" w:eastAsia="楷体" w:hint="default"/>
          <w:sz w:val="22"/>
          <w:szCs w:val="22"/>
        </w:rPr>
        <w:t>批文核准。截至</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年</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月</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日，公司实际配售</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122,903,516</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股，每股</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元，新</w:t>
      </w:r>
      <w:r>
        <w:rPr>
          <w:rFonts w:ascii="楷体" w:hAnsi="楷体" w:cs="楷体" w:eastAsia="楷体" w:hint="default"/>
          <w:w w:val="99"/>
          <w:sz w:val="22"/>
          <w:szCs w:val="22"/>
        </w:rPr>
        <w:t> </w:t>
      </w:r>
      <w:r>
        <w:rPr>
          <w:rFonts w:ascii="楷体" w:hAnsi="楷体" w:cs="楷体" w:eastAsia="楷体" w:hint="default"/>
          <w:sz w:val="22"/>
          <w:szCs w:val="22"/>
        </w:rPr>
        <w:t>增注册资本</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122,903,516.00</w:t>
      </w:r>
      <w:r>
        <w:rPr>
          <w:rFonts w:ascii="Times New Roman" w:hAnsi="Times New Roman" w:cs="Times New Roman" w:eastAsia="Times New Roman" w:hint="default"/>
          <w:spacing w:val="-2"/>
          <w:sz w:val="22"/>
          <w:szCs w:val="22"/>
        </w:rPr>
        <w:t> </w:t>
      </w:r>
      <w:r>
        <w:rPr>
          <w:rFonts w:ascii="楷体" w:hAnsi="楷体" w:cs="楷体" w:eastAsia="楷体" w:hint="default"/>
          <w:spacing w:val="-3"/>
          <w:sz w:val="22"/>
          <w:szCs w:val="22"/>
        </w:rPr>
        <w:t>元。此次增资已经信永中和会计师事务所</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XYZH/2007A8134</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号验资报</w:t>
      </w:r>
      <w:r>
        <w:rPr>
          <w:rFonts w:ascii="楷体" w:hAnsi="楷体" w:cs="楷体" w:eastAsia="楷体" w:hint="default"/>
          <w:w w:val="99"/>
          <w:sz w:val="22"/>
          <w:szCs w:val="22"/>
        </w:rPr>
        <w:t> </w:t>
      </w:r>
      <w:r>
        <w:rPr>
          <w:rFonts w:ascii="楷体" w:hAnsi="楷体" w:cs="楷体" w:eastAsia="楷体" w:hint="default"/>
          <w:sz w:val="22"/>
          <w:szCs w:val="22"/>
        </w:rPr>
        <w:t>告验证。</w:t>
      </w:r>
    </w:p>
    <w:p>
      <w:pPr>
        <w:spacing w:before="118"/>
        <w:ind w:left="578" w:right="0" w:firstLine="0"/>
        <w:jc w:val="left"/>
        <w:rPr>
          <w:rFonts w:ascii="楷体" w:hAnsi="楷体" w:cs="楷体" w:eastAsia="楷体" w:hint="default"/>
          <w:sz w:val="22"/>
          <w:szCs w:val="22"/>
        </w:rPr>
      </w:pPr>
      <w:r>
        <w:rPr>
          <w:rFonts w:ascii="楷体" w:hAnsi="楷体" w:cs="楷体" w:eastAsia="楷体" w:hint="default"/>
          <w:spacing w:val="7"/>
          <w:sz w:val="22"/>
          <w:szCs w:val="22"/>
        </w:rPr>
        <w:t>根据本公司 </w:t>
      </w:r>
      <w:r>
        <w:rPr>
          <w:rFonts w:ascii="Times New Roman" w:hAnsi="Times New Roman" w:cs="Times New Roman" w:eastAsia="Times New Roman" w:hint="default"/>
          <w:sz w:val="22"/>
          <w:szCs w:val="22"/>
        </w:rPr>
        <w:t>2008  </w:t>
      </w:r>
      <w:r>
        <w:rPr>
          <w:rFonts w:ascii="楷体" w:hAnsi="楷体" w:cs="楷体" w:eastAsia="楷体" w:hint="default"/>
          <w:sz w:val="22"/>
          <w:szCs w:val="22"/>
        </w:rPr>
        <w:t>年 </w:t>
      </w:r>
      <w:r>
        <w:rPr>
          <w:rFonts w:ascii="Times New Roman" w:hAnsi="Times New Roman" w:cs="Times New Roman" w:eastAsia="Times New Roman" w:hint="default"/>
          <w:sz w:val="22"/>
          <w:szCs w:val="22"/>
        </w:rPr>
        <w:t>6  </w:t>
      </w:r>
      <w:r>
        <w:rPr>
          <w:rFonts w:ascii="楷体" w:hAnsi="楷体" w:cs="楷体" w:eastAsia="楷体" w:hint="default"/>
          <w:sz w:val="22"/>
          <w:szCs w:val="22"/>
        </w:rPr>
        <w:t>月 </w:t>
      </w:r>
      <w:r>
        <w:rPr>
          <w:rFonts w:ascii="Times New Roman" w:hAnsi="Times New Roman" w:cs="Times New Roman" w:eastAsia="Times New Roman" w:hint="default"/>
          <w:sz w:val="22"/>
          <w:szCs w:val="22"/>
        </w:rPr>
        <w:t>23  </w:t>
      </w:r>
      <w:r>
        <w:rPr>
          <w:rFonts w:ascii="楷体" w:hAnsi="楷体" w:cs="楷体" w:eastAsia="楷体" w:hint="default"/>
          <w:spacing w:val="6"/>
          <w:sz w:val="22"/>
          <w:szCs w:val="22"/>
        </w:rPr>
        <w:t>日召开的 </w:t>
      </w:r>
      <w:r>
        <w:rPr>
          <w:rFonts w:ascii="Times New Roman" w:hAnsi="Times New Roman" w:cs="Times New Roman" w:eastAsia="Times New Roman" w:hint="default"/>
          <w:sz w:val="22"/>
          <w:szCs w:val="22"/>
        </w:rPr>
        <w:t>2007 </w:t>
      </w:r>
      <w:r>
        <w:rPr>
          <w:rFonts w:ascii="Times New Roman" w:hAnsi="Times New Roman" w:cs="Times New Roman" w:eastAsia="Times New Roman" w:hint="default"/>
          <w:spacing w:val="44"/>
          <w:sz w:val="22"/>
          <w:szCs w:val="22"/>
        </w:rPr>
        <w:t> </w:t>
      </w:r>
      <w:r>
        <w:rPr>
          <w:rFonts w:ascii="楷体" w:hAnsi="楷体" w:cs="楷体" w:eastAsia="楷体" w:hint="default"/>
          <w:spacing w:val="9"/>
          <w:sz w:val="22"/>
          <w:szCs w:val="22"/>
        </w:rPr>
        <w:t>年度股东大会决议以资本公积金转增股本</w:t>
      </w:r>
      <w:r>
        <w:rPr>
          <w:rFonts w:ascii="楷体" w:hAnsi="楷体" w:cs="楷体" w:eastAsia="楷体" w:hint="default"/>
          <w:sz w:val="22"/>
          <w:szCs w:val="22"/>
        </w:rPr>
      </w:r>
    </w:p>
    <w:p>
      <w:pPr>
        <w:spacing w:before="85"/>
        <w:ind w:left="137" w:right="0" w:firstLine="0"/>
        <w:jc w:val="both"/>
        <w:rPr>
          <w:rFonts w:ascii="楷体" w:hAnsi="楷体" w:cs="楷体" w:eastAsia="楷体" w:hint="default"/>
          <w:sz w:val="22"/>
          <w:szCs w:val="22"/>
        </w:rPr>
      </w:pPr>
      <w:r>
        <w:rPr>
          <w:rFonts w:ascii="Times New Roman" w:hAnsi="Times New Roman" w:cs="Times New Roman" w:eastAsia="Times New Roman" w:hint="default"/>
          <w:sz w:val="22"/>
          <w:szCs w:val="22"/>
        </w:rPr>
        <w:t>225,454,743.00  </w:t>
      </w:r>
      <w:r>
        <w:rPr>
          <w:rFonts w:ascii="楷体" w:hAnsi="楷体" w:cs="楷体" w:eastAsia="楷体" w:hint="default"/>
          <w:sz w:val="22"/>
          <w:szCs w:val="22"/>
        </w:rPr>
        <w:t>元，</w:t>
      </w:r>
      <w:r>
        <w:rPr>
          <w:rFonts w:ascii="Times New Roman" w:hAnsi="Times New Roman" w:cs="Times New Roman" w:eastAsia="Times New Roman" w:hint="default"/>
          <w:sz w:val="22"/>
          <w:szCs w:val="22"/>
        </w:rPr>
        <w:t>2008  </w:t>
      </w:r>
      <w:r>
        <w:rPr>
          <w:rFonts w:ascii="楷体" w:hAnsi="楷体" w:cs="楷体" w:eastAsia="楷体" w:hint="default"/>
          <w:sz w:val="22"/>
          <w:szCs w:val="22"/>
        </w:rPr>
        <w:t>年 </w:t>
      </w:r>
      <w:r>
        <w:rPr>
          <w:rFonts w:ascii="Times New Roman" w:hAnsi="Times New Roman" w:cs="Times New Roman" w:eastAsia="Times New Roman" w:hint="default"/>
          <w:sz w:val="22"/>
          <w:szCs w:val="22"/>
        </w:rPr>
        <w:t>8  </w:t>
      </w:r>
      <w:r>
        <w:rPr>
          <w:rFonts w:ascii="楷体" w:hAnsi="楷体" w:cs="楷体" w:eastAsia="楷体" w:hint="default"/>
          <w:sz w:val="22"/>
          <w:szCs w:val="22"/>
        </w:rPr>
        <w:t>月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52"/>
          <w:sz w:val="22"/>
          <w:szCs w:val="22"/>
        </w:rPr>
        <w:t> </w:t>
      </w:r>
      <w:r>
        <w:rPr>
          <w:rFonts w:ascii="楷体" w:hAnsi="楷体" w:cs="楷体" w:eastAsia="楷体" w:hint="default"/>
          <w:sz w:val="22"/>
          <w:szCs w:val="22"/>
        </w:rPr>
        <w:t>日已完成转增手续。本次增资已经信永中和会计师事务所</w:t>
      </w:r>
    </w:p>
    <w:p>
      <w:pPr>
        <w:spacing w:before="85"/>
        <w:ind w:left="137" w:right="0" w:firstLine="0"/>
        <w:jc w:val="both"/>
        <w:rPr>
          <w:rFonts w:ascii="楷体" w:hAnsi="楷体" w:cs="楷体" w:eastAsia="楷体" w:hint="default"/>
          <w:sz w:val="22"/>
          <w:szCs w:val="22"/>
        </w:rPr>
      </w:pPr>
      <w:r>
        <w:rPr>
          <w:rFonts w:ascii="Times New Roman" w:hAnsi="Times New Roman" w:cs="Times New Roman" w:eastAsia="Times New Roman" w:hint="default"/>
          <w:sz w:val="22"/>
          <w:szCs w:val="22"/>
        </w:rPr>
        <w:t>XYZH/2008A8013</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号验资报告验证。</w:t>
      </w:r>
    </w:p>
    <w:p>
      <w:pPr>
        <w:spacing w:before="163"/>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38.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资本公积</w:t>
      </w:r>
    </w:p>
    <w:p>
      <w:pPr>
        <w:spacing w:line="240" w:lineRule="auto" w:before="5"/>
        <w:rPr>
          <w:rFonts w:ascii="楷体" w:hAnsi="楷体" w:cs="楷体" w:eastAsia="楷体" w:hint="default"/>
          <w:sz w:val="12"/>
          <w:szCs w:val="12"/>
        </w:rPr>
      </w:pPr>
    </w:p>
    <w:tbl>
      <w:tblPr>
        <w:tblW w:w="0" w:type="auto"/>
        <w:jc w:val="left"/>
        <w:tblInd w:w="416" w:type="dxa"/>
        <w:tblLayout w:type="fixed"/>
        <w:tblCellMar>
          <w:top w:w="0" w:type="dxa"/>
          <w:left w:w="0" w:type="dxa"/>
          <w:bottom w:w="0" w:type="dxa"/>
          <w:right w:w="0" w:type="dxa"/>
        </w:tblCellMar>
        <w:tblLook w:val="01E0"/>
      </w:tblPr>
      <w:tblGrid>
        <w:gridCol w:w="1783"/>
        <w:gridCol w:w="2063"/>
        <w:gridCol w:w="1679"/>
        <w:gridCol w:w="1543"/>
        <w:gridCol w:w="1570"/>
      </w:tblGrid>
      <w:tr>
        <w:trPr>
          <w:trHeight w:val="303" w:hRule="exact"/>
        </w:trPr>
        <w:tc>
          <w:tcPr>
            <w:tcW w:w="178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06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67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54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57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178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股本溢价</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07"/>
              <w:jc w:val="right"/>
              <w:rPr>
                <w:rFonts w:ascii="Times New Roman" w:hAnsi="Times New Roman" w:cs="Times New Roman" w:eastAsia="Times New Roman" w:hint="default"/>
                <w:sz w:val="18"/>
                <w:szCs w:val="18"/>
              </w:rPr>
            </w:pPr>
            <w:r>
              <w:rPr>
                <w:rFonts w:ascii="Times New Roman"/>
                <w:spacing w:val="-1"/>
                <w:sz w:val="18"/>
              </w:rPr>
              <w:t>2,485,652,084.05</w:t>
            </w:r>
          </w:p>
        </w:tc>
        <w:tc>
          <w:tcPr>
            <w:tcW w:w="167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06"/>
              <w:jc w:val="right"/>
              <w:rPr>
                <w:rFonts w:ascii="Times New Roman" w:hAnsi="Times New Roman" w:cs="Times New Roman" w:eastAsia="Times New Roman" w:hint="default"/>
                <w:sz w:val="18"/>
                <w:szCs w:val="18"/>
              </w:rPr>
            </w:pPr>
            <w:r>
              <w:rPr>
                <w:rFonts w:ascii="Times New Roman"/>
                <w:spacing w:val="-1"/>
                <w:sz w:val="18"/>
              </w:rPr>
              <w:t>1,801,189,184.87</w:t>
            </w:r>
          </w:p>
        </w:tc>
        <w:tc>
          <w:tcPr>
            <w:tcW w:w="154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08" w:right="0"/>
              <w:jc w:val="left"/>
              <w:rPr>
                <w:rFonts w:ascii="Times New Roman" w:hAnsi="Times New Roman" w:cs="Times New Roman" w:eastAsia="Times New Roman" w:hint="default"/>
                <w:sz w:val="18"/>
                <w:szCs w:val="18"/>
              </w:rPr>
            </w:pPr>
            <w:r>
              <w:rPr>
                <w:rFonts w:ascii="Times New Roman"/>
                <w:sz w:val="18"/>
              </w:rPr>
              <w:t>225,454,743.00</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4,061,386,525.92</w:t>
            </w:r>
          </w:p>
        </w:tc>
      </w:tr>
      <w:tr>
        <w:trPr>
          <w:trHeight w:val="289" w:hRule="exact"/>
        </w:trPr>
        <w:tc>
          <w:tcPr>
            <w:tcW w:w="1783"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其他资本公积</w:t>
            </w:r>
          </w:p>
        </w:tc>
        <w:tc>
          <w:tcPr>
            <w:tcW w:w="206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07"/>
              <w:jc w:val="right"/>
              <w:rPr>
                <w:rFonts w:ascii="Times New Roman" w:hAnsi="Times New Roman" w:cs="Times New Roman" w:eastAsia="Times New Roman" w:hint="default"/>
                <w:sz w:val="18"/>
                <w:szCs w:val="18"/>
              </w:rPr>
            </w:pPr>
            <w:r>
              <w:rPr>
                <w:rFonts w:ascii="Times New Roman"/>
                <w:spacing w:val="-1"/>
                <w:sz w:val="18"/>
              </w:rPr>
              <w:t>1,067,927,948.98</w:t>
            </w:r>
          </w:p>
        </w:tc>
        <w:tc>
          <w:tcPr>
            <w:tcW w:w="167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06"/>
              <w:jc w:val="right"/>
              <w:rPr>
                <w:rFonts w:ascii="Times New Roman" w:hAnsi="Times New Roman" w:cs="Times New Roman" w:eastAsia="Times New Roman" w:hint="default"/>
                <w:sz w:val="18"/>
                <w:szCs w:val="18"/>
              </w:rPr>
            </w:pPr>
            <w:r>
              <w:rPr>
                <w:rFonts w:ascii="Times New Roman"/>
                <w:sz w:val="18"/>
              </w:rPr>
              <w:t>65,288.39</w:t>
            </w: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208" w:right="0"/>
              <w:jc w:val="left"/>
              <w:rPr>
                <w:rFonts w:ascii="Times New Roman" w:hAnsi="Times New Roman" w:cs="Times New Roman" w:eastAsia="Times New Roman" w:hint="default"/>
                <w:sz w:val="18"/>
                <w:szCs w:val="18"/>
              </w:rPr>
            </w:pPr>
            <w:r>
              <w:rPr>
                <w:rFonts w:ascii="Times New Roman"/>
                <w:sz w:val="18"/>
              </w:rPr>
              <w:t>617,543,564.32</w:t>
            </w: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450,449,673.05</w:t>
            </w:r>
          </w:p>
        </w:tc>
      </w:tr>
      <w:tr>
        <w:trPr>
          <w:trHeight w:val="303" w:hRule="exact"/>
        </w:trPr>
        <w:tc>
          <w:tcPr>
            <w:tcW w:w="1783"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06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07"/>
              <w:jc w:val="right"/>
              <w:rPr>
                <w:rFonts w:ascii="Times New Roman" w:hAnsi="Times New Roman" w:cs="Times New Roman" w:eastAsia="Times New Roman" w:hint="default"/>
                <w:sz w:val="18"/>
                <w:szCs w:val="18"/>
              </w:rPr>
            </w:pPr>
            <w:r>
              <w:rPr>
                <w:rFonts w:ascii="Times New Roman"/>
                <w:b/>
                <w:spacing w:val="-1"/>
                <w:sz w:val="18"/>
              </w:rPr>
              <w:t>3,553,580,033.03</w:t>
            </w:r>
            <w:r>
              <w:rPr>
                <w:rFonts w:ascii="Times New Roman"/>
                <w:spacing w:val="-1"/>
                <w:sz w:val="18"/>
              </w:rPr>
            </w:r>
          </w:p>
        </w:tc>
        <w:tc>
          <w:tcPr>
            <w:tcW w:w="16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07"/>
              <w:jc w:val="right"/>
              <w:rPr>
                <w:rFonts w:ascii="Times New Roman" w:hAnsi="Times New Roman" w:cs="Times New Roman" w:eastAsia="Times New Roman" w:hint="default"/>
                <w:sz w:val="18"/>
                <w:szCs w:val="18"/>
              </w:rPr>
            </w:pPr>
            <w:r>
              <w:rPr>
                <w:rFonts w:ascii="Times New Roman"/>
                <w:b/>
                <w:spacing w:val="-1"/>
                <w:sz w:val="18"/>
              </w:rPr>
              <w:t>1,801,254,473.26</w:t>
            </w:r>
            <w:r>
              <w:rPr>
                <w:rFonts w:ascii="Times New Roman"/>
                <w:spacing w:val="-1"/>
                <w:sz w:val="18"/>
              </w:rPr>
            </w:r>
          </w:p>
        </w:tc>
        <w:tc>
          <w:tcPr>
            <w:tcW w:w="15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08" w:right="0"/>
              <w:jc w:val="left"/>
              <w:rPr>
                <w:rFonts w:ascii="Times New Roman" w:hAnsi="Times New Roman" w:cs="Times New Roman" w:eastAsia="Times New Roman" w:hint="default"/>
                <w:sz w:val="18"/>
                <w:szCs w:val="18"/>
              </w:rPr>
            </w:pPr>
            <w:r>
              <w:rPr>
                <w:rFonts w:ascii="Times New Roman"/>
                <w:b/>
                <w:sz w:val="18"/>
              </w:rPr>
              <w:t>842,998,307.32</w:t>
            </w:r>
            <w:r>
              <w:rPr>
                <w:rFonts w:ascii="Times New Roman"/>
                <w:sz w:val="18"/>
              </w:rPr>
            </w:r>
          </w:p>
        </w:tc>
        <w:tc>
          <w:tcPr>
            <w:tcW w:w="15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4,511,836,198.97</w:t>
            </w:r>
            <w:r>
              <w:rPr>
                <w:rFonts w:ascii="Times New Roman"/>
                <w:spacing w:val="-1"/>
                <w:sz w:val="18"/>
              </w:rPr>
            </w:r>
          </w:p>
        </w:tc>
      </w:tr>
    </w:tbl>
    <w:p>
      <w:pPr>
        <w:spacing w:before="79"/>
        <w:ind w:left="578" w:right="2246" w:firstLine="0"/>
        <w:jc w:val="left"/>
        <w:rPr>
          <w:rFonts w:ascii="楷体" w:hAnsi="楷体" w:cs="楷体" w:eastAsia="楷体" w:hint="default"/>
          <w:sz w:val="22"/>
          <w:szCs w:val="22"/>
        </w:rPr>
      </w:pPr>
      <w:r>
        <w:rPr>
          <w:rFonts w:ascii="楷体" w:hAnsi="楷体" w:cs="楷体" w:eastAsia="楷体" w:hint="default"/>
          <w:sz w:val="22"/>
          <w:szCs w:val="22"/>
        </w:rPr>
        <w:t>本年资本公积主要变动内容如下：</w:t>
      </w:r>
    </w:p>
    <w:p>
      <w:pPr>
        <w:spacing w:before="180"/>
        <w:ind w:left="591"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b/>
          <w:bCs/>
          <w:sz w:val="22"/>
          <w:szCs w:val="22"/>
        </w:rPr>
        <w:t>(1)    </w:t>
      </w:r>
      <w:r>
        <w:rPr>
          <w:rFonts w:ascii="楷体" w:hAnsi="楷体" w:cs="楷体" w:eastAsia="楷体" w:hint="default"/>
          <w:spacing w:val="-9"/>
          <w:sz w:val="22"/>
          <w:szCs w:val="22"/>
        </w:rPr>
        <w:t>如附注七、</w:t>
      </w:r>
      <w:r>
        <w:rPr>
          <w:rFonts w:ascii="Times New Roman" w:hAnsi="Times New Roman" w:cs="Times New Roman" w:eastAsia="Times New Roman" w:hint="default"/>
          <w:spacing w:val="-9"/>
          <w:sz w:val="22"/>
          <w:szCs w:val="22"/>
        </w:rPr>
        <w:t>37 </w:t>
      </w:r>
      <w:r>
        <w:rPr>
          <w:rFonts w:ascii="楷体" w:hAnsi="楷体" w:cs="楷体" w:eastAsia="楷体" w:hint="default"/>
          <w:spacing w:val="-5"/>
          <w:sz w:val="22"/>
          <w:szCs w:val="22"/>
        </w:rPr>
        <w:t>所述，本公司向老股东配售人民币普通股，原股东共出资</w:t>
      </w:r>
      <w:r>
        <w:rPr>
          <w:rFonts w:ascii="楷体" w:hAnsi="楷体" w:cs="楷体" w:eastAsia="楷体" w:hint="default"/>
          <w:spacing w:val="-70"/>
          <w:sz w:val="22"/>
          <w:szCs w:val="22"/>
        </w:rPr>
        <w:t> </w:t>
      </w:r>
      <w:r>
        <w:rPr>
          <w:rFonts w:ascii="Times New Roman" w:hAnsi="Times New Roman" w:cs="Times New Roman" w:eastAsia="Times New Roman" w:hint="default"/>
          <w:sz w:val="22"/>
          <w:szCs w:val="22"/>
        </w:rPr>
        <w:t>1,966,456,256.00</w:t>
      </w:r>
    </w:p>
    <w:p>
      <w:pPr>
        <w:spacing w:before="85"/>
        <w:ind w:left="138" w:right="0" w:firstLine="0"/>
        <w:jc w:val="left"/>
        <w:rPr>
          <w:rFonts w:ascii="楷体" w:hAnsi="楷体" w:cs="楷体" w:eastAsia="楷体" w:hint="default"/>
          <w:sz w:val="22"/>
          <w:szCs w:val="22"/>
        </w:rPr>
      </w:pPr>
      <w:r>
        <w:rPr>
          <w:rFonts w:ascii="楷体" w:hAnsi="楷体" w:cs="楷体" w:eastAsia="楷体" w:hint="default"/>
          <w:sz w:val="22"/>
          <w:szCs w:val="22"/>
        </w:rPr>
        <w:t>元，扣除增资发行相关费用</w:t>
      </w:r>
      <w:r>
        <w:rPr>
          <w:rFonts w:ascii="楷体" w:hAnsi="楷体" w:cs="楷体" w:eastAsia="楷体" w:hint="default"/>
          <w:spacing w:val="-69"/>
          <w:sz w:val="22"/>
          <w:szCs w:val="22"/>
        </w:rPr>
        <w:t> </w:t>
      </w:r>
      <w:r>
        <w:rPr>
          <w:rFonts w:ascii="Times New Roman" w:hAnsi="Times New Roman" w:cs="Times New Roman" w:eastAsia="Times New Roman" w:hint="default"/>
          <w:sz w:val="22"/>
          <w:szCs w:val="22"/>
        </w:rPr>
        <w:t>47,026,592.35</w:t>
      </w:r>
      <w:r>
        <w:rPr>
          <w:rFonts w:ascii="Times New Roman" w:hAnsi="Times New Roman" w:cs="Times New Roman" w:eastAsia="Times New Roman" w:hint="default"/>
          <w:spacing w:val="-15"/>
          <w:sz w:val="22"/>
          <w:szCs w:val="22"/>
        </w:rPr>
        <w:t> </w:t>
      </w:r>
      <w:r>
        <w:rPr>
          <w:rFonts w:ascii="楷体" w:hAnsi="楷体" w:cs="楷体" w:eastAsia="楷体" w:hint="default"/>
          <w:sz w:val="22"/>
          <w:szCs w:val="22"/>
        </w:rPr>
        <w:t>元后，新增注册资本</w:t>
      </w:r>
      <w:r>
        <w:rPr>
          <w:rFonts w:ascii="楷体" w:hAnsi="楷体" w:cs="楷体" w:eastAsia="楷体" w:hint="default"/>
          <w:spacing w:val="-69"/>
          <w:sz w:val="22"/>
          <w:szCs w:val="22"/>
        </w:rPr>
        <w:t> </w:t>
      </w:r>
      <w:r>
        <w:rPr>
          <w:rFonts w:ascii="Times New Roman" w:hAnsi="Times New Roman" w:cs="Times New Roman" w:eastAsia="Times New Roman" w:hint="default"/>
          <w:sz w:val="22"/>
          <w:szCs w:val="22"/>
        </w:rPr>
        <w:t>122,903,516.00</w:t>
      </w:r>
      <w:r>
        <w:rPr>
          <w:rFonts w:ascii="Times New Roman" w:hAnsi="Times New Roman" w:cs="Times New Roman" w:eastAsia="Times New Roman" w:hint="default"/>
          <w:spacing w:val="-15"/>
          <w:sz w:val="22"/>
          <w:szCs w:val="22"/>
        </w:rPr>
        <w:t> </w:t>
      </w:r>
      <w:r>
        <w:rPr>
          <w:rFonts w:ascii="楷体" w:hAnsi="楷体" w:cs="楷体" w:eastAsia="楷体" w:hint="default"/>
          <w:sz w:val="22"/>
          <w:szCs w:val="22"/>
        </w:rPr>
        <w:t>元，计入资本公积</w:t>
      </w:r>
    </w:p>
    <w:p>
      <w:pPr>
        <w:spacing w:before="85"/>
        <w:ind w:left="138" w:right="2246" w:firstLine="0"/>
        <w:jc w:val="left"/>
        <w:rPr>
          <w:rFonts w:ascii="楷体" w:hAnsi="楷体" w:cs="楷体" w:eastAsia="楷体" w:hint="default"/>
          <w:sz w:val="22"/>
          <w:szCs w:val="22"/>
        </w:rPr>
      </w:pPr>
      <w:r>
        <w:rPr>
          <w:rFonts w:ascii="楷体" w:hAnsi="楷体" w:cs="楷体" w:eastAsia="楷体" w:hint="default"/>
          <w:sz w:val="22"/>
          <w:szCs w:val="22"/>
        </w:rPr>
        <w:t>—股本溢价</w:t>
      </w:r>
      <w:r>
        <w:rPr>
          <w:rFonts w:ascii="楷体" w:hAnsi="楷体" w:cs="楷体" w:eastAsia="楷体" w:hint="default"/>
          <w:spacing w:val="-60"/>
          <w:sz w:val="22"/>
          <w:szCs w:val="22"/>
        </w:rPr>
        <w:t> </w:t>
      </w:r>
      <w:r>
        <w:rPr>
          <w:rFonts w:ascii="Times New Roman" w:hAnsi="Times New Roman" w:cs="Times New Roman" w:eastAsia="Times New Roman" w:hint="default"/>
          <w:sz w:val="22"/>
          <w:szCs w:val="22"/>
        </w:rPr>
        <w:t>1,796,526,147.65</w:t>
      </w:r>
      <w:r>
        <w:rPr>
          <w:rFonts w:ascii="Times New Roman" w:hAnsi="Times New Roman" w:cs="Times New Roman" w:eastAsia="Times New Roman" w:hint="default"/>
          <w:spacing w:val="-6"/>
          <w:sz w:val="22"/>
          <w:szCs w:val="22"/>
        </w:rPr>
        <w:t> </w:t>
      </w:r>
      <w:r>
        <w:rPr>
          <w:rFonts w:ascii="楷体" w:hAnsi="楷体" w:cs="楷体" w:eastAsia="楷体" w:hint="default"/>
          <w:sz w:val="22"/>
          <w:szCs w:val="22"/>
        </w:rPr>
        <w:t>元；</w:t>
      </w:r>
    </w:p>
    <w:p>
      <w:pPr>
        <w:spacing w:before="163"/>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44"/>
          <w:sz w:val="22"/>
          <w:szCs w:val="22"/>
        </w:rPr>
        <w:t> </w:t>
      </w:r>
      <w:r>
        <w:rPr>
          <w:rFonts w:ascii="楷体" w:hAnsi="楷体" w:cs="楷体" w:eastAsia="楷体" w:hint="default"/>
          <w:spacing w:val="3"/>
          <w:sz w:val="22"/>
          <w:szCs w:val="22"/>
        </w:rPr>
        <w:t>本公司本年购买股权，支付对价与股权公允价值之间的差额调整资本公积—股本溢价</w:t>
      </w:r>
    </w:p>
    <w:p>
      <w:pPr>
        <w:spacing w:before="85"/>
        <w:ind w:left="138" w:right="6555" w:firstLine="0"/>
        <w:jc w:val="left"/>
        <w:rPr>
          <w:rFonts w:ascii="楷体" w:hAnsi="楷体" w:cs="楷体" w:eastAsia="楷体" w:hint="default"/>
          <w:sz w:val="22"/>
          <w:szCs w:val="22"/>
        </w:rPr>
      </w:pPr>
      <w:r>
        <w:rPr>
          <w:rFonts w:ascii="Times New Roman" w:hAnsi="Times New Roman" w:cs="Times New Roman" w:eastAsia="Times New Roman" w:hint="default"/>
          <w:sz w:val="22"/>
          <w:szCs w:val="22"/>
        </w:rPr>
        <w:t>2,091,229.43</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元；</w:t>
      </w:r>
    </w:p>
    <w:p>
      <w:pPr>
        <w:spacing w:after="0"/>
        <w:jc w:val="left"/>
        <w:rPr>
          <w:rFonts w:ascii="楷体" w:hAnsi="楷体" w:cs="楷体" w:eastAsia="楷体" w:hint="default"/>
          <w:sz w:val="22"/>
          <w:szCs w:val="22"/>
        </w:rPr>
        <w:sectPr>
          <w:type w:val="continuous"/>
          <w:pgSz w:w="11910" w:h="16840"/>
          <w:pgMar w:top="1600" w:bottom="2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楷体" w:hAnsi="楷体" w:cs="楷体" w:eastAsia="楷体" w:hint="default"/>
          <w:sz w:val="22"/>
          <w:szCs w:val="22"/>
        </w:rPr>
        <w:t>本公司按权益法对子公司的股本溢价相应确认资本公积—股本溢价 </w:t>
      </w:r>
      <w:r>
        <w:rPr>
          <w:rFonts w:ascii="Times New Roman" w:hAnsi="Times New Roman" w:cs="Times New Roman" w:eastAsia="Times New Roman" w:hint="default"/>
          <w:sz w:val="22"/>
          <w:szCs w:val="22"/>
        </w:rPr>
        <w:t>2,571,807.79</w:t>
      </w:r>
      <w:r>
        <w:rPr>
          <w:rFonts w:ascii="Times New Roman" w:hAnsi="Times New Roman" w:cs="Times New Roman" w:eastAsia="Times New Roman" w:hint="default"/>
          <w:spacing w:val="-32"/>
          <w:sz w:val="22"/>
          <w:szCs w:val="22"/>
        </w:rPr>
        <w:t> </w:t>
      </w:r>
      <w:r>
        <w:rPr>
          <w:rFonts w:ascii="楷体" w:hAnsi="楷体" w:cs="楷体" w:eastAsia="楷体" w:hint="default"/>
          <w:sz w:val="22"/>
          <w:szCs w:val="22"/>
        </w:rPr>
        <w:t>元；</w:t>
      </w:r>
    </w:p>
    <w:p>
      <w:pPr>
        <w:spacing w:before="162"/>
        <w:ind w:left="591"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8"/>
          <w:sz w:val="22"/>
          <w:szCs w:val="22"/>
        </w:rPr>
        <w:t> </w:t>
      </w:r>
      <w:r>
        <w:rPr>
          <w:rFonts w:ascii="楷体" w:hAnsi="楷体" w:cs="楷体" w:eastAsia="楷体" w:hint="default"/>
          <w:spacing w:val="14"/>
          <w:sz w:val="22"/>
          <w:szCs w:val="22"/>
        </w:rPr>
        <w:t>本公司按权益法对子公司的其他资本公积变动相应确认资本公积—其他资本公积</w:t>
      </w:r>
      <w:r>
        <w:rPr>
          <w:rFonts w:ascii="Times New Roman" w:hAnsi="Times New Roman" w:cs="Times New Roman" w:eastAsia="Times New Roman" w:hint="default"/>
          <w:spacing w:val="14"/>
          <w:sz w:val="22"/>
          <w:szCs w:val="22"/>
        </w:rPr>
        <w:t>-</w:t>
      </w:r>
    </w:p>
    <w:p>
      <w:pPr>
        <w:spacing w:before="85"/>
        <w:ind w:left="138" w:right="6555" w:firstLine="0"/>
        <w:jc w:val="left"/>
        <w:rPr>
          <w:rFonts w:ascii="楷体" w:hAnsi="楷体" w:cs="楷体" w:eastAsia="楷体" w:hint="default"/>
          <w:sz w:val="22"/>
          <w:szCs w:val="22"/>
        </w:rPr>
      </w:pPr>
      <w:r>
        <w:rPr>
          <w:rFonts w:ascii="Times New Roman" w:hAnsi="Times New Roman" w:cs="Times New Roman" w:eastAsia="Times New Roman" w:hint="default"/>
          <w:sz w:val="22"/>
          <w:szCs w:val="22"/>
        </w:rPr>
        <w:t>34,764,577.54</w:t>
      </w:r>
      <w:r>
        <w:rPr>
          <w:rFonts w:ascii="Times New Roman" w:hAnsi="Times New Roman" w:cs="Times New Roman" w:eastAsia="Times New Roman" w:hint="default"/>
          <w:spacing w:val="-8"/>
          <w:sz w:val="22"/>
          <w:szCs w:val="22"/>
        </w:rPr>
        <w:t> </w:t>
      </w:r>
      <w:r>
        <w:rPr>
          <w:rFonts w:ascii="楷体" w:hAnsi="楷体" w:cs="楷体" w:eastAsia="楷体" w:hint="default"/>
          <w:sz w:val="22"/>
          <w:szCs w:val="22"/>
        </w:rPr>
        <w:t>元；</w:t>
      </w:r>
    </w:p>
    <w:p>
      <w:pPr>
        <w:spacing w:line="307" w:lineRule="auto" w:before="163"/>
        <w:ind w:left="137" w:right="0" w:firstLine="45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转增股本</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225,454,743.00</w:t>
      </w:r>
      <w:r>
        <w:rPr>
          <w:rFonts w:ascii="Times New Roman" w:hAnsi="Times New Roman" w:cs="Times New Roman" w:eastAsia="Times New Roman" w:hint="default"/>
          <w:spacing w:val="-4"/>
          <w:sz w:val="22"/>
          <w:szCs w:val="22"/>
        </w:rPr>
        <w:t> </w:t>
      </w:r>
      <w:r>
        <w:rPr>
          <w:rFonts w:ascii="楷体" w:hAnsi="楷体" w:cs="楷体" w:eastAsia="楷体" w:hint="default"/>
          <w:spacing w:val="-4"/>
          <w:sz w:val="22"/>
          <w:szCs w:val="22"/>
        </w:rPr>
        <w:t>元。本次增资已经信永中和会计师事务所</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XYZH/2008A8013</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号</w:t>
      </w:r>
      <w:r>
        <w:rPr>
          <w:rFonts w:ascii="楷体" w:hAnsi="楷体" w:cs="楷体" w:eastAsia="楷体" w:hint="default"/>
          <w:w w:val="99"/>
          <w:sz w:val="22"/>
          <w:szCs w:val="22"/>
        </w:rPr>
        <w:t> </w:t>
      </w:r>
      <w:r>
        <w:rPr>
          <w:rFonts w:ascii="楷体" w:hAnsi="楷体" w:cs="楷体" w:eastAsia="楷体" w:hint="default"/>
          <w:sz w:val="22"/>
          <w:szCs w:val="22"/>
        </w:rPr>
        <w:t>验资报告验证；</w:t>
      </w:r>
    </w:p>
    <w:p>
      <w:pPr>
        <w:spacing w:before="118"/>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17"/>
          <w:sz w:val="22"/>
          <w:szCs w:val="22"/>
        </w:rPr>
        <w:t> </w:t>
      </w:r>
      <w:r>
        <w:rPr>
          <w:rFonts w:ascii="楷体" w:hAnsi="楷体" w:cs="楷体" w:eastAsia="楷体" w:hint="default"/>
          <w:sz w:val="22"/>
          <w:szCs w:val="22"/>
        </w:rPr>
        <w:t>本公司本年处置可供出售金融资产，将以前年度公允价值变动计入的资本公积—其他资</w:t>
      </w:r>
    </w:p>
    <w:p>
      <w:pPr>
        <w:spacing w:before="85"/>
        <w:ind w:left="137" w:right="2246" w:firstLine="0"/>
        <w:jc w:val="left"/>
        <w:rPr>
          <w:rFonts w:ascii="楷体" w:hAnsi="楷体" w:cs="楷体" w:eastAsia="楷体" w:hint="default"/>
          <w:sz w:val="22"/>
          <w:szCs w:val="22"/>
        </w:rPr>
      </w:pPr>
      <w:r>
        <w:rPr>
          <w:rFonts w:ascii="楷体" w:hAnsi="楷体" w:cs="楷体" w:eastAsia="楷体" w:hint="default"/>
          <w:sz w:val="22"/>
          <w:szCs w:val="22"/>
        </w:rPr>
        <w:t>本公积</w:t>
      </w:r>
      <w:r>
        <w:rPr>
          <w:rFonts w:ascii="楷体" w:hAnsi="楷体" w:cs="楷体" w:eastAsia="楷体" w:hint="default"/>
          <w:spacing w:val="-64"/>
          <w:sz w:val="22"/>
          <w:szCs w:val="22"/>
        </w:rPr>
        <w:t> </w:t>
      </w:r>
      <w:r>
        <w:rPr>
          <w:rFonts w:ascii="Times New Roman" w:hAnsi="Times New Roman" w:cs="Times New Roman" w:eastAsia="Times New Roman" w:hint="default"/>
          <w:sz w:val="22"/>
          <w:szCs w:val="22"/>
        </w:rPr>
        <w:t>12,114,345.15</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元冲回；</w:t>
      </w:r>
    </w:p>
    <w:p>
      <w:pPr>
        <w:spacing w:before="163"/>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(7)  </w:t>
      </w:r>
      <w:r>
        <w:rPr>
          <w:rFonts w:ascii="Times New Roman" w:hAnsi="Times New Roman" w:cs="Times New Roman" w:eastAsia="Times New Roman" w:hint="default"/>
          <w:b/>
          <w:bCs/>
          <w:spacing w:val="26"/>
          <w:sz w:val="22"/>
          <w:szCs w:val="22"/>
        </w:rPr>
        <w:t> </w:t>
      </w:r>
      <w:r>
        <w:rPr>
          <w:rFonts w:ascii="楷体" w:hAnsi="楷体" w:cs="楷体" w:eastAsia="楷体" w:hint="default"/>
          <w:sz w:val="22"/>
          <w:szCs w:val="22"/>
        </w:rPr>
        <w:t>本</w:t>
      </w:r>
      <w:r>
        <w:rPr>
          <w:rFonts w:ascii="楷体" w:hAnsi="楷体" w:cs="楷体" w:eastAsia="楷体" w:hint="default"/>
          <w:spacing w:val="-78"/>
          <w:sz w:val="22"/>
          <w:szCs w:val="22"/>
        </w:rPr>
        <w:t> </w:t>
      </w:r>
      <w:r>
        <w:rPr>
          <w:rFonts w:ascii="楷体" w:hAnsi="楷体" w:cs="楷体" w:eastAsia="楷体" w:hint="default"/>
          <w:spacing w:val="24"/>
          <w:sz w:val="22"/>
          <w:szCs w:val="22"/>
        </w:rPr>
        <w:t>公司本年</w:t>
      </w:r>
      <w:r>
        <w:rPr>
          <w:rFonts w:ascii="楷体" w:hAnsi="楷体" w:cs="楷体" w:eastAsia="楷体" w:hint="default"/>
          <w:spacing w:val="-78"/>
          <w:sz w:val="22"/>
          <w:szCs w:val="22"/>
        </w:rPr>
        <w:t> </w:t>
      </w:r>
      <w:r>
        <w:rPr>
          <w:rFonts w:ascii="楷体" w:hAnsi="楷体" w:cs="楷体" w:eastAsia="楷体" w:hint="default"/>
          <w:spacing w:val="24"/>
          <w:sz w:val="22"/>
          <w:szCs w:val="22"/>
        </w:rPr>
        <w:t>可供出售</w:t>
      </w:r>
      <w:r>
        <w:rPr>
          <w:rFonts w:ascii="楷体" w:hAnsi="楷体" w:cs="楷体" w:eastAsia="楷体" w:hint="default"/>
          <w:spacing w:val="-78"/>
          <w:sz w:val="22"/>
          <w:szCs w:val="22"/>
        </w:rPr>
        <w:t> </w:t>
      </w:r>
      <w:r>
        <w:rPr>
          <w:rFonts w:ascii="楷体" w:hAnsi="楷体" w:cs="楷体" w:eastAsia="楷体" w:hint="default"/>
          <w:spacing w:val="24"/>
          <w:sz w:val="22"/>
          <w:szCs w:val="22"/>
        </w:rPr>
        <w:t>的金融资</w:t>
      </w:r>
      <w:r>
        <w:rPr>
          <w:rFonts w:ascii="楷体" w:hAnsi="楷体" w:cs="楷体" w:eastAsia="楷体" w:hint="default"/>
          <w:spacing w:val="-78"/>
          <w:sz w:val="22"/>
          <w:szCs w:val="22"/>
        </w:rPr>
        <w:t> </w:t>
      </w:r>
      <w:r>
        <w:rPr>
          <w:rFonts w:ascii="楷体" w:hAnsi="楷体" w:cs="楷体" w:eastAsia="楷体" w:hint="default"/>
          <w:spacing w:val="24"/>
          <w:sz w:val="22"/>
          <w:szCs w:val="22"/>
        </w:rPr>
        <w:t>产公允价</w:t>
      </w:r>
      <w:r>
        <w:rPr>
          <w:rFonts w:ascii="楷体" w:hAnsi="楷体" w:cs="楷体" w:eastAsia="楷体" w:hint="default"/>
          <w:spacing w:val="-78"/>
          <w:sz w:val="22"/>
          <w:szCs w:val="22"/>
        </w:rPr>
        <w:t> </w:t>
      </w:r>
      <w:r>
        <w:rPr>
          <w:rFonts w:ascii="楷体" w:hAnsi="楷体" w:cs="楷体" w:eastAsia="楷体" w:hint="default"/>
          <w:spacing w:val="25"/>
          <w:sz w:val="22"/>
          <w:szCs w:val="22"/>
        </w:rPr>
        <w:t>值变动计入</w:t>
      </w:r>
      <w:r>
        <w:rPr>
          <w:rFonts w:ascii="楷体" w:hAnsi="楷体" w:cs="楷体" w:eastAsia="楷体" w:hint="default"/>
          <w:spacing w:val="-78"/>
          <w:sz w:val="22"/>
          <w:szCs w:val="22"/>
        </w:rPr>
        <w:t> </w:t>
      </w:r>
      <w:r>
        <w:rPr>
          <w:rFonts w:ascii="楷体" w:hAnsi="楷体" w:cs="楷体" w:eastAsia="楷体" w:hint="default"/>
          <w:spacing w:val="24"/>
          <w:sz w:val="22"/>
          <w:szCs w:val="22"/>
        </w:rPr>
        <w:t>资本公积</w:t>
      </w:r>
      <w:r>
        <w:rPr>
          <w:rFonts w:ascii="楷体" w:hAnsi="楷体" w:cs="楷体" w:eastAsia="楷体" w:hint="default"/>
          <w:spacing w:val="-78"/>
          <w:sz w:val="22"/>
          <w:szCs w:val="22"/>
        </w:rPr>
        <w:t> </w:t>
      </w:r>
      <w:r>
        <w:rPr>
          <w:rFonts w:ascii="楷体" w:hAnsi="楷体" w:cs="楷体" w:eastAsia="楷体" w:hint="default"/>
          <w:spacing w:val="24"/>
          <w:sz w:val="22"/>
          <w:szCs w:val="22"/>
        </w:rPr>
        <w:t>—其他资</w:t>
      </w:r>
      <w:r>
        <w:rPr>
          <w:rFonts w:ascii="楷体" w:hAnsi="楷体" w:cs="楷体" w:eastAsia="楷体" w:hint="default"/>
          <w:spacing w:val="-78"/>
          <w:sz w:val="22"/>
          <w:szCs w:val="22"/>
        </w:rPr>
        <w:t> </w:t>
      </w:r>
      <w:r>
        <w:rPr>
          <w:rFonts w:ascii="楷体" w:hAnsi="楷体" w:cs="楷体" w:eastAsia="楷体" w:hint="default"/>
          <w:spacing w:val="21"/>
          <w:sz w:val="22"/>
          <w:szCs w:val="22"/>
        </w:rPr>
        <w:t>本公积</w:t>
      </w:r>
      <w:r>
        <w:rPr>
          <w:rFonts w:ascii="楷体" w:hAnsi="楷体" w:cs="楷体" w:eastAsia="楷体" w:hint="default"/>
          <w:spacing w:val="-78"/>
          <w:sz w:val="22"/>
          <w:szCs w:val="22"/>
        </w:rPr>
        <w:t> </w:t>
      </w:r>
      <w:r>
        <w:rPr>
          <w:rFonts w:ascii="楷体" w:hAnsi="楷体" w:cs="楷体" w:eastAsia="楷体" w:hint="default"/>
          <w:sz w:val="22"/>
          <w:szCs w:val="22"/>
        </w:rPr>
      </w:r>
    </w:p>
    <w:p>
      <w:pPr>
        <w:spacing w:before="85"/>
        <w:ind w:left="137" w:right="6555" w:firstLine="0"/>
        <w:jc w:val="left"/>
        <w:rPr>
          <w:rFonts w:ascii="楷体" w:hAnsi="楷体" w:cs="楷体" w:eastAsia="楷体" w:hint="default"/>
          <w:sz w:val="22"/>
          <w:szCs w:val="22"/>
        </w:rPr>
      </w:pPr>
      <w:r>
        <w:rPr>
          <w:rFonts w:ascii="Times New Roman" w:hAnsi="Times New Roman" w:cs="Times New Roman" w:eastAsia="Times New Roman" w:hint="default"/>
          <w:sz w:val="22"/>
          <w:szCs w:val="22"/>
        </w:rPr>
        <w:t>-5,958,742.59</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元；</w:t>
      </w:r>
    </w:p>
    <w:p>
      <w:pPr>
        <w:spacing w:line="307" w:lineRule="auto" w:before="163"/>
        <w:ind w:left="137" w:right="141" w:firstLine="45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(8)</w:t>
      </w:r>
      <w:r>
        <w:rPr>
          <w:rFonts w:ascii="Times New Roman" w:hAnsi="Times New Roman" w:cs="Times New Roman" w:eastAsia="Times New Roman" w:hint="default"/>
          <w:b/>
          <w:bCs/>
          <w:spacing w:val="22"/>
          <w:sz w:val="22"/>
          <w:szCs w:val="22"/>
        </w:rPr>
        <w:t> </w:t>
      </w:r>
      <w:r>
        <w:rPr>
          <w:rFonts w:ascii="楷体" w:hAnsi="楷体" w:cs="楷体" w:eastAsia="楷体" w:hint="default"/>
          <w:sz w:val="22"/>
          <w:szCs w:val="22"/>
        </w:rPr>
        <w:t>本公司权益法核算的投资单位同方投资有限公司本年发生的其他权益变动，本公司按持</w:t>
      </w:r>
      <w:r>
        <w:rPr>
          <w:rFonts w:ascii="楷体" w:hAnsi="楷体" w:cs="楷体" w:eastAsia="楷体" w:hint="default"/>
          <w:w w:val="99"/>
          <w:sz w:val="22"/>
          <w:szCs w:val="22"/>
        </w:rPr>
        <w:t> </w:t>
      </w:r>
      <w:r>
        <w:rPr>
          <w:rFonts w:ascii="楷体" w:hAnsi="楷体" w:cs="楷体" w:eastAsia="楷体" w:hint="default"/>
          <w:sz w:val="22"/>
          <w:szCs w:val="22"/>
        </w:rPr>
        <w:t>股比例确认资本公积—其他资本公积</w:t>
      </w:r>
      <w:r>
        <w:rPr>
          <w:rFonts w:ascii="Times New Roman" w:hAnsi="Times New Roman" w:cs="Times New Roman" w:eastAsia="Times New Roman" w:hint="default"/>
          <w:sz w:val="22"/>
          <w:szCs w:val="22"/>
        </w:rPr>
        <w:t>-341,325,786.47</w:t>
      </w:r>
      <w:r>
        <w:rPr>
          <w:rFonts w:ascii="Times New Roman" w:hAnsi="Times New Roman" w:cs="Times New Roman" w:eastAsia="Times New Roman" w:hint="default"/>
          <w:spacing w:val="-10"/>
          <w:sz w:val="22"/>
          <w:szCs w:val="22"/>
        </w:rPr>
        <w:t> </w:t>
      </w:r>
      <w:r>
        <w:rPr>
          <w:rFonts w:ascii="楷体" w:hAnsi="楷体" w:cs="楷体" w:eastAsia="楷体" w:hint="default"/>
          <w:sz w:val="22"/>
          <w:szCs w:val="22"/>
        </w:rPr>
        <w:t>元；</w:t>
      </w:r>
    </w:p>
    <w:p>
      <w:pPr>
        <w:spacing w:line="316" w:lineRule="auto" w:before="95"/>
        <w:ind w:left="137" w:right="141" w:firstLine="453"/>
        <w:jc w:val="both"/>
        <w:rPr>
          <w:rFonts w:ascii="楷体" w:hAnsi="楷体" w:cs="楷体" w:eastAsia="楷体" w:hint="default"/>
          <w:sz w:val="22"/>
          <w:szCs w:val="22"/>
        </w:rPr>
      </w:pPr>
      <w:r>
        <w:rPr>
          <w:rFonts w:ascii="Times New Roman" w:hAnsi="Times New Roman" w:cs="Times New Roman" w:eastAsia="Times New Roman" w:hint="default"/>
          <w:b/>
          <w:bCs/>
          <w:sz w:val="22"/>
          <w:szCs w:val="22"/>
        </w:rPr>
        <w:t>(9)</w:t>
      </w:r>
      <w:r>
        <w:rPr>
          <w:rFonts w:ascii="Times New Roman" w:hAnsi="Times New Roman" w:cs="Times New Roman" w:eastAsia="Times New Roman" w:hint="default"/>
          <w:b/>
          <w:bCs/>
          <w:spacing w:val="22"/>
          <w:sz w:val="22"/>
          <w:szCs w:val="22"/>
        </w:rPr>
        <w:t> </w:t>
      </w:r>
      <w:r>
        <w:rPr>
          <w:rFonts w:ascii="楷体" w:hAnsi="楷体" w:cs="楷体" w:eastAsia="楷体" w:hint="default"/>
          <w:sz w:val="22"/>
          <w:szCs w:val="22"/>
        </w:rPr>
        <w:t>本公司联营公司嘉融投资有限公司持有的股票划分为可供出售的金融资产，本年嘉融投</w:t>
      </w:r>
      <w:r>
        <w:rPr>
          <w:rFonts w:ascii="楷体" w:hAnsi="楷体" w:cs="楷体" w:eastAsia="楷体" w:hint="default"/>
          <w:w w:val="99"/>
          <w:sz w:val="22"/>
          <w:szCs w:val="22"/>
        </w:rPr>
        <w:t> </w:t>
      </w:r>
      <w:r>
        <w:rPr>
          <w:rFonts w:ascii="楷体" w:hAnsi="楷体" w:cs="楷体" w:eastAsia="楷体" w:hint="default"/>
          <w:spacing w:val="-1"/>
          <w:sz w:val="22"/>
          <w:szCs w:val="22"/>
        </w:rPr>
        <w:t>资有限公司出售股票，转回原计入资本公积的公允价值变动金额，本公司相应冲回资本公积—其</w:t>
      </w:r>
      <w:r>
        <w:rPr>
          <w:rFonts w:ascii="楷体" w:hAnsi="楷体" w:cs="楷体" w:eastAsia="楷体" w:hint="default"/>
          <w:w w:val="99"/>
          <w:sz w:val="22"/>
          <w:szCs w:val="22"/>
        </w:rPr>
        <w:t> </w:t>
      </w:r>
      <w:r>
        <w:rPr>
          <w:rFonts w:ascii="楷体" w:hAnsi="楷体" w:cs="楷体" w:eastAsia="楷体" w:hint="default"/>
          <w:sz w:val="22"/>
          <w:szCs w:val="22"/>
        </w:rPr>
        <w:t>他资本公积</w:t>
      </w:r>
      <w:r>
        <w:rPr>
          <w:rFonts w:ascii="楷体" w:hAnsi="楷体" w:cs="楷体" w:eastAsia="楷体" w:hint="default"/>
          <w:spacing w:val="-63"/>
          <w:sz w:val="22"/>
          <w:szCs w:val="22"/>
        </w:rPr>
        <w:t> </w:t>
      </w:r>
      <w:r>
        <w:rPr>
          <w:rFonts w:ascii="Times New Roman" w:hAnsi="Times New Roman" w:cs="Times New Roman" w:eastAsia="Times New Roman" w:hint="default"/>
          <w:sz w:val="22"/>
          <w:szCs w:val="22"/>
        </w:rPr>
        <w:t>222,228,112.57</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元；</w:t>
      </w:r>
    </w:p>
    <w:p>
      <w:pPr>
        <w:spacing w:before="85"/>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(10)       </w:t>
      </w:r>
      <w:r>
        <w:rPr>
          <w:rFonts w:ascii="Times New Roman" w:hAnsi="Times New Roman" w:cs="Times New Roman" w:eastAsia="Times New Roman" w:hint="default"/>
          <w:b/>
          <w:bCs/>
          <w:spacing w:val="36"/>
          <w:w w:val="95"/>
          <w:sz w:val="22"/>
          <w:szCs w:val="22"/>
        </w:rPr>
        <w:t> </w:t>
      </w:r>
      <w:r>
        <w:rPr>
          <w:rFonts w:ascii="楷体" w:hAnsi="楷体" w:cs="楷体" w:eastAsia="楷体" w:hint="default"/>
          <w:w w:val="95"/>
          <w:sz w:val="22"/>
          <w:szCs w:val="22"/>
        </w:rPr>
        <w:t>本公司权益法核算的投资单位北京亚仕同方科技有限公司资本公积增加，本公司相应确</w:t>
      </w:r>
      <w:r>
        <w:rPr>
          <w:rFonts w:ascii="楷体" w:hAnsi="楷体" w:cs="楷体" w:eastAsia="楷体" w:hint="default"/>
          <w:sz w:val="22"/>
          <w:szCs w:val="22"/>
        </w:rPr>
      </w:r>
    </w:p>
    <w:p>
      <w:pPr>
        <w:spacing w:before="85"/>
        <w:ind w:left="137" w:right="2246" w:firstLine="0"/>
        <w:jc w:val="left"/>
        <w:rPr>
          <w:rFonts w:ascii="楷体" w:hAnsi="楷体" w:cs="楷体" w:eastAsia="楷体" w:hint="default"/>
          <w:sz w:val="22"/>
          <w:szCs w:val="22"/>
        </w:rPr>
      </w:pPr>
      <w:r>
        <w:rPr>
          <w:rFonts w:ascii="楷体" w:hAnsi="楷体" w:cs="楷体" w:eastAsia="楷体" w:hint="default"/>
          <w:sz w:val="22"/>
          <w:szCs w:val="22"/>
        </w:rPr>
        <w:t>认资本公积—其他资本公积</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65,288.39</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元。</w:t>
      </w:r>
    </w:p>
    <w:p>
      <w:pPr>
        <w:spacing w:before="163"/>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39.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盈余公积</w:t>
      </w:r>
    </w:p>
    <w:p>
      <w:pPr>
        <w:spacing w:line="240" w:lineRule="auto" w:before="5"/>
        <w:rPr>
          <w:rFonts w:ascii="楷体" w:hAnsi="楷体" w:cs="楷体" w:eastAsia="楷体" w:hint="default"/>
          <w:sz w:val="12"/>
          <w:szCs w:val="12"/>
        </w:rPr>
      </w:pPr>
    </w:p>
    <w:tbl>
      <w:tblPr>
        <w:tblW w:w="0" w:type="auto"/>
        <w:jc w:val="left"/>
        <w:tblInd w:w="416" w:type="dxa"/>
        <w:tblLayout w:type="fixed"/>
        <w:tblCellMar>
          <w:top w:w="0" w:type="dxa"/>
          <w:left w:w="0" w:type="dxa"/>
          <w:bottom w:w="0" w:type="dxa"/>
          <w:right w:w="0" w:type="dxa"/>
        </w:tblCellMar>
        <w:tblLook w:val="01E0"/>
      </w:tblPr>
      <w:tblGrid>
        <w:gridCol w:w="2507"/>
        <w:gridCol w:w="1603"/>
        <w:gridCol w:w="3007"/>
        <w:gridCol w:w="1520"/>
      </w:tblGrid>
      <w:tr>
        <w:trPr>
          <w:trHeight w:val="303" w:hRule="exact"/>
        </w:trPr>
        <w:tc>
          <w:tcPr>
            <w:tcW w:w="250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60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1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3007" w:type="dxa"/>
            <w:tcBorders>
              <w:top w:val="single" w:sz="12" w:space="0" w:color="000000"/>
              <w:left w:val="nil" w:sz="6" w:space="0" w:color="auto"/>
              <w:bottom w:val="single" w:sz="4" w:space="0" w:color="000000"/>
              <w:right w:val="nil" w:sz="6" w:space="0" w:color="auto"/>
            </w:tcBorders>
          </w:tcPr>
          <w:p>
            <w:pPr>
              <w:pStyle w:val="TableParagraph"/>
              <w:tabs>
                <w:tab w:pos="1801" w:val="left" w:leader="none"/>
              </w:tabs>
              <w:spacing w:line="246" w:lineRule="exact"/>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tab/>
              <w:t>本年减少</w:t>
            </w:r>
            <w:r>
              <w:rPr>
                <w:rFonts w:ascii="Microsoft JhengHei" w:hAnsi="Microsoft JhengHei" w:cs="Microsoft JhengHei" w:eastAsia="Microsoft JhengHei" w:hint="default"/>
                <w:sz w:val="18"/>
                <w:szCs w:val="18"/>
              </w:rPr>
            </w:r>
          </w:p>
        </w:tc>
        <w:tc>
          <w:tcPr>
            <w:tcW w:w="152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250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法定盈余公积</w:t>
            </w:r>
          </w:p>
        </w:tc>
        <w:tc>
          <w:tcPr>
            <w:tcW w:w="160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39" w:right="0"/>
              <w:jc w:val="left"/>
              <w:rPr>
                <w:rFonts w:ascii="Times New Roman" w:hAnsi="Times New Roman" w:cs="Times New Roman" w:eastAsia="Times New Roman" w:hint="default"/>
                <w:sz w:val="18"/>
                <w:szCs w:val="18"/>
              </w:rPr>
            </w:pPr>
            <w:r>
              <w:rPr>
                <w:rFonts w:ascii="Times New Roman"/>
                <w:sz w:val="18"/>
              </w:rPr>
              <w:t>309,988,781.56</w:t>
            </w:r>
          </w:p>
        </w:tc>
        <w:tc>
          <w:tcPr>
            <w:tcW w:w="3007" w:type="dxa"/>
            <w:tcBorders>
              <w:top w:val="single" w:sz="4" w:space="0" w:color="000000"/>
              <w:left w:val="nil" w:sz="6" w:space="0" w:color="auto"/>
              <w:bottom w:val="nil" w:sz="6" w:space="0" w:color="auto"/>
              <w:right w:val="nil" w:sz="6" w:space="0" w:color="auto"/>
            </w:tcBorders>
          </w:tcPr>
          <w:p>
            <w:pPr>
              <w:pStyle w:val="TableParagraph"/>
              <w:tabs>
                <w:tab w:pos="2284" w:val="left" w:leader="none"/>
              </w:tabs>
              <w:spacing w:line="240" w:lineRule="auto" w:before="32"/>
              <w:ind w:right="166"/>
              <w:jc w:val="right"/>
              <w:rPr>
                <w:rFonts w:ascii="Times New Roman" w:hAnsi="Times New Roman" w:cs="Times New Roman" w:eastAsia="Times New Roman" w:hint="default"/>
                <w:sz w:val="18"/>
                <w:szCs w:val="18"/>
              </w:rPr>
            </w:pPr>
            <w:r>
              <w:rPr>
                <w:rFonts w:ascii="Times New Roman"/>
                <w:spacing w:val="-1"/>
                <w:sz w:val="18"/>
              </w:rPr>
              <w:t>25,142,682.07</w:t>
              <w:tab/>
              <w:t>0.00</w:t>
            </w: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335,131,463.63</w:t>
            </w:r>
          </w:p>
        </w:tc>
      </w:tr>
      <w:tr>
        <w:trPr>
          <w:trHeight w:val="289" w:hRule="exact"/>
        </w:trPr>
        <w:tc>
          <w:tcPr>
            <w:tcW w:w="2507"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任意盈余公积</w:t>
            </w:r>
          </w:p>
        </w:tc>
        <w:tc>
          <w:tcPr>
            <w:tcW w:w="160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328" w:right="0"/>
              <w:jc w:val="left"/>
              <w:rPr>
                <w:rFonts w:ascii="Times New Roman" w:hAnsi="Times New Roman" w:cs="Times New Roman" w:eastAsia="Times New Roman" w:hint="default"/>
                <w:sz w:val="18"/>
                <w:szCs w:val="18"/>
              </w:rPr>
            </w:pPr>
            <w:r>
              <w:rPr>
                <w:rFonts w:ascii="Times New Roman"/>
                <w:sz w:val="18"/>
              </w:rPr>
              <w:t>67,644,490.85</w:t>
            </w:r>
          </w:p>
        </w:tc>
        <w:tc>
          <w:tcPr>
            <w:tcW w:w="3007" w:type="dxa"/>
            <w:tcBorders>
              <w:top w:val="nil" w:sz="6" w:space="0" w:color="auto"/>
              <w:left w:val="nil" w:sz="6" w:space="0" w:color="auto"/>
              <w:bottom w:val="single" w:sz="4" w:space="0" w:color="000000"/>
              <w:right w:val="nil" w:sz="6" w:space="0" w:color="auto"/>
            </w:tcBorders>
          </w:tcPr>
          <w:p>
            <w:pPr>
              <w:pStyle w:val="TableParagraph"/>
              <w:tabs>
                <w:tab w:pos="1564" w:val="left" w:leader="none"/>
              </w:tabs>
              <w:spacing w:line="240" w:lineRule="auto" w:before="33"/>
              <w:ind w:right="166"/>
              <w:jc w:val="right"/>
              <w:rPr>
                <w:rFonts w:ascii="Times New Roman" w:hAnsi="Times New Roman" w:cs="Times New Roman" w:eastAsia="Times New Roman" w:hint="default"/>
                <w:sz w:val="18"/>
                <w:szCs w:val="18"/>
              </w:rPr>
            </w:pPr>
            <w:r>
              <w:rPr>
                <w:rFonts w:ascii="Times New Roman"/>
                <w:sz w:val="18"/>
              </w:rPr>
              <w:t>0.00</w:t>
              <w:tab/>
              <w:t>0.00</w:t>
            </w: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67,644,490.85</w:t>
            </w:r>
          </w:p>
        </w:tc>
      </w:tr>
      <w:tr>
        <w:trPr>
          <w:trHeight w:val="303" w:hRule="exact"/>
        </w:trPr>
        <w:tc>
          <w:tcPr>
            <w:tcW w:w="250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0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39" w:right="0"/>
              <w:jc w:val="left"/>
              <w:rPr>
                <w:rFonts w:ascii="Times New Roman" w:hAnsi="Times New Roman" w:cs="Times New Roman" w:eastAsia="Times New Roman" w:hint="default"/>
                <w:sz w:val="18"/>
                <w:szCs w:val="18"/>
              </w:rPr>
            </w:pPr>
            <w:r>
              <w:rPr>
                <w:rFonts w:ascii="Times New Roman"/>
                <w:b/>
                <w:sz w:val="18"/>
              </w:rPr>
              <w:t>377,633,272.41</w:t>
            </w:r>
            <w:r>
              <w:rPr>
                <w:rFonts w:ascii="Times New Roman"/>
                <w:sz w:val="18"/>
              </w:rPr>
            </w:r>
          </w:p>
        </w:tc>
        <w:tc>
          <w:tcPr>
            <w:tcW w:w="3007" w:type="dxa"/>
            <w:tcBorders>
              <w:top w:val="single" w:sz="4" w:space="0" w:color="000000"/>
              <w:left w:val="nil" w:sz="6" w:space="0" w:color="auto"/>
              <w:bottom w:val="single" w:sz="12" w:space="0" w:color="000000"/>
              <w:right w:val="nil" w:sz="6" w:space="0" w:color="auto"/>
            </w:tcBorders>
          </w:tcPr>
          <w:p>
            <w:pPr>
              <w:pStyle w:val="TableParagraph"/>
              <w:tabs>
                <w:tab w:pos="2284" w:val="left" w:leader="none"/>
              </w:tabs>
              <w:spacing w:line="240" w:lineRule="auto" w:before="32"/>
              <w:ind w:right="166"/>
              <w:jc w:val="right"/>
              <w:rPr>
                <w:rFonts w:ascii="Times New Roman" w:hAnsi="Times New Roman" w:cs="Times New Roman" w:eastAsia="Times New Roman" w:hint="default"/>
                <w:sz w:val="18"/>
                <w:szCs w:val="18"/>
              </w:rPr>
            </w:pPr>
            <w:r>
              <w:rPr>
                <w:rFonts w:ascii="Times New Roman"/>
                <w:b/>
                <w:spacing w:val="-1"/>
                <w:sz w:val="18"/>
              </w:rPr>
              <w:t>25,142,682.07</w:t>
              <w:tab/>
              <w:t>0.00</w:t>
            </w:r>
            <w:r>
              <w:rPr>
                <w:rFonts w:ascii="Times New Roman"/>
                <w:spacing w:val="-1"/>
                <w:sz w:val="18"/>
              </w:rPr>
            </w:r>
          </w:p>
        </w:tc>
        <w:tc>
          <w:tcPr>
            <w:tcW w:w="152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402,775,954.48</w:t>
            </w:r>
            <w:r>
              <w:rPr>
                <w:rFonts w:ascii="Times New Roman"/>
                <w:spacing w:val="-1"/>
                <w:sz w:val="18"/>
              </w:rPr>
            </w:r>
          </w:p>
        </w:tc>
      </w:tr>
      <w:tr>
        <w:trPr>
          <w:trHeight w:val="576" w:hRule="exact"/>
        </w:trPr>
        <w:tc>
          <w:tcPr>
            <w:tcW w:w="25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40.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未分配利润</w:t>
            </w:r>
          </w:p>
        </w:tc>
        <w:tc>
          <w:tcPr>
            <w:tcW w:w="1603" w:type="dxa"/>
            <w:tcBorders>
              <w:top w:val="single" w:sz="12" w:space="0" w:color="000000"/>
              <w:left w:val="nil" w:sz="6" w:space="0" w:color="auto"/>
              <w:bottom w:val="single" w:sz="12" w:space="0" w:color="000000"/>
              <w:right w:val="nil" w:sz="6" w:space="0" w:color="auto"/>
            </w:tcBorders>
          </w:tcPr>
          <w:p>
            <w:pPr/>
          </w:p>
        </w:tc>
        <w:tc>
          <w:tcPr>
            <w:tcW w:w="3007" w:type="dxa"/>
            <w:tcBorders>
              <w:top w:val="single" w:sz="12" w:space="0" w:color="000000"/>
              <w:left w:val="nil" w:sz="6" w:space="0" w:color="auto"/>
              <w:bottom w:val="single" w:sz="12" w:space="0" w:color="000000"/>
              <w:right w:val="nil" w:sz="6" w:space="0" w:color="auto"/>
            </w:tcBorders>
          </w:tcPr>
          <w:p>
            <w:pPr/>
          </w:p>
        </w:tc>
        <w:tc>
          <w:tcPr>
            <w:tcW w:w="1520"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250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603" w:type="dxa"/>
            <w:tcBorders>
              <w:top w:val="single" w:sz="12" w:space="0" w:color="000000"/>
              <w:left w:val="nil" w:sz="6" w:space="0" w:color="auto"/>
              <w:bottom w:val="single" w:sz="4" w:space="0" w:color="000000"/>
              <w:right w:val="nil" w:sz="6" w:space="0" w:color="auto"/>
            </w:tcBorders>
          </w:tcPr>
          <w:p>
            <w:pPr/>
          </w:p>
        </w:tc>
        <w:tc>
          <w:tcPr>
            <w:tcW w:w="300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3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52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250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上年年末金额</w:t>
            </w:r>
            <w:r>
              <w:rPr>
                <w:rFonts w:ascii="Microsoft JhengHei" w:hAnsi="Microsoft JhengHei" w:cs="Microsoft JhengHei" w:eastAsia="Microsoft JhengHei" w:hint="default"/>
                <w:sz w:val="18"/>
                <w:szCs w:val="18"/>
              </w:rPr>
            </w:r>
          </w:p>
        </w:tc>
        <w:tc>
          <w:tcPr>
            <w:tcW w:w="1603" w:type="dxa"/>
            <w:tcBorders>
              <w:top w:val="single" w:sz="4" w:space="0" w:color="000000"/>
              <w:left w:val="nil" w:sz="6" w:space="0" w:color="auto"/>
              <w:bottom w:val="nil" w:sz="6" w:space="0" w:color="auto"/>
              <w:right w:val="nil" w:sz="6" w:space="0" w:color="auto"/>
            </w:tcBorders>
          </w:tcPr>
          <w:p>
            <w:pPr/>
          </w:p>
        </w:tc>
        <w:tc>
          <w:tcPr>
            <w:tcW w:w="300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42" w:right="0"/>
              <w:jc w:val="left"/>
              <w:rPr>
                <w:rFonts w:ascii="Times New Roman" w:hAnsi="Times New Roman" w:cs="Times New Roman" w:eastAsia="Times New Roman" w:hint="default"/>
                <w:sz w:val="18"/>
                <w:szCs w:val="18"/>
              </w:rPr>
            </w:pPr>
            <w:r>
              <w:rPr>
                <w:rFonts w:ascii="Times New Roman"/>
                <w:b/>
                <w:sz w:val="18"/>
              </w:rPr>
              <w:t>1,007,811,569.76</w:t>
            </w:r>
            <w:r>
              <w:rPr>
                <w:rFonts w:ascii="Times New Roman"/>
                <w:sz w:val="18"/>
              </w:rPr>
            </w: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620,913,103.07</w:t>
            </w:r>
            <w:r>
              <w:rPr>
                <w:rFonts w:ascii="Times New Roman"/>
                <w:spacing w:val="-1"/>
                <w:sz w:val="18"/>
              </w:rPr>
            </w:r>
          </w:p>
        </w:tc>
      </w:tr>
      <w:tr>
        <w:trPr>
          <w:trHeight w:val="283"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加：年初未分配利润调整数</w:t>
            </w:r>
          </w:p>
        </w:tc>
        <w:tc>
          <w:tcPr>
            <w:tcW w:w="1603"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977" w:right="0"/>
              <w:jc w:val="left"/>
              <w:rPr>
                <w:rFonts w:ascii="Times New Roman" w:hAnsi="Times New Roman" w:cs="Times New Roman" w:eastAsia="Times New Roman" w:hint="default"/>
                <w:sz w:val="18"/>
                <w:szCs w:val="18"/>
              </w:rPr>
            </w:pPr>
            <w:r>
              <w:rPr>
                <w:rFonts w:ascii="Times New Roman"/>
                <w:sz w:val="18"/>
              </w:rPr>
              <w:t>0.00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47,684,805.86</w:t>
            </w:r>
          </w:p>
        </w:tc>
      </w:tr>
      <w:tr>
        <w:trPr>
          <w:trHeight w:val="283"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本年年初金额</w:t>
            </w:r>
            <w:r>
              <w:rPr>
                <w:rFonts w:ascii="Microsoft JhengHei" w:hAnsi="Microsoft JhengHei" w:cs="Microsoft JhengHei" w:eastAsia="Microsoft JhengHei" w:hint="default"/>
                <w:sz w:val="18"/>
                <w:szCs w:val="18"/>
              </w:rPr>
            </w:r>
          </w:p>
        </w:tc>
        <w:tc>
          <w:tcPr>
            <w:tcW w:w="1603"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42" w:right="0"/>
              <w:jc w:val="left"/>
              <w:rPr>
                <w:rFonts w:ascii="Times New Roman" w:hAnsi="Times New Roman" w:cs="Times New Roman" w:eastAsia="Times New Roman" w:hint="default"/>
                <w:sz w:val="18"/>
                <w:szCs w:val="18"/>
              </w:rPr>
            </w:pPr>
            <w:r>
              <w:rPr>
                <w:rFonts w:ascii="Times New Roman"/>
                <w:b/>
                <w:sz w:val="18"/>
              </w:rPr>
              <w:t>1,007,811,569.76</w:t>
            </w:r>
            <w:r>
              <w:rPr>
                <w:rFonts w:ascii="Times New Roman"/>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668,597,908.93</w:t>
            </w:r>
            <w:r>
              <w:rPr>
                <w:rFonts w:ascii="Times New Roman"/>
                <w:spacing w:val="-1"/>
                <w:sz w:val="18"/>
              </w:rPr>
            </w:r>
          </w:p>
        </w:tc>
      </w:tr>
      <w:tr>
        <w:trPr>
          <w:trHeight w:val="283"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加：本年净利润</w:t>
            </w:r>
          </w:p>
        </w:tc>
        <w:tc>
          <w:tcPr>
            <w:tcW w:w="1603"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68" w:right="0"/>
              <w:jc w:val="left"/>
              <w:rPr>
                <w:rFonts w:ascii="Times New Roman" w:hAnsi="Times New Roman" w:cs="Times New Roman" w:eastAsia="Times New Roman" w:hint="default"/>
                <w:sz w:val="18"/>
                <w:szCs w:val="18"/>
              </w:rPr>
            </w:pPr>
            <w:r>
              <w:rPr>
                <w:rFonts w:ascii="Times New Roman"/>
                <w:sz w:val="18"/>
              </w:rPr>
              <w:t>251,426,820.71</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440,749,878.14</w:t>
            </w:r>
          </w:p>
        </w:tc>
      </w:tr>
      <w:tr>
        <w:trPr>
          <w:trHeight w:val="283"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减：提取法定盈余公积</w:t>
            </w:r>
          </w:p>
        </w:tc>
        <w:tc>
          <w:tcPr>
            <w:tcW w:w="1603"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57" w:right="0"/>
              <w:jc w:val="left"/>
              <w:rPr>
                <w:rFonts w:ascii="Times New Roman" w:hAnsi="Times New Roman" w:cs="Times New Roman" w:eastAsia="Times New Roman" w:hint="default"/>
                <w:sz w:val="18"/>
                <w:szCs w:val="18"/>
              </w:rPr>
            </w:pPr>
            <w:r>
              <w:rPr>
                <w:rFonts w:ascii="Times New Roman"/>
                <w:sz w:val="18"/>
              </w:rPr>
              <w:t>25,142,682.07</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44,074,987.81</w:t>
            </w:r>
          </w:p>
        </w:tc>
      </w:tr>
      <w:tr>
        <w:trPr>
          <w:trHeight w:val="283"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27" w:lineRule="exact"/>
              <w:ind w:left="468" w:right="0"/>
              <w:jc w:val="left"/>
              <w:rPr>
                <w:rFonts w:ascii="楷体" w:hAnsi="楷体" w:cs="楷体" w:eastAsia="楷体" w:hint="default"/>
                <w:sz w:val="18"/>
                <w:szCs w:val="18"/>
              </w:rPr>
            </w:pPr>
            <w:r>
              <w:rPr>
                <w:rFonts w:ascii="楷体" w:hAnsi="楷体" w:cs="楷体" w:eastAsia="楷体" w:hint="default"/>
                <w:sz w:val="18"/>
                <w:szCs w:val="18"/>
              </w:rPr>
              <w:t>提取任意盈余公积</w:t>
            </w:r>
          </w:p>
        </w:tc>
        <w:tc>
          <w:tcPr>
            <w:tcW w:w="1603"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977" w:right="0"/>
              <w:jc w:val="left"/>
              <w:rPr>
                <w:rFonts w:ascii="Times New Roman" w:hAnsi="Times New Roman" w:cs="Times New Roman" w:eastAsia="Times New Roman" w:hint="default"/>
                <w:sz w:val="18"/>
                <w:szCs w:val="18"/>
              </w:rPr>
            </w:pPr>
            <w:r>
              <w:rPr>
                <w:rFonts w:ascii="Times New Roman"/>
                <w:sz w:val="18"/>
              </w:rPr>
              <w:t>0.00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27" w:lineRule="exact"/>
              <w:ind w:left="468" w:right="0"/>
              <w:jc w:val="left"/>
              <w:rPr>
                <w:rFonts w:ascii="楷体" w:hAnsi="楷体" w:cs="楷体" w:eastAsia="楷体" w:hint="default"/>
                <w:sz w:val="18"/>
                <w:szCs w:val="18"/>
              </w:rPr>
            </w:pPr>
            <w:r>
              <w:rPr>
                <w:rFonts w:ascii="楷体" w:hAnsi="楷体" w:cs="楷体" w:eastAsia="楷体" w:hint="default"/>
                <w:sz w:val="18"/>
                <w:szCs w:val="18"/>
              </w:rPr>
              <w:t>应付普通股股利</w:t>
            </w:r>
          </w:p>
        </w:tc>
        <w:tc>
          <w:tcPr>
            <w:tcW w:w="1603"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57" w:right="0"/>
              <w:jc w:val="left"/>
              <w:rPr>
                <w:rFonts w:ascii="Times New Roman" w:hAnsi="Times New Roman" w:cs="Times New Roman" w:eastAsia="Times New Roman" w:hint="default"/>
                <w:sz w:val="18"/>
                <w:szCs w:val="18"/>
              </w:rPr>
            </w:pPr>
            <w:r>
              <w:rPr>
                <w:rFonts w:ascii="Times New Roman"/>
                <w:sz w:val="18"/>
              </w:rPr>
              <w:t>60,121,260.84</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57,461,229.50</w:t>
            </w:r>
          </w:p>
        </w:tc>
      </w:tr>
      <w:tr>
        <w:trPr>
          <w:trHeight w:val="283"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楷体" w:hAnsi="楷体" w:cs="楷体" w:eastAsia="楷体" w:hint="default"/>
                <w:sz w:val="18"/>
                <w:szCs w:val="18"/>
              </w:rPr>
            </w:pPr>
            <w:r>
              <w:rPr>
                <w:rFonts w:ascii="楷体" w:hAnsi="楷体" w:cs="楷体" w:eastAsia="楷体" w:hint="default"/>
                <w:sz w:val="18"/>
                <w:szCs w:val="18"/>
              </w:rPr>
              <w:t>转作股本的普通股股利</w:t>
            </w:r>
          </w:p>
        </w:tc>
        <w:tc>
          <w:tcPr>
            <w:tcW w:w="1603"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977" w:right="0"/>
              <w:jc w:val="left"/>
              <w:rPr>
                <w:rFonts w:ascii="Times New Roman" w:hAnsi="Times New Roman" w:cs="Times New Roman" w:eastAsia="Times New Roman" w:hint="default"/>
                <w:sz w:val="18"/>
                <w:szCs w:val="18"/>
              </w:rPr>
            </w:pPr>
            <w:r>
              <w:rPr>
                <w:rFonts w:ascii="Times New Roman"/>
                <w:sz w:val="18"/>
              </w:rPr>
              <w:t>0.00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507"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本年年末金额</w:t>
            </w:r>
            <w:r>
              <w:rPr>
                <w:rFonts w:ascii="Microsoft JhengHei" w:hAnsi="Microsoft JhengHei" w:cs="Microsoft JhengHei" w:eastAsia="Microsoft JhengHei" w:hint="default"/>
                <w:sz w:val="18"/>
                <w:szCs w:val="18"/>
              </w:rPr>
            </w:r>
          </w:p>
        </w:tc>
        <w:tc>
          <w:tcPr>
            <w:tcW w:w="1603"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32" w:right="0"/>
              <w:jc w:val="left"/>
              <w:rPr>
                <w:rFonts w:ascii="Times New Roman" w:hAnsi="Times New Roman" w:cs="Times New Roman" w:eastAsia="Times New Roman" w:hint="default"/>
                <w:sz w:val="18"/>
                <w:szCs w:val="18"/>
              </w:rPr>
            </w:pPr>
            <w:r>
              <w:rPr>
                <w:rFonts w:ascii="Times New Roman"/>
                <w:b/>
                <w:sz w:val="18"/>
              </w:rPr>
              <w:t>1,173,974,447.56</w:t>
            </w:r>
            <w:r>
              <w:rPr>
                <w:rFonts w:ascii="Times New Roman"/>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1,007,811,569.76</w:t>
            </w:r>
            <w:r>
              <w:rPr>
                <w:rFonts w:ascii="Times New Roman"/>
                <w:spacing w:val="-1"/>
                <w:sz w:val="18"/>
              </w:rPr>
            </w:r>
          </w:p>
        </w:tc>
      </w:tr>
      <w:tr>
        <w:trPr>
          <w:trHeight w:val="300" w:hRule="exact"/>
        </w:trPr>
        <w:tc>
          <w:tcPr>
            <w:tcW w:w="2507" w:type="dxa"/>
            <w:tcBorders>
              <w:top w:val="nil" w:sz="6" w:space="0" w:color="auto"/>
              <w:left w:val="nil" w:sz="6" w:space="0" w:color="auto"/>
              <w:bottom w:val="single" w:sz="12"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其中：拟分配现金股利</w:t>
            </w:r>
          </w:p>
        </w:tc>
        <w:tc>
          <w:tcPr>
            <w:tcW w:w="1603" w:type="dxa"/>
            <w:tcBorders>
              <w:top w:val="nil" w:sz="6" w:space="0" w:color="auto"/>
              <w:left w:val="nil" w:sz="6" w:space="0" w:color="auto"/>
              <w:bottom w:val="single" w:sz="12" w:space="0" w:color="000000"/>
              <w:right w:val="nil" w:sz="6" w:space="0" w:color="auto"/>
            </w:tcBorders>
          </w:tcPr>
          <w:p>
            <w:pPr/>
          </w:p>
        </w:tc>
        <w:tc>
          <w:tcPr>
            <w:tcW w:w="3007"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257" w:right="0"/>
              <w:jc w:val="left"/>
              <w:rPr>
                <w:rFonts w:ascii="Times New Roman" w:hAnsi="Times New Roman" w:cs="Times New Roman" w:eastAsia="Times New Roman" w:hint="default"/>
                <w:sz w:val="18"/>
                <w:szCs w:val="18"/>
              </w:rPr>
            </w:pPr>
            <w:r>
              <w:rPr>
                <w:rFonts w:ascii="Times New Roman"/>
                <w:sz w:val="18"/>
              </w:rPr>
              <w:t>68,387,938.78</w:t>
            </w:r>
          </w:p>
        </w:tc>
        <w:tc>
          <w:tcPr>
            <w:tcW w:w="1520"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576" w:hRule="exact"/>
        </w:trPr>
        <w:tc>
          <w:tcPr>
            <w:tcW w:w="250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41.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少数股东权益</w:t>
            </w:r>
          </w:p>
        </w:tc>
        <w:tc>
          <w:tcPr>
            <w:tcW w:w="1603" w:type="dxa"/>
            <w:tcBorders>
              <w:top w:val="single" w:sz="12" w:space="0" w:color="000000"/>
              <w:left w:val="nil" w:sz="6" w:space="0" w:color="auto"/>
              <w:bottom w:val="single" w:sz="12" w:space="0" w:color="000000"/>
              <w:right w:val="nil" w:sz="6" w:space="0" w:color="auto"/>
            </w:tcBorders>
          </w:tcPr>
          <w:p>
            <w:pPr/>
          </w:p>
        </w:tc>
        <w:tc>
          <w:tcPr>
            <w:tcW w:w="3007" w:type="dxa"/>
            <w:tcBorders>
              <w:top w:val="single" w:sz="12" w:space="0" w:color="000000"/>
              <w:left w:val="nil" w:sz="6" w:space="0" w:color="auto"/>
              <w:bottom w:val="single" w:sz="12" w:space="0" w:color="000000"/>
              <w:right w:val="nil" w:sz="6" w:space="0" w:color="auto"/>
            </w:tcBorders>
          </w:tcPr>
          <w:p>
            <w:pPr/>
          </w:p>
        </w:tc>
        <w:tc>
          <w:tcPr>
            <w:tcW w:w="1520"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250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1603" w:type="dxa"/>
            <w:tcBorders>
              <w:top w:val="single" w:sz="12" w:space="0" w:color="000000"/>
              <w:left w:val="nil" w:sz="6" w:space="0" w:color="auto"/>
              <w:bottom w:val="single" w:sz="4" w:space="0" w:color="000000"/>
              <w:right w:val="nil" w:sz="6" w:space="0" w:color="auto"/>
            </w:tcBorders>
          </w:tcPr>
          <w:p>
            <w:pPr/>
          </w:p>
        </w:tc>
        <w:tc>
          <w:tcPr>
            <w:tcW w:w="300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3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52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303" w:hRule="exact"/>
        </w:trPr>
        <w:tc>
          <w:tcPr>
            <w:tcW w:w="2507"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泰豪科技股份有限公司</w:t>
            </w:r>
          </w:p>
        </w:tc>
        <w:tc>
          <w:tcPr>
            <w:tcW w:w="1603" w:type="dxa"/>
            <w:tcBorders>
              <w:top w:val="single" w:sz="4" w:space="0" w:color="000000"/>
              <w:left w:val="nil" w:sz="6" w:space="0" w:color="auto"/>
              <w:bottom w:val="single" w:sz="12" w:space="0" w:color="000000"/>
              <w:right w:val="nil" w:sz="6" w:space="0" w:color="auto"/>
            </w:tcBorders>
          </w:tcPr>
          <w:p>
            <w:pPr/>
          </w:p>
        </w:tc>
        <w:tc>
          <w:tcPr>
            <w:tcW w:w="300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140" w:right="0"/>
              <w:jc w:val="left"/>
              <w:rPr>
                <w:rFonts w:ascii="Times New Roman" w:hAnsi="Times New Roman" w:cs="Times New Roman" w:eastAsia="Times New Roman" w:hint="default"/>
                <w:sz w:val="18"/>
                <w:szCs w:val="18"/>
              </w:rPr>
            </w:pPr>
            <w:r>
              <w:rPr>
                <w:rFonts w:ascii="Times New Roman"/>
                <w:sz w:val="18"/>
              </w:rPr>
              <w:t>884,884,974.46</w:t>
            </w:r>
          </w:p>
        </w:tc>
        <w:tc>
          <w:tcPr>
            <w:tcW w:w="152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831,479,153.29</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0"/>
        <w:rPr>
          <w:rFonts w:ascii="楷体" w:hAnsi="楷体" w:cs="楷体" w:eastAsia="楷体" w:hint="default"/>
          <w:sz w:val="20"/>
          <w:szCs w:val="20"/>
        </w:rPr>
      </w:pPr>
      <w:r>
        <w:rPr/>
        <w:pict>
          <v:shape style="position:absolute;margin-left:84.839996pt;margin-top:85.830002pt;width:431.9pt;height:677.1pt;mso-position-horizontal-relative:page;mso-position-vertical-relative:page;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2"/>
                    <w:gridCol w:w="1734"/>
                    <w:gridCol w:w="1357"/>
                    <w:gridCol w:w="1687"/>
                    <w:gridCol w:w="1567"/>
                  </w:tblGrid>
                  <w:tr>
                    <w:trPr>
                      <w:trHeight w:val="302" w:hRule="exact"/>
                    </w:trPr>
                    <w:tc>
                      <w:tcPr>
                        <w:tcW w:w="4026"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3044"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3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56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4026"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同方威视技术股份有限公司</w:t>
                        </w:r>
                      </w:p>
                    </w:tc>
                    <w:tc>
                      <w:tcPr>
                        <w:tcW w:w="304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1225" w:right="0"/>
                          <w:jc w:val="left"/>
                          <w:rPr>
                            <w:rFonts w:ascii="Times New Roman" w:hAnsi="Times New Roman" w:cs="Times New Roman" w:eastAsia="Times New Roman" w:hint="default"/>
                            <w:sz w:val="18"/>
                            <w:szCs w:val="18"/>
                          </w:rPr>
                        </w:pPr>
                        <w:r>
                          <w:rPr>
                            <w:rFonts w:ascii="Times New Roman"/>
                            <w:sz w:val="18"/>
                          </w:rPr>
                          <w:t>260,359,216.05</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232,997,613.15</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北京同方创新投资有限公司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04" w:right="0"/>
                          <w:jc w:val="left"/>
                          <w:rPr>
                            <w:rFonts w:ascii="Times New Roman" w:hAnsi="Times New Roman" w:cs="Times New Roman" w:eastAsia="Times New Roman" w:hint="default"/>
                            <w:sz w:val="18"/>
                            <w:szCs w:val="18"/>
                          </w:rPr>
                        </w:pPr>
                        <w:r>
                          <w:rPr>
                            <w:rFonts w:ascii="Times New Roman"/>
                            <w:sz w:val="18"/>
                          </w:rPr>
                          <w:t>7,717,507.38</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8,124,622.88</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同方工业有限公司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04" w:right="0"/>
                          <w:jc w:val="left"/>
                          <w:rPr>
                            <w:rFonts w:ascii="Times New Roman" w:hAnsi="Times New Roman" w:cs="Times New Roman" w:eastAsia="Times New Roman" w:hint="default"/>
                            <w:sz w:val="18"/>
                            <w:szCs w:val="18"/>
                          </w:rPr>
                        </w:pPr>
                        <w:r>
                          <w:rPr>
                            <w:rFonts w:ascii="Times New Roman"/>
                            <w:sz w:val="18"/>
                          </w:rPr>
                          <w:t>2,747,081.23</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2,838,191.12</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山东同方鲁颖电子有限公司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314" w:right="0"/>
                          <w:jc w:val="left"/>
                          <w:rPr>
                            <w:rFonts w:ascii="Times New Roman" w:hAnsi="Times New Roman" w:cs="Times New Roman" w:eastAsia="Times New Roman" w:hint="default"/>
                            <w:sz w:val="18"/>
                            <w:szCs w:val="18"/>
                          </w:rPr>
                        </w:pPr>
                        <w:r>
                          <w:rPr>
                            <w:rFonts w:ascii="Times New Roman"/>
                            <w:sz w:val="18"/>
                          </w:rPr>
                          <w:t>24,375,240.86</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36,544,799.90</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无锡同方创新科技园有限公司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692"/>
                          <w:jc w:val="right"/>
                          <w:rPr>
                            <w:rFonts w:ascii="Times New Roman" w:hAnsi="Times New Roman" w:cs="Times New Roman" w:eastAsia="Times New Roman" w:hint="default"/>
                            <w:sz w:val="18"/>
                            <w:szCs w:val="18"/>
                          </w:rPr>
                        </w:pPr>
                        <w:r>
                          <w:rPr>
                            <w:rFonts w:ascii="Times New Roman"/>
                            <w:sz w:val="18"/>
                          </w:rPr>
                          <w:t>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14,659,411.72</w:t>
                        </w:r>
                      </w:p>
                    </w:tc>
                  </w:tr>
                  <w:tr>
                    <w:trPr>
                      <w:trHeight w:val="288"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同方炭素科技有限公司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04" w:right="0"/>
                          <w:jc w:val="left"/>
                          <w:rPr>
                            <w:rFonts w:ascii="Times New Roman" w:hAnsi="Times New Roman" w:cs="Times New Roman" w:eastAsia="Times New Roman" w:hint="default"/>
                            <w:sz w:val="18"/>
                            <w:szCs w:val="18"/>
                          </w:rPr>
                        </w:pPr>
                        <w:r>
                          <w:rPr>
                            <w:rFonts w:ascii="Times New Roman"/>
                            <w:sz w:val="18"/>
                          </w:rPr>
                          <w:t>5,471,372.76</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5,832,432.53</w:t>
                        </w:r>
                      </w:p>
                    </w:tc>
                  </w:tr>
                  <w:tr>
                    <w:trPr>
                      <w:trHeight w:val="278"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Times New Roman" w:hAnsi="Times New Roman" w:cs="Times New Roman" w:eastAsia="Times New Roman" w:hint="default"/>
                            <w:sz w:val="18"/>
                            <w:szCs w:val="18"/>
                          </w:rPr>
                        </w:pPr>
                        <w:r>
                          <w:rPr>
                            <w:rFonts w:ascii="Times New Roman"/>
                            <w:sz w:val="18"/>
                          </w:rPr>
                          <w:t>Technovator Int. Private</w:t>
                        </w:r>
                        <w:r>
                          <w:rPr>
                            <w:rFonts w:ascii="Times New Roman"/>
                            <w:spacing w:val="-16"/>
                            <w:sz w:val="18"/>
                          </w:rPr>
                          <w:t> </w:t>
                        </w:r>
                        <w:r>
                          <w:rPr>
                            <w:rFonts w:ascii="Times New Roman"/>
                            <w:sz w:val="18"/>
                          </w:rPr>
                          <w:t>Ltd.</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315" w:right="0"/>
                          <w:jc w:val="left"/>
                          <w:rPr>
                            <w:rFonts w:ascii="Times New Roman" w:hAnsi="Times New Roman" w:cs="Times New Roman" w:eastAsia="Times New Roman" w:hint="default"/>
                            <w:sz w:val="18"/>
                            <w:szCs w:val="18"/>
                          </w:rPr>
                        </w:pPr>
                        <w:r>
                          <w:rPr>
                            <w:rFonts w:ascii="Times New Roman"/>
                            <w:sz w:val="18"/>
                          </w:rPr>
                          <w:t>98,316,696.59</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2,248,522.28</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北京同方信息安全技术股份有限公司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404" w:right="0"/>
                          <w:jc w:val="left"/>
                          <w:rPr>
                            <w:rFonts w:ascii="Times New Roman" w:hAnsi="Times New Roman" w:cs="Times New Roman" w:eastAsia="Times New Roman" w:hint="default"/>
                            <w:sz w:val="18"/>
                            <w:szCs w:val="18"/>
                          </w:rPr>
                        </w:pPr>
                        <w:r>
                          <w:rPr>
                            <w:rFonts w:ascii="Times New Roman"/>
                            <w:sz w:val="18"/>
                          </w:rPr>
                          <w:t>6,250,107.06</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8,136,957.49</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北京同方微电子有限公司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314" w:right="0"/>
                          <w:jc w:val="left"/>
                          <w:rPr>
                            <w:rFonts w:ascii="Times New Roman" w:hAnsi="Times New Roman" w:cs="Times New Roman" w:eastAsia="Times New Roman" w:hint="default"/>
                            <w:sz w:val="18"/>
                            <w:szCs w:val="18"/>
                          </w:rPr>
                        </w:pPr>
                        <w:r>
                          <w:rPr>
                            <w:rFonts w:ascii="Times New Roman"/>
                            <w:sz w:val="18"/>
                          </w:rPr>
                          <w:t>48,576,399.25</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42,616,410.78</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北京同方软件股份有限公司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314" w:right="0"/>
                          <w:jc w:val="left"/>
                          <w:rPr>
                            <w:rFonts w:ascii="Times New Roman" w:hAnsi="Times New Roman" w:cs="Times New Roman" w:eastAsia="Times New Roman" w:hint="default"/>
                            <w:sz w:val="18"/>
                            <w:szCs w:val="18"/>
                          </w:rPr>
                        </w:pPr>
                        <w:r>
                          <w:rPr>
                            <w:rFonts w:ascii="Times New Roman"/>
                            <w:sz w:val="18"/>
                          </w:rPr>
                          <w:t>10,470,512.95</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10,285,060.88</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同方光盘股份有限公司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692"/>
                          <w:jc w:val="right"/>
                          <w:rPr>
                            <w:rFonts w:ascii="Times New Roman" w:hAnsi="Times New Roman" w:cs="Times New Roman" w:eastAsia="Times New Roman" w:hint="default"/>
                            <w:sz w:val="18"/>
                            <w:szCs w:val="18"/>
                          </w:rPr>
                        </w:pPr>
                        <w:r>
                          <w:rPr>
                            <w:rFonts w:ascii="Times New Roman"/>
                            <w:sz w:val="18"/>
                          </w:rPr>
                          <w:t>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3,655,955.02</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沈阳同方多媒体科技有限公司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692"/>
                          <w:jc w:val="right"/>
                          <w:rPr>
                            <w:rFonts w:ascii="Times New Roman" w:hAnsi="Times New Roman" w:cs="Times New Roman" w:eastAsia="Times New Roman" w:hint="default"/>
                            <w:sz w:val="18"/>
                            <w:szCs w:val="18"/>
                          </w:rPr>
                        </w:pPr>
                        <w:r>
                          <w:rPr>
                            <w:rFonts w:ascii="Times New Roman"/>
                            <w:sz w:val="18"/>
                          </w:rPr>
                          <w:t>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106,666.67</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北京同方凌讯科技有限公司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320" w:right="0"/>
                          <w:jc w:val="left"/>
                          <w:rPr>
                            <w:rFonts w:ascii="Times New Roman" w:hAnsi="Times New Roman" w:cs="Times New Roman" w:eastAsia="Times New Roman" w:hint="default"/>
                            <w:sz w:val="18"/>
                            <w:szCs w:val="18"/>
                          </w:rPr>
                        </w:pPr>
                        <w:r>
                          <w:rPr>
                            <w:rFonts w:ascii="Times New Roman"/>
                            <w:sz w:val="18"/>
                          </w:rPr>
                          <w:t>11,595,843.60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8,895,774.56</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北京同方易豪科技有限公司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right="692"/>
                          <w:jc w:val="right"/>
                          <w:rPr>
                            <w:rFonts w:ascii="Times New Roman" w:hAnsi="Times New Roman" w:cs="Times New Roman" w:eastAsia="Times New Roman" w:hint="default"/>
                            <w:sz w:val="18"/>
                            <w:szCs w:val="18"/>
                          </w:rPr>
                        </w:pPr>
                        <w:r>
                          <w:rPr>
                            <w:rFonts w:ascii="Times New Roman"/>
                            <w:sz w:val="18"/>
                          </w:rPr>
                          <w:t>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20,063,874.70</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同方环境股份有限公司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692"/>
                          <w:jc w:val="right"/>
                          <w:rPr>
                            <w:rFonts w:ascii="Times New Roman" w:hAnsi="Times New Roman" w:cs="Times New Roman" w:eastAsia="Times New Roman" w:hint="default"/>
                            <w:sz w:val="18"/>
                            <w:szCs w:val="18"/>
                          </w:rPr>
                        </w:pPr>
                        <w:r>
                          <w:rPr>
                            <w:rFonts w:ascii="Times New Roman"/>
                            <w:sz w:val="18"/>
                          </w:rPr>
                          <w:t>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159,577,167.29</w:t>
                        </w:r>
                      </w:p>
                    </w:tc>
                  </w:tr>
                  <w:tr>
                    <w:trPr>
                      <w:trHeight w:val="283"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中体同方体育科技有限公司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692"/>
                          <w:jc w:val="right"/>
                          <w:rPr>
                            <w:rFonts w:ascii="Times New Roman" w:hAnsi="Times New Roman" w:cs="Times New Roman" w:eastAsia="Times New Roman" w:hint="default"/>
                            <w:sz w:val="18"/>
                            <w:szCs w:val="18"/>
                          </w:rPr>
                        </w:pPr>
                        <w:r>
                          <w:rPr>
                            <w:rFonts w:ascii="Times New Roman"/>
                            <w:sz w:val="18"/>
                          </w:rPr>
                          <w:t>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6,327,309.54</w:t>
                        </w:r>
                      </w:p>
                    </w:tc>
                  </w:tr>
                  <w:tr>
                    <w:trPr>
                      <w:trHeight w:val="288" w:hRule="exact"/>
                    </w:trPr>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清芯光电有限公司</w:t>
                        </w:r>
                      </w:p>
                    </w:tc>
                    <w:tc>
                      <w:tcPr>
                        <w:tcW w:w="30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314" w:right="0"/>
                          <w:jc w:val="left"/>
                          <w:rPr>
                            <w:rFonts w:ascii="Times New Roman" w:hAnsi="Times New Roman" w:cs="Times New Roman" w:eastAsia="Times New Roman" w:hint="default"/>
                            <w:sz w:val="18"/>
                            <w:szCs w:val="18"/>
                          </w:rPr>
                        </w:pPr>
                        <w:r>
                          <w:rPr>
                            <w:rFonts w:ascii="Times New Roman"/>
                            <w:sz w:val="18"/>
                          </w:rPr>
                          <w:t>25,760,780.50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31,464,256.47</w:t>
                        </w:r>
                      </w:p>
                    </w:tc>
                  </w:tr>
                  <w:tr>
                    <w:trPr>
                      <w:trHeight w:val="285" w:hRule="exact"/>
                    </w:trPr>
                    <w:tc>
                      <w:tcPr>
                        <w:tcW w:w="40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Times New Roman" w:hAnsi="Times New Roman" w:cs="Times New Roman" w:eastAsia="Times New Roman" w:hint="default"/>
                            <w:sz w:val="18"/>
                            <w:szCs w:val="18"/>
                          </w:rPr>
                        </w:pPr>
                        <w:r>
                          <w:rPr>
                            <w:rFonts w:ascii="Times New Roman"/>
                            <w:sz w:val="18"/>
                          </w:rPr>
                          <w:t>Resuccess Investments</w:t>
                        </w:r>
                        <w:r>
                          <w:rPr>
                            <w:rFonts w:ascii="Times New Roman"/>
                            <w:spacing w:val="-17"/>
                            <w:sz w:val="18"/>
                          </w:rPr>
                          <w:t> </w:t>
                        </w:r>
                        <w:r>
                          <w:rPr>
                            <w:rFonts w:ascii="Times New Roman"/>
                            <w:sz w:val="18"/>
                          </w:rPr>
                          <w:t>Ltd.</w:t>
                        </w:r>
                      </w:p>
                    </w:tc>
                    <w:tc>
                      <w:tcPr>
                        <w:tcW w:w="304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8"/>
                          <w:ind w:left="1403" w:right="0"/>
                          <w:jc w:val="left"/>
                          <w:rPr>
                            <w:rFonts w:ascii="Times New Roman" w:hAnsi="Times New Roman" w:cs="Times New Roman" w:eastAsia="Times New Roman" w:hint="default"/>
                            <w:sz w:val="18"/>
                            <w:szCs w:val="18"/>
                          </w:rPr>
                        </w:pPr>
                        <w:r>
                          <w:rPr>
                            <w:rFonts w:ascii="Times New Roman"/>
                            <w:sz w:val="18"/>
                          </w:rPr>
                          <w:t>7,268,850.05</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4026" w:type="dxa"/>
                        <w:gridSpan w:val="2"/>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044"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1"/>
                          <w:ind w:left="1089" w:right="0"/>
                          <w:jc w:val="left"/>
                          <w:rPr>
                            <w:rFonts w:ascii="Times New Roman" w:hAnsi="Times New Roman" w:cs="Times New Roman" w:eastAsia="Times New Roman" w:hint="default"/>
                            <w:sz w:val="18"/>
                            <w:szCs w:val="18"/>
                          </w:rPr>
                        </w:pPr>
                        <w:r>
                          <w:rPr>
                            <w:rFonts w:ascii="Times New Roman"/>
                            <w:b/>
                            <w:sz w:val="18"/>
                          </w:rPr>
                          <w:t>1,393,794,582.74</w:t>
                        </w:r>
                        <w:r>
                          <w:rPr>
                            <w:rFonts w:ascii="Times New Roman"/>
                            <w:sz w:val="18"/>
                          </w:rPr>
                        </w:r>
                      </w:p>
                    </w:tc>
                    <w:tc>
                      <w:tcPr>
                        <w:tcW w:w="1567" w:type="dxa"/>
                        <w:tcBorders>
                          <w:top w:val="single" w:sz="4" w:space="0" w:color="000000"/>
                          <w:left w:val="nil" w:sz="6" w:space="0" w:color="auto"/>
                          <w:bottom w:val="single" w:sz="12" w:space="0" w:color="000000"/>
                          <w:right w:val="nil" w:sz="6" w:space="0" w:color="auto"/>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b/>
                            <w:spacing w:val="-1"/>
                            <w:sz w:val="18"/>
                          </w:rPr>
                          <w:t>1,425,854,180.27</w:t>
                        </w:r>
                        <w:r>
                          <w:rPr>
                            <w:rFonts w:ascii="Times New Roman"/>
                            <w:spacing w:val="-1"/>
                            <w:sz w:val="18"/>
                          </w:rPr>
                        </w:r>
                      </w:p>
                    </w:tc>
                  </w:tr>
                  <w:tr>
                    <w:trPr>
                      <w:trHeight w:val="528" w:hRule="exact"/>
                    </w:trPr>
                    <w:tc>
                      <w:tcPr>
                        <w:tcW w:w="4026"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42.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营业收入、营业成本</w:t>
                        </w:r>
                      </w:p>
                    </w:tc>
                    <w:tc>
                      <w:tcPr>
                        <w:tcW w:w="3044" w:type="dxa"/>
                        <w:gridSpan w:val="2"/>
                        <w:tcBorders>
                          <w:top w:val="single" w:sz="12" w:space="0" w:color="000000"/>
                          <w:left w:val="nil" w:sz="6" w:space="0" w:color="auto"/>
                          <w:bottom w:val="nil" w:sz="6" w:space="0" w:color="auto"/>
                          <w:right w:val="nil" w:sz="6" w:space="0" w:color="auto"/>
                        </w:tcBorders>
                      </w:tcPr>
                      <w:p>
                        <w:pPr/>
                      </w:p>
                    </w:tc>
                    <w:tc>
                      <w:tcPr>
                        <w:tcW w:w="1567"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4026"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50"/>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营业收入及成本</w:t>
                        </w:r>
                      </w:p>
                    </w:tc>
                    <w:tc>
                      <w:tcPr>
                        <w:tcW w:w="3044" w:type="dxa"/>
                        <w:gridSpan w:val="2"/>
                        <w:tcBorders>
                          <w:top w:val="nil" w:sz="6" w:space="0" w:color="auto"/>
                          <w:left w:val="nil" w:sz="6" w:space="0" w:color="auto"/>
                          <w:bottom w:val="single" w:sz="12" w:space="0" w:color="000000"/>
                          <w:right w:val="nil" w:sz="6" w:space="0" w:color="auto"/>
                        </w:tcBorders>
                      </w:tcPr>
                      <w:p>
                        <w:pPr/>
                      </w:p>
                    </w:tc>
                    <w:tc>
                      <w:tcPr>
                        <w:tcW w:w="1567"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4026"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044"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3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56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026"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主营业务收入</w:t>
                        </w:r>
                      </w:p>
                    </w:tc>
                    <w:tc>
                      <w:tcPr>
                        <w:tcW w:w="304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978" w:right="0"/>
                          <w:jc w:val="left"/>
                          <w:rPr>
                            <w:rFonts w:ascii="Times New Roman" w:hAnsi="Times New Roman" w:cs="Times New Roman" w:eastAsia="Times New Roman" w:hint="default"/>
                            <w:sz w:val="18"/>
                            <w:szCs w:val="18"/>
                          </w:rPr>
                        </w:pPr>
                        <w:r>
                          <w:rPr>
                            <w:rFonts w:ascii="Times New Roman"/>
                            <w:sz w:val="18"/>
                          </w:rPr>
                          <w:t>13,706,466,670.96</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14,566,964,114.66</w:t>
                        </w:r>
                      </w:p>
                    </w:tc>
                  </w:tr>
                  <w:tr>
                    <w:trPr>
                      <w:trHeight w:val="289" w:hRule="exact"/>
                    </w:trPr>
                    <w:tc>
                      <w:tcPr>
                        <w:tcW w:w="4026" w:type="dxa"/>
                        <w:gridSpan w:val="2"/>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其他业务收入</w:t>
                        </w:r>
                      </w:p>
                    </w:tc>
                    <w:tc>
                      <w:tcPr>
                        <w:tcW w:w="304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1203" w:right="0"/>
                          <w:jc w:val="left"/>
                          <w:rPr>
                            <w:rFonts w:ascii="Times New Roman" w:hAnsi="Times New Roman" w:cs="Times New Roman" w:eastAsia="Times New Roman" w:hint="default"/>
                            <w:sz w:val="18"/>
                            <w:szCs w:val="18"/>
                          </w:rPr>
                        </w:pPr>
                        <w:r>
                          <w:rPr>
                            <w:rFonts w:ascii="Times New Roman"/>
                            <w:sz w:val="18"/>
                          </w:rPr>
                          <w:t>221,566,019.77</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58,922,625.02</w:t>
                        </w:r>
                      </w:p>
                    </w:tc>
                  </w:tr>
                  <w:tr>
                    <w:trPr>
                      <w:trHeight w:val="303" w:hRule="exact"/>
                    </w:trPr>
                    <w:tc>
                      <w:tcPr>
                        <w:tcW w:w="4026" w:type="dxa"/>
                        <w:gridSpan w:val="2"/>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044"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978" w:right="0"/>
                          <w:jc w:val="left"/>
                          <w:rPr>
                            <w:rFonts w:ascii="Times New Roman" w:hAnsi="Times New Roman" w:cs="Times New Roman" w:eastAsia="Times New Roman" w:hint="default"/>
                            <w:sz w:val="18"/>
                            <w:szCs w:val="18"/>
                          </w:rPr>
                        </w:pPr>
                        <w:r>
                          <w:rPr>
                            <w:rFonts w:ascii="Times New Roman"/>
                            <w:b/>
                            <w:sz w:val="18"/>
                          </w:rPr>
                          <w:t>13,928,032,690.73</w:t>
                        </w:r>
                        <w:r>
                          <w:rPr>
                            <w:rFonts w:ascii="Times New Roman"/>
                            <w:sz w:val="18"/>
                          </w:rPr>
                        </w:r>
                      </w:p>
                    </w:tc>
                    <w:tc>
                      <w:tcPr>
                        <w:tcW w:w="156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14,625,886,739.68</w:t>
                        </w:r>
                        <w:r>
                          <w:rPr>
                            <w:rFonts w:ascii="Times New Roman"/>
                            <w:spacing w:val="-1"/>
                            <w:sz w:val="18"/>
                          </w:rPr>
                        </w:r>
                      </w:p>
                    </w:tc>
                  </w:tr>
                  <w:tr>
                    <w:trPr>
                      <w:trHeight w:val="303" w:hRule="exact"/>
                    </w:trPr>
                    <w:tc>
                      <w:tcPr>
                        <w:tcW w:w="4026" w:type="dxa"/>
                        <w:gridSpan w:val="2"/>
                        <w:tcBorders>
                          <w:top w:val="single" w:sz="12" w:space="0" w:color="000000"/>
                          <w:left w:val="nil" w:sz="6" w:space="0" w:color="auto"/>
                          <w:bottom w:val="single" w:sz="4" w:space="0" w:color="000000"/>
                          <w:right w:val="nil" w:sz="6" w:space="0" w:color="auto"/>
                        </w:tcBorders>
                      </w:tcPr>
                      <w:p>
                        <w:pPr>
                          <w:pStyle w:val="TableParagraph"/>
                          <w:spacing w:line="239" w:lineRule="exact"/>
                          <w:ind w:left="107" w:right="0"/>
                          <w:jc w:val="left"/>
                          <w:rPr>
                            <w:rFonts w:ascii="楷体" w:hAnsi="楷体" w:cs="楷体" w:eastAsia="楷体" w:hint="default"/>
                            <w:sz w:val="18"/>
                            <w:szCs w:val="18"/>
                          </w:rPr>
                        </w:pPr>
                        <w:r>
                          <w:rPr>
                            <w:rFonts w:ascii="楷体" w:hAnsi="楷体" w:cs="楷体" w:eastAsia="楷体" w:hint="default"/>
                            <w:sz w:val="18"/>
                            <w:szCs w:val="18"/>
                          </w:rPr>
                          <w:t>前</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名客户销售额</w:t>
                        </w:r>
                      </w:p>
                    </w:tc>
                    <w:tc>
                      <w:tcPr>
                        <w:tcW w:w="3044"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32"/>
                          <w:ind w:left="1068" w:right="0"/>
                          <w:jc w:val="left"/>
                          <w:rPr>
                            <w:rFonts w:ascii="Times New Roman" w:hAnsi="Times New Roman" w:cs="Times New Roman" w:eastAsia="Times New Roman" w:hint="default"/>
                            <w:sz w:val="18"/>
                            <w:szCs w:val="18"/>
                          </w:rPr>
                        </w:pPr>
                        <w:r>
                          <w:rPr>
                            <w:rFonts w:ascii="Times New Roman"/>
                            <w:sz w:val="18"/>
                          </w:rPr>
                          <w:t>1,725,967,037.12</w:t>
                        </w:r>
                      </w:p>
                    </w:tc>
                    <w:tc>
                      <w:tcPr>
                        <w:tcW w:w="1567" w:type="dxa"/>
                        <w:tcBorders>
                          <w:top w:val="single" w:sz="12"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2,461,933,538.72</w:t>
                        </w:r>
                      </w:p>
                    </w:tc>
                  </w:tr>
                  <w:tr>
                    <w:trPr>
                      <w:trHeight w:val="303" w:hRule="exact"/>
                    </w:trPr>
                    <w:tc>
                      <w:tcPr>
                        <w:tcW w:w="4026"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所占比例</w:t>
                        </w:r>
                      </w:p>
                    </w:tc>
                    <w:tc>
                      <w:tcPr>
                        <w:tcW w:w="3044"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772" w:right="0"/>
                          <w:jc w:val="left"/>
                          <w:rPr>
                            <w:rFonts w:ascii="Times New Roman" w:hAnsi="Times New Roman" w:cs="Times New Roman" w:eastAsia="Times New Roman" w:hint="default"/>
                            <w:sz w:val="18"/>
                            <w:szCs w:val="18"/>
                          </w:rPr>
                        </w:pPr>
                        <w:r>
                          <w:rPr>
                            <w:rFonts w:ascii="Times New Roman"/>
                            <w:sz w:val="18"/>
                          </w:rPr>
                          <w:t>12.39%</w:t>
                        </w:r>
                      </w:p>
                    </w:tc>
                    <w:tc>
                      <w:tcPr>
                        <w:tcW w:w="156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16.83%</w:t>
                        </w:r>
                      </w:p>
                    </w:tc>
                  </w:tr>
                  <w:tr>
                    <w:trPr>
                      <w:trHeight w:val="297" w:hRule="exact"/>
                    </w:trPr>
                    <w:tc>
                      <w:tcPr>
                        <w:tcW w:w="4026" w:type="dxa"/>
                        <w:gridSpan w:val="2"/>
                        <w:tcBorders>
                          <w:top w:val="single" w:sz="12"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主营业务成本</w:t>
                        </w:r>
                      </w:p>
                    </w:tc>
                    <w:tc>
                      <w:tcPr>
                        <w:tcW w:w="3044"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32"/>
                          <w:ind w:left="985" w:right="0"/>
                          <w:jc w:val="left"/>
                          <w:rPr>
                            <w:rFonts w:ascii="Times New Roman" w:hAnsi="Times New Roman" w:cs="Times New Roman" w:eastAsia="Times New Roman" w:hint="default"/>
                            <w:sz w:val="18"/>
                            <w:szCs w:val="18"/>
                          </w:rPr>
                        </w:pPr>
                        <w:r>
                          <w:rPr>
                            <w:rFonts w:ascii="Times New Roman"/>
                            <w:sz w:val="18"/>
                          </w:rPr>
                          <w:t>11,173,343,973.39</w:t>
                        </w:r>
                      </w:p>
                    </w:tc>
                    <w:tc>
                      <w:tcPr>
                        <w:tcW w:w="1567" w:type="dxa"/>
                        <w:tcBorders>
                          <w:top w:val="single" w:sz="12"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pacing w:val="-1"/>
                            <w:sz w:val="18"/>
                          </w:rPr>
                          <w:t>12,260,811,058.92</w:t>
                        </w:r>
                      </w:p>
                    </w:tc>
                  </w:tr>
                  <w:tr>
                    <w:trPr>
                      <w:trHeight w:val="288" w:hRule="exact"/>
                    </w:trPr>
                    <w:tc>
                      <w:tcPr>
                        <w:tcW w:w="4026" w:type="dxa"/>
                        <w:gridSpan w:val="2"/>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其他业务成本</w:t>
                        </w:r>
                      </w:p>
                    </w:tc>
                    <w:tc>
                      <w:tcPr>
                        <w:tcW w:w="304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1292" w:right="0"/>
                          <w:jc w:val="left"/>
                          <w:rPr>
                            <w:rFonts w:ascii="Times New Roman" w:hAnsi="Times New Roman" w:cs="Times New Roman" w:eastAsia="Times New Roman" w:hint="default"/>
                            <w:sz w:val="18"/>
                            <w:szCs w:val="18"/>
                          </w:rPr>
                        </w:pPr>
                        <w:r>
                          <w:rPr>
                            <w:rFonts w:ascii="Times New Roman"/>
                            <w:sz w:val="18"/>
                          </w:rPr>
                          <w:t>84,150,982.31</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14,409,887.84</w:t>
                        </w:r>
                      </w:p>
                    </w:tc>
                  </w:tr>
                  <w:tr>
                    <w:trPr>
                      <w:trHeight w:val="304" w:hRule="exact"/>
                    </w:trPr>
                    <w:tc>
                      <w:tcPr>
                        <w:tcW w:w="4026" w:type="dxa"/>
                        <w:gridSpan w:val="2"/>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044"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987" w:right="0"/>
                          <w:jc w:val="left"/>
                          <w:rPr>
                            <w:rFonts w:ascii="Times New Roman" w:hAnsi="Times New Roman" w:cs="Times New Roman" w:eastAsia="Times New Roman" w:hint="default"/>
                            <w:sz w:val="18"/>
                            <w:szCs w:val="18"/>
                          </w:rPr>
                        </w:pPr>
                        <w:r>
                          <w:rPr>
                            <w:rFonts w:ascii="Times New Roman"/>
                            <w:b/>
                            <w:sz w:val="18"/>
                          </w:rPr>
                          <w:t>11,257,494,955.70</w:t>
                        </w:r>
                        <w:r>
                          <w:rPr>
                            <w:rFonts w:ascii="Times New Roman"/>
                            <w:sz w:val="18"/>
                          </w:rPr>
                        </w:r>
                      </w:p>
                    </w:tc>
                    <w:tc>
                      <w:tcPr>
                        <w:tcW w:w="156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12,275,220,946.76</w:t>
                        </w:r>
                        <w:r>
                          <w:rPr>
                            <w:rFonts w:ascii="Times New Roman"/>
                            <w:spacing w:val="-1"/>
                            <w:sz w:val="18"/>
                          </w:rPr>
                        </w:r>
                      </w:p>
                    </w:tc>
                  </w:tr>
                  <w:tr>
                    <w:trPr>
                      <w:trHeight w:val="409" w:hRule="exact"/>
                    </w:trPr>
                    <w:tc>
                      <w:tcPr>
                        <w:tcW w:w="4026"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主营业务</w:t>
                        </w:r>
                        <w:r>
                          <w:rPr>
                            <w:rFonts w:ascii="Times New Roman" w:hAnsi="Times New Roman" w:cs="Times New Roman" w:eastAsia="Times New Roman" w:hint="default"/>
                            <w:sz w:val="22"/>
                            <w:szCs w:val="22"/>
                          </w:rPr>
                          <w:t>—</w:t>
                        </w:r>
                        <w:r>
                          <w:rPr>
                            <w:rFonts w:ascii="楷体" w:hAnsi="楷体" w:cs="楷体" w:eastAsia="楷体" w:hint="default"/>
                            <w:sz w:val="22"/>
                            <w:szCs w:val="22"/>
                          </w:rPr>
                          <w:t>按业务类别分类</w:t>
                        </w:r>
                      </w:p>
                    </w:tc>
                    <w:tc>
                      <w:tcPr>
                        <w:tcW w:w="3044" w:type="dxa"/>
                        <w:gridSpan w:val="2"/>
                        <w:tcBorders>
                          <w:top w:val="single" w:sz="12" w:space="0" w:color="000000"/>
                          <w:left w:val="nil" w:sz="6" w:space="0" w:color="auto"/>
                          <w:bottom w:val="nil" w:sz="6" w:space="0" w:color="auto"/>
                          <w:right w:val="nil" w:sz="6" w:space="0" w:color="auto"/>
                        </w:tcBorders>
                      </w:tcPr>
                      <w:p>
                        <w:pPr/>
                      </w:p>
                    </w:tc>
                    <w:tc>
                      <w:tcPr>
                        <w:tcW w:w="1567" w:type="dxa"/>
                        <w:tcBorders>
                          <w:top w:val="single" w:sz="12" w:space="0" w:color="000000"/>
                          <w:left w:val="nil" w:sz="6" w:space="0" w:color="auto"/>
                          <w:bottom w:val="nil" w:sz="6" w:space="0" w:color="auto"/>
                          <w:right w:val="nil" w:sz="6" w:space="0" w:color="auto"/>
                        </w:tcBorders>
                      </w:tcPr>
                      <w:p>
                        <w:pPr/>
                      </w:p>
                    </w:tc>
                  </w:tr>
                  <w:tr>
                    <w:trPr>
                      <w:trHeight w:val="468" w:hRule="exact"/>
                    </w:trPr>
                    <w:tc>
                      <w:tcPr>
                        <w:tcW w:w="8638" w:type="dxa"/>
                        <w:gridSpan w:val="5"/>
                        <w:tcBorders>
                          <w:top w:val="nil" w:sz="6" w:space="0" w:color="auto"/>
                          <w:left w:val="nil" w:sz="6" w:space="0" w:color="auto"/>
                          <w:bottom w:val="nil" w:sz="6" w:space="0" w:color="auto"/>
                          <w:right w:val="nil" w:sz="6" w:space="0" w:color="auto"/>
                        </w:tcBorders>
                      </w:tcPr>
                      <w:p>
                        <w:pPr>
                          <w:pStyle w:val="TableParagraph"/>
                          <w:tabs>
                            <w:tab w:pos="6697" w:val="left" w:leader="none"/>
                          </w:tabs>
                          <w:spacing w:line="240" w:lineRule="auto" w:before="114"/>
                          <w:ind w:left="35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tab/>
                          <w:t>上年金额</w:t>
                        </w:r>
                        <w:r>
                          <w:rPr>
                            <w:rFonts w:ascii="Microsoft JhengHei" w:hAnsi="Microsoft JhengHei" w:cs="Microsoft JhengHei" w:eastAsia="Microsoft JhengHei" w:hint="default"/>
                            <w:sz w:val="18"/>
                            <w:szCs w:val="18"/>
                          </w:rPr>
                        </w:r>
                      </w:p>
                    </w:tc>
                  </w:tr>
                  <w:tr>
                    <w:trPr>
                      <w:trHeight w:val="294" w:hRule="exact"/>
                    </w:trPr>
                    <w:tc>
                      <w:tcPr>
                        <w:tcW w:w="2292" w:type="dxa"/>
                        <w:tcBorders>
                          <w:top w:val="nil" w:sz="6" w:space="0" w:color="auto"/>
                          <w:left w:val="nil" w:sz="6" w:space="0" w:color="auto"/>
                          <w:bottom w:val="single" w:sz="4" w:space="0" w:color="000000"/>
                          <w:right w:val="nil" w:sz="6" w:space="0" w:color="auto"/>
                        </w:tcBorders>
                      </w:tcPr>
                      <w:p>
                        <w:pPr/>
                      </w:p>
                    </w:tc>
                    <w:tc>
                      <w:tcPr>
                        <w:tcW w:w="1734"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主营业务收入</w:t>
                        </w:r>
                        <w:r>
                          <w:rPr>
                            <w:rFonts w:ascii="Microsoft JhengHei" w:hAnsi="Microsoft JhengHei" w:cs="Microsoft JhengHei" w:eastAsia="Microsoft JhengHei" w:hint="default"/>
                            <w:sz w:val="18"/>
                            <w:szCs w:val="18"/>
                          </w:rPr>
                        </w:r>
                      </w:p>
                    </w:tc>
                    <w:tc>
                      <w:tcPr>
                        <w:tcW w:w="1357"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1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主营业务成本</w:t>
                        </w:r>
                        <w:r>
                          <w:rPr>
                            <w:rFonts w:ascii="Microsoft JhengHei" w:hAnsi="Microsoft JhengHei" w:cs="Microsoft JhengHei" w:eastAsia="Microsoft JhengHei" w:hint="default"/>
                            <w:sz w:val="18"/>
                            <w:szCs w:val="18"/>
                          </w:rPr>
                        </w:r>
                      </w:p>
                    </w:tc>
                    <w:tc>
                      <w:tcPr>
                        <w:tcW w:w="1687"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3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主营业务收入</w:t>
                        </w:r>
                        <w:r>
                          <w:rPr>
                            <w:rFonts w:ascii="Microsoft JhengHei" w:hAnsi="Microsoft JhengHei" w:cs="Microsoft JhengHei" w:eastAsia="Microsoft JhengHei" w:hint="default"/>
                            <w:sz w:val="18"/>
                            <w:szCs w:val="18"/>
                          </w:rPr>
                        </w: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2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主营业务成本</w:t>
                        </w:r>
                        <w:r>
                          <w:rPr>
                            <w:rFonts w:ascii="Microsoft JhengHei" w:hAnsi="Microsoft JhengHei" w:cs="Microsoft JhengHei" w:eastAsia="Microsoft JhengHei" w:hint="default"/>
                            <w:sz w:val="18"/>
                            <w:szCs w:val="18"/>
                          </w:rPr>
                        </w:r>
                      </w:p>
                    </w:tc>
                  </w:tr>
                  <w:tr>
                    <w:trPr>
                      <w:trHeight w:val="287" w:hRule="exact"/>
                    </w:trPr>
                    <w:tc>
                      <w:tcPr>
                        <w:tcW w:w="2292"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信息技术</w:t>
                        </w: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50" w:right="0"/>
                          <w:jc w:val="left"/>
                          <w:rPr>
                            <w:rFonts w:ascii="Times New Roman" w:hAnsi="Times New Roman" w:cs="Times New Roman" w:eastAsia="Times New Roman" w:hint="default"/>
                            <w:sz w:val="18"/>
                            <w:szCs w:val="18"/>
                          </w:rPr>
                        </w:pPr>
                        <w:r>
                          <w:rPr>
                            <w:rFonts w:ascii="Times New Roman"/>
                            <w:sz w:val="18"/>
                          </w:rPr>
                          <w:t>11,005,600,110.20</w:t>
                        </w:r>
                      </w:p>
                    </w:tc>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5"/>
                          <w:jc w:val="right"/>
                          <w:rPr>
                            <w:rFonts w:ascii="Times New Roman" w:hAnsi="Times New Roman" w:cs="Times New Roman" w:eastAsia="Times New Roman" w:hint="default"/>
                            <w:sz w:val="18"/>
                            <w:szCs w:val="18"/>
                          </w:rPr>
                        </w:pPr>
                        <w:r>
                          <w:rPr>
                            <w:rFonts w:ascii="Times New Roman"/>
                            <w:spacing w:val="-1"/>
                            <w:sz w:val="18"/>
                          </w:rPr>
                          <w:t>9,011,465,135.77</w:t>
                        </w: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5"/>
                          <w:jc w:val="right"/>
                          <w:rPr>
                            <w:rFonts w:ascii="Times New Roman" w:hAnsi="Times New Roman" w:cs="Times New Roman" w:eastAsia="Times New Roman" w:hint="default"/>
                            <w:sz w:val="18"/>
                            <w:szCs w:val="18"/>
                          </w:rPr>
                        </w:pPr>
                        <w:r>
                          <w:rPr>
                            <w:rFonts w:ascii="Times New Roman"/>
                            <w:spacing w:val="-1"/>
                            <w:sz w:val="18"/>
                          </w:rPr>
                          <w:t>11,005,271,282.42</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9,303,068,124.18</w:t>
                        </w:r>
                      </w:p>
                    </w:tc>
                  </w:tr>
                  <w:tr>
                    <w:trPr>
                      <w:trHeight w:val="283"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能源环境</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6" w:right="0"/>
                          <w:jc w:val="left"/>
                          <w:rPr>
                            <w:rFonts w:ascii="Times New Roman" w:hAnsi="Times New Roman" w:cs="Times New Roman" w:eastAsia="Times New Roman" w:hint="default"/>
                            <w:sz w:val="18"/>
                            <w:szCs w:val="18"/>
                          </w:rPr>
                        </w:pPr>
                        <w:r>
                          <w:rPr>
                            <w:rFonts w:ascii="Times New Roman"/>
                            <w:sz w:val="18"/>
                          </w:rPr>
                          <w:t>2,637,743,412.65</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
                          <w:jc w:val="right"/>
                          <w:rPr>
                            <w:rFonts w:ascii="Times New Roman" w:hAnsi="Times New Roman" w:cs="Times New Roman" w:eastAsia="Times New Roman" w:hint="default"/>
                            <w:sz w:val="18"/>
                            <w:szCs w:val="18"/>
                          </w:rPr>
                        </w:pPr>
                        <w:r>
                          <w:rPr>
                            <w:rFonts w:ascii="Times New Roman"/>
                            <w:spacing w:val="-1"/>
                            <w:sz w:val="18"/>
                          </w:rPr>
                          <w:t>2,110,378,174.50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1"/>
                            <w:sz w:val="18"/>
                          </w:rPr>
                          <w:t>3,238,187,352.94</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2,706,601,288.30</w:t>
                        </w:r>
                      </w:p>
                    </w:tc>
                  </w:tr>
                  <w:tr>
                    <w:trPr>
                      <w:trHeight w:val="288" w:hRule="exact"/>
                    </w:trPr>
                    <w:tc>
                      <w:tcPr>
                        <w:tcW w:w="2292"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科技园区</w:t>
                        </w: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458" w:right="0"/>
                          <w:jc w:val="left"/>
                          <w:rPr>
                            <w:rFonts w:ascii="Times New Roman" w:hAnsi="Times New Roman" w:cs="Times New Roman" w:eastAsia="Times New Roman" w:hint="default"/>
                            <w:sz w:val="18"/>
                            <w:szCs w:val="18"/>
                          </w:rPr>
                        </w:pPr>
                        <w:r>
                          <w:rPr>
                            <w:rFonts w:ascii="Times New Roman"/>
                            <w:sz w:val="18"/>
                          </w:rPr>
                          <w:t>63,123,148.11</w:t>
                        </w: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5"/>
                          <w:jc w:val="right"/>
                          <w:rPr>
                            <w:rFonts w:ascii="Times New Roman" w:hAnsi="Times New Roman" w:cs="Times New Roman" w:eastAsia="Times New Roman" w:hint="default"/>
                            <w:sz w:val="18"/>
                            <w:szCs w:val="18"/>
                          </w:rPr>
                        </w:pPr>
                        <w:r>
                          <w:rPr>
                            <w:rFonts w:ascii="Times New Roman"/>
                            <w:spacing w:val="-1"/>
                            <w:sz w:val="18"/>
                          </w:rPr>
                          <w:t>51,500,663.12</w:t>
                        </w:r>
                      </w:p>
                    </w:tc>
                    <w:tc>
                      <w:tcPr>
                        <w:tcW w:w="168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4"/>
                          <w:jc w:val="right"/>
                          <w:rPr>
                            <w:rFonts w:ascii="Times New Roman" w:hAnsi="Times New Roman" w:cs="Times New Roman" w:eastAsia="Times New Roman" w:hint="default"/>
                            <w:sz w:val="18"/>
                            <w:szCs w:val="18"/>
                          </w:rPr>
                        </w:pPr>
                        <w:r>
                          <w:rPr>
                            <w:rFonts w:ascii="Times New Roman"/>
                            <w:spacing w:val="-1"/>
                            <w:sz w:val="18"/>
                          </w:rPr>
                          <w:t>323,505,479.30</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251,141,646.44</w:t>
                        </w:r>
                      </w:p>
                    </w:tc>
                  </w:tr>
                  <w:tr>
                    <w:trPr>
                      <w:trHeight w:val="304" w:hRule="exact"/>
                    </w:trPr>
                    <w:tc>
                      <w:tcPr>
                        <w:tcW w:w="2292"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36" w:right="0"/>
                          <w:jc w:val="left"/>
                          <w:rPr>
                            <w:rFonts w:ascii="Times New Roman" w:hAnsi="Times New Roman" w:cs="Times New Roman" w:eastAsia="Times New Roman" w:hint="default"/>
                            <w:sz w:val="18"/>
                            <w:szCs w:val="18"/>
                          </w:rPr>
                        </w:pPr>
                        <w:r>
                          <w:rPr>
                            <w:rFonts w:ascii="Times New Roman"/>
                            <w:b/>
                            <w:sz w:val="18"/>
                          </w:rPr>
                          <w:t>13,706,466,670.96</w:t>
                        </w:r>
                        <w:r>
                          <w:rPr>
                            <w:rFonts w:ascii="Times New Roman"/>
                            <w:sz w:val="18"/>
                          </w:rPr>
                        </w:r>
                      </w:p>
                    </w:tc>
                    <w:tc>
                      <w:tcPr>
                        <w:tcW w:w="135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5"/>
                          <w:jc w:val="right"/>
                          <w:rPr>
                            <w:rFonts w:ascii="Times New Roman" w:hAnsi="Times New Roman" w:cs="Times New Roman" w:eastAsia="Times New Roman" w:hint="default"/>
                            <w:sz w:val="18"/>
                            <w:szCs w:val="18"/>
                          </w:rPr>
                        </w:pPr>
                        <w:r>
                          <w:rPr>
                            <w:rFonts w:ascii="Times New Roman"/>
                            <w:b/>
                            <w:spacing w:val="-1"/>
                            <w:sz w:val="18"/>
                          </w:rPr>
                          <w:t>11,173,343,973.39</w:t>
                        </w:r>
                        <w:r>
                          <w:rPr>
                            <w:rFonts w:ascii="Times New Roman"/>
                            <w:spacing w:val="-1"/>
                            <w:sz w:val="18"/>
                          </w:rPr>
                        </w:r>
                      </w:p>
                    </w:tc>
                    <w:tc>
                      <w:tcPr>
                        <w:tcW w:w="168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5"/>
                          <w:jc w:val="right"/>
                          <w:rPr>
                            <w:rFonts w:ascii="Times New Roman" w:hAnsi="Times New Roman" w:cs="Times New Roman" w:eastAsia="Times New Roman" w:hint="default"/>
                            <w:sz w:val="18"/>
                            <w:szCs w:val="18"/>
                          </w:rPr>
                        </w:pPr>
                        <w:r>
                          <w:rPr>
                            <w:rFonts w:ascii="Times New Roman"/>
                            <w:b/>
                            <w:spacing w:val="-1"/>
                            <w:sz w:val="18"/>
                          </w:rPr>
                          <w:t>14,566,964,114.66</w:t>
                        </w:r>
                        <w:r>
                          <w:rPr>
                            <w:rFonts w:ascii="Times New Roman"/>
                            <w:spacing w:val="-1"/>
                            <w:sz w:val="18"/>
                          </w:rPr>
                        </w:r>
                      </w:p>
                    </w:tc>
                    <w:tc>
                      <w:tcPr>
                        <w:tcW w:w="156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12,260,811,058.92</w:t>
                        </w:r>
                        <w:r>
                          <w:rPr>
                            <w:rFonts w:ascii="Times New Roman"/>
                            <w:spacing w:val="-1"/>
                            <w:sz w:val="18"/>
                          </w:rPr>
                        </w:r>
                      </w:p>
                    </w:tc>
                  </w:tr>
                  <w:tr>
                    <w:trPr>
                      <w:trHeight w:val="576" w:hRule="exact"/>
                    </w:trPr>
                    <w:tc>
                      <w:tcPr>
                        <w:tcW w:w="22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43.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营业税金及附加</w:t>
                        </w:r>
                      </w:p>
                    </w:tc>
                    <w:tc>
                      <w:tcPr>
                        <w:tcW w:w="1734" w:type="dxa"/>
                        <w:tcBorders>
                          <w:top w:val="single" w:sz="12" w:space="0" w:color="000000"/>
                          <w:left w:val="nil" w:sz="6" w:space="0" w:color="auto"/>
                          <w:bottom w:val="single" w:sz="12" w:space="0" w:color="000000"/>
                          <w:right w:val="nil" w:sz="6" w:space="0" w:color="auto"/>
                        </w:tcBorders>
                      </w:tcPr>
                      <w:p>
                        <w:pPr/>
                      </w:p>
                    </w:tc>
                    <w:tc>
                      <w:tcPr>
                        <w:tcW w:w="1357" w:type="dxa"/>
                        <w:tcBorders>
                          <w:top w:val="single" w:sz="12" w:space="0" w:color="000000"/>
                          <w:left w:val="nil" w:sz="6" w:space="0" w:color="auto"/>
                          <w:bottom w:val="single" w:sz="12" w:space="0" w:color="000000"/>
                          <w:right w:val="nil" w:sz="6" w:space="0" w:color="auto"/>
                        </w:tcBorders>
                      </w:tcPr>
                      <w:p>
                        <w:pPr/>
                      </w:p>
                    </w:tc>
                    <w:tc>
                      <w:tcPr>
                        <w:tcW w:w="1687" w:type="dxa"/>
                        <w:tcBorders>
                          <w:top w:val="single" w:sz="12" w:space="0" w:color="000000"/>
                          <w:left w:val="nil" w:sz="6" w:space="0" w:color="auto"/>
                          <w:bottom w:val="single" w:sz="12" w:space="0" w:color="000000"/>
                          <w:right w:val="nil" w:sz="6" w:space="0" w:color="auto"/>
                        </w:tcBorders>
                      </w:tcPr>
                      <w:p>
                        <w:pPr/>
                      </w:p>
                    </w:tc>
                    <w:tc>
                      <w:tcPr>
                        <w:tcW w:w="1567"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229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73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计缴比例</w:t>
                        </w:r>
                        <w:r>
                          <w:rPr>
                            <w:rFonts w:ascii="Microsoft JhengHei" w:hAnsi="Microsoft JhengHei" w:cs="Microsoft JhengHei" w:eastAsia="Microsoft JhengHei" w:hint="default"/>
                            <w:sz w:val="18"/>
                            <w:szCs w:val="18"/>
                          </w:rPr>
                        </w:r>
                      </w:p>
                    </w:tc>
                    <w:tc>
                      <w:tcPr>
                        <w:tcW w:w="1357" w:type="dxa"/>
                        <w:tcBorders>
                          <w:top w:val="single" w:sz="12" w:space="0" w:color="000000"/>
                          <w:left w:val="nil" w:sz="6" w:space="0" w:color="auto"/>
                          <w:bottom w:val="single" w:sz="4" w:space="0" w:color="000000"/>
                          <w:right w:val="nil" w:sz="6" w:space="0" w:color="auto"/>
                        </w:tcBorders>
                      </w:tcPr>
                      <w:p>
                        <w:pPr/>
                      </w:p>
                    </w:tc>
                    <w:tc>
                      <w:tcPr>
                        <w:tcW w:w="168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56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8" w:hRule="exact"/>
                    </w:trPr>
                    <w:tc>
                      <w:tcPr>
                        <w:tcW w:w="2292"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营业税</w:t>
                        </w:r>
                      </w:p>
                    </w:tc>
                    <w:tc>
                      <w:tcPr>
                        <w:tcW w:w="1734" w:type="dxa"/>
                        <w:tcBorders>
                          <w:top w:val="single" w:sz="4" w:space="0" w:color="000000"/>
                          <w:left w:val="nil" w:sz="6" w:space="0" w:color="auto"/>
                          <w:bottom w:val="nil" w:sz="6" w:space="0" w:color="auto"/>
                          <w:right w:val="nil" w:sz="6" w:space="0" w:color="auto"/>
                        </w:tcBorders>
                      </w:tcPr>
                      <w:p>
                        <w:pPr>
                          <w:pStyle w:val="TableParagraph"/>
                          <w:spacing w:line="239" w:lineRule="exact"/>
                          <w:ind w:left="88" w:right="-5"/>
                          <w:jc w:val="left"/>
                          <w:rPr>
                            <w:rFonts w:ascii="Times New Roman" w:hAnsi="Times New Roman" w:cs="Times New Roman" w:eastAsia="Times New Roman" w:hint="default"/>
                            <w:sz w:val="18"/>
                            <w:szCs w:val="18"/>
                          </w:rPr>
                        </w:pPr>
                        <w:r>
                          <w:rPr>
                            <w:rFonts w:ascii="楷体" w:hAnsi="楷体" w:cs="楷体" w:eastAsia="楷体" w:hint="default"/>
                            <w:sz w:val="18"/>
                            <w:szCs w:val="18"/>
                          </w:rPr>
                          <w:t>应税收入的</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3%</w:t>
                        </w:r>
                        <w:r>
                          <w:rPr>
                            <w:rFonts w:ascii="楷体" w:hAnsi="楷体" w:cs="楷体" w:eastAsia="楷体" w:hint="default"/>
                            <w:sz w:val="18"/>
                            <w:szCs w:val="18"/>
                          </w:rPr>
                          <w:t>或</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5%</w:t>
                        </w:r>
                      </w:p>
                    </w:tc>
                    <w:tc>
                      <w:tcPr>
                        <w:tcW w:w="1357" w:type="dxa"/>
                        <w:tcBorders>
                          <w:top w:val="single" w:sz="4" w:space="0" w:color="000000"/>
                          <w:left w:val="nil" w:sz="6" w:space="0" w:color="auto"/>
                          <w:bottom w:val="nil" w:sz="6" w:space="0" w:color="auto"/>
                          <w:right w:val="nil" w:sz="6" w:space="0" w:color="auto"/>
                        </w:tcBorders>
                      </w:tcPr>
                      <w:p>
                        <w:pP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7" w:right="0"/>
                          <w:jc w:val="left"/>
                          <w:rPr>
                            <w:rFonts w:ascii="Times New Roman" w:hAnsi="Times New Roman" w:cs="Times New Roman" w:eastAsia="Times New Roman" w:hint="default"/>
                            <w:sz w:val="18"/>
                            <w:szCs w:val="18"/>
                          </w:rPr>
                        </w:pPr>
                        <w:r>
                          <w:rPr>
                            <w:rFonts w:ascii="Times New Roman"/>
                            <w:sz w:val="18"/>
                          </w:rPr>
                          <w:t>93,372,785.53</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97,422,819.74</w:t>
                        </w:r>
                      </w:p>
                    </w:tc>
                  </w:tr>
                  <w:tr>
                    <w:trPr>
                      <w:trHeight w:val="283"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城市维护建设税</w:t>
                        </w:r>
                      </w:p>
                    </w:tc>
                    <w:tc>
                      <w:tcPr>
                        <w:tcW w:w="1734" w:type="dxa"/>
                        <w:tcBorders>
                          <w:top w:val="nil" w:sz="6" w:space="0" w:color="auto"/>
                          <w:left w:val="nil" w:sz="6" w:space="0" w:color="auto"/>
                          <w:bottom w:val="nil" w:sz="6" w:space="0" w:color="auto"/>
                          <w:right w:val="nil" w:sz="6" w:space="0" w:color="auto"/>
                        </w:tcBorders>
                      </w:tcPr>
                      <w:p>
                        <w:pPr>
                          <w:pStyle w:val="TableParagraph"/>
                          <w:spacing w:line="241" w:lineRule="exact"/>
                          <w:ind w:left="230"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应交流转税的</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7%</w:t>
                        </w:r>
                      </w:p>
                    </w:tc>
                    <w:tc>
                      <w:tcPr>
                        <w:tcW w:w="1357"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 w:right="0"/>
                          <w:jc w:val="left"/>
                          <w:rPr>
                            <w:rFonts w:ascii="Times New Roman" w:hAnsi="Times New Roman" w:cs="Times New Roman" w:eastAsia="Times New Roman" w:hint="default"/>
                            <w:sz w:val="18"/>
                            <w:szCs w:val="18"/>
                          </w:rPr>
                        </w:pPr>
                        <w:r>
                          <w:rPr>
                            <w:rFonts w:ascii="Times New Roman"/>
                            <w:sz w:val="18"/>
                          </w:rPr>
                          <w:t>33,932,739.16</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24,853,919.32</w:t>
                        </w:r>
                      </w:p>
                    </w:tc>
                  </w:tr>
                  <w:tr>
                    <w:trPr>
                      <w:trHeight w:val="299" w:hRule="exact"/>
                    </w:trPr>
                    <w:tc>
                      <w:tcPr>
                        <w:tcW w:w="2292" w:type="dxa"/>
                        <w:tcBorders>
                          <w:top w:val="nil" w:sz="6" w:space="0" w:color="auto"/>
                          <w:left w:val="nil" w:sz="6" w:space="0" w:color="auto"/>
                          <w:bottom w:val="single" w:sz="12" w:space="0" w:color="000000"/>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教育费附加</w:t>
                        </w:r>
                      </w:p>
                    </w:tc>
                    <w:tc>
                      <w:tcPr>
                        <w:tcW w:w="1734" w:type="dxa"/>
                        <w:tcBorders>
                          <w:top w:val="nil" w:sz="6" w:space="0" w:color="auto"/>
                          <w:left w:val="nil" w:sz="6" w:space="0" w:color="auto"/>
                          <w:bottom w:val="single" w:sz="12" w:space="0" w:color="000000"/>
                          <w:right w:val="nil" w:sz="6" w:space="0" w:color="auto"/>
                        </w:tcBorders>
                      </w:tcPr>
                      <w:p>
                        <w:pPr>
                          <w:pStyle w:val="TableParagraph"/>
                          <w:spacing w:line="240" w:lineRule="exact"/>
                          <w:ind w:left="230"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应交流转税的</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3%</w:t>
                        </w:r>
                      </w:p>
                    </w:tc>
                    <w:tc>
                      <w:tcPr>
                        <w:tcW w:w="1357" w:type="dxa"/>
                        <w:tcBorders>
                          <w:top w:val="nil" w:sz="6" w:space="0" w:color="auto"/>
                          <w:left w:val="nil" w:sz="6" w:space="0" w:color="auto"/>
                          <w:bottom w:val="single" w:sz="12" w:space="0" w:color="000000"/>
                          <w:right w:val="nil" w:sz="6" w:space="0" w:color="auto"/>
                        </w:tcBorders>
                      </w:tcPr>
                      <w:p>
                        <w:pPr/>
                      </w:p>
                    </w:tc>
                    <w:tc>
                      <w:tcPr>
                        <w:tcW w:w="1687"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left="16" w:right="0"/>
                          <w:jc w:val="left"/>
                          <w:rPr>
                            <w:rFonts w:ascii="Times New Roman" w:hAnsi="Times New Roman" w:cs="Times New Roman" w:eastAsia="Times New Roman" w:hint="default"/>
                            <w:sz w:val="18"/>
                            <w:szCs w:val="18"/>
                          </w:rPr>
                        </w:pPr>
                        <w:r>
                          <w:rPr>
                            <w:rFonts w:ascii="Times New Roman"/>
                            <w:sz w:val="18"/>
                          </w:rPr>
                          <w:t>15,422,087.51</w:t>
                        </w:r>
                      </w:p>
                    </w:tc>
                    <w:tc>
                      <w:tcPr>
                        <w:tcW w:w="1567"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11,046,961.69</w:t>
                        </w:r>
                      </w:p>
                    </w:tc>
                  </w:tr>
                </w:tbl>
                <w:p>
                  <w:pPr/>
                </w:p>
              </w:txbxContent>
            </v:textbox>
            <w10:wrap type="none"/>
          </v:shape>
        </w:pic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3"/>
        <w:rPr>
          <w:rFonts w:ascii="楷体" w:hAnsi="楷体" w:cs="楷体" w:eastAsia="楷体" w:hint="default"/>
          <w:sz w:val="11"/>
          <w:szCs w:val="11"/>
        </w:rPr>
      </w:pPr>
    </w:p>
    <w:p>
      <w:pPr>
        <w:spacing w:line="30" w:lineRule="exact"/>
        <w:ind w:left="409"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spacing w:line="240" w:lineRule="auto" w:before="12"/>
        <w:rPr>
          <w:rFonts w:ascii="楷体" w:hAnsi="楷体" w:cs="楷体" w:eastAsia="楷体" w:hint="default"/>
          <w:sz w:val="5"/>
          <w:szCs w:val="5"/>
        </w:rPr>
      </w:pPr>
    </w:p>
    <w:p>
      <w:pPr>
        <w:spacing w:line="300" w:lineRule="exact" w:before="0"/>
        <w:ind w:left="524" w:right="6555"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spacing w:after="0" w:line="300" w:lineRule="exact"/>
        <w:jc w:val="left"/>
        <w:rPr>
          <w:rFonts w:ascii="Microsoft JhengHei" w:hAnsi="Microsoft JhengHei" w:cs="Microsoft JhengHei" w:eastAsia="Microsoft JhengHei" w:hint="default"/>
          <w:sz w:val="18"/>
          <w:szCs w:val="18"/>
        </w:rPr>
        <w:sectPr>
          <w:pgSz w:w="11910" w:h="16840"/>
          <w:pgMar w:header="610" w:footer="784" w:top="1080" w:bottom="980" w:left="1280" w:right="1140"/>
        </w:sectPr>
      </w:pPr>
    </w:p>
    <w:p>
      <w:pPr>
        <w:spacing w:line="240" w:lineRule="auto" w:before="6"/>
        <w:rPr>
          <w:rFonts w:ascii="Times New Roman" w:hAnsi="Times New Roman" w:cs="Times New Roman" w:eastAsia="Times New Roman" w:hint="default"/>
          <w:sz w:val="3"/>
          <w:szCs w:val="3"/>
        </w:rPr>
      </w:pPr>
    </w:p>
    <w:tbl>
      <w:tblPr>
        <w:tblW w:w="0" w:type="auto"/>
        <w:jc w:val="left"/>
        <w:tblInd w:w="416" w:type="dxa"/>
        <w:tblLayout w:type="fixed"/>
        <w:tblCellMar>
          <w:top w:w="0" w:type="dxa"/>
          <w:left w:w="0" w:type="dxa"/>
          <w:bottom w:w="0" w:type="dxa"/>
          <w:right w:w="0" w:type="dxa"/>
        </w:tblCellMar>
        <w:tblLook w:val="01E0"/>
      </w:tblPr>
      <w:tblGrid>
        <w:gridCol w:w="4236"/>
        <w:gridCol w:w="2688"/>
        <w:gridCol w:w="1713"/>
      </w:tblGrid>
      <w:tr>
        <w:trPr>
          <w:trHeight w:val="242"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186" w:lineRule="exact"/>
              <w:ind w:left="107" w:right="0"/>
              <w:jc w:val="left"/>
              <w:rPr>
                <w:rFonts w:ascii="楷体" w:hAnsi="楷体" w:cs="楷体" w:eastAsia="楷体" w:hint="default"/>
                <w:sz w:val="18"/>
                <w:szCs w:val="18"/>
              </w:rPr>
            </w:pPr>
            <w:r>
              <w:rPr>
                <w:rFonts w:ascii="楷体" w:hAnsi="楷体" w:cs="楷体" w:eastAsia="楷体" w:hint="default"/>
                <w:sz w:val="18"/>
                <w:szCs w:val="18"/>
              </w:rPr>
              <w:t>土地增值税</w:t>
            </w:r>
          </w:p>
        </w:tc>
        <w:tc>
          <w:tcPr>
            <w:tcW w:w="2688" w:type="dxa"/>
            <w:tcBorders>
              <w:top w:val="nil" w:sz="6" w:space="0" w:color="auto"/>
              <w:left w:val="nil" w:sz="6" w:space="0" w:color="auto"/>
              <w:bottom w:val="nil" w:sz="6" w:space="0" w:color="auto"/>
              <w:right w:val="nil" w:sz="6" w:space="0" w:color="auto"/>
            </w:tcBorders>
          </w:tcPr>
          <w:p>
            <w:pPr>
              <w:pStyle w:val="TableParagraph"/>
              <w:spacing w:line="199" w:lineRule="exact"/>
              <w:ind w:right="486"/>
              <w:jc w:val="right"/>
              <w:rPr>
                <w:rFonts w:ascii="Times New Roman" w:hAnsi="Times New Roman" w:cs="Times New Roman" w:eastAsia="Times New Roman" w:hint="default"/>
                <w:sz w:val="18"/>
                <w:szCs w:val="18"/>
              </w:rPr>
            </w:pPr>
            <w:r>
              <w:rPr>
                <w:rFonts w:ascii="Times New Roman"/>
                <w:spacing w:val="-1"/>
                <w:sz w:val="18"/>
              </w:rPr>
              <w:t>2,351,378.24</w:t>
            </w:r>
          </w:p>
        </w:tc>
        <w:tc>
          <w:tcPr>
            <w:tcW w:w="1713" w:type="dxa"/>
            <w:tcBorders>
              <w:top w:val="nil" w:sz="6" w:space="0" w:color="auto"/>
              <w:left w:val="nil" w:sz="6" w:space="0" w:color="auto"/>
              <w:bottom w:val="nil" w:sz="6" w:space="0" w:color="auto"/>
              <w:right w:val="nil" w:sz="6" w:space="0" w:color="auto"/>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pacing w:val="-1"/>
                <w:sz w:val="18"/>
              </w:rPr>
              <w:t>2,571,492.36</w:t>
            </w:r>
          </w:p>
        </w:tc>
      </w:tr>
      <w:tr>
        <w:trPr>
          <w:trHeight w:val="288" w:hRule="exact"/>
        </w:trPr>
        <w:tc>
          <w:tcPr>
            <w:tcW w:w="4236" w:type="dxa"/>
            <w:tcBorders>
              <w:top w:val="nil" w:sz="6" w:space="0" w:color="auto"/>
              <w:left w:val="nil" w:sz="6" w:space="0" w:color="auto"/>
              <w:bottom w:val="single" w:sz="4"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268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486"/>
              <w:jc w:val="right"/>
              <w:rPr>
                <w:rFonts w:ascii="Times New Roman" w:hAnsi="Times New Roman" w:cs="Times New Roman" w:eastAsia="Times New Roman" w:hint="default"/>
                <w:sz w:val="18"/>
                <w:szCs w:val="18"/>
              </w:rPr>
            </w:pPr>
            <w:r>
              <w:rPr>
                <w:rFonts w:ascii="Times New Roman"/>
                <w:sz w:val="18"/>
              </w:rPr>
              <w:t>551,961.33</w:t>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859,952.71</w:t>
            </w:r>
          </w:p>
        </w:tc>
      </w:tr>
      <w:tr>
        <w:trPr>
          <w:trHeight w:val="303" w:hRule="exact"/>
        </w:trPr>
        <w:tc>
          <w:tcPr>
            <w:tcW w:w="42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85"/>
              <w:jc w:val="right"/>
              <w:rPr>
                <w:rFonts w:ascii="Times New Roman" w:hAnsi="Times New Roman" w:cs="Times New Roman" w:eastAsia="Times New Roman" w:hint="default"/>
                <w:sz w:val="18"/>
                <w:szCs w:val="18"/>
              </w:rPr>
            </w:pPr>
            <w:r>
              <w:rPr>
                <w:rFonts w:ascii="Times New Roman"/>
                <w:b/>
                <w:spacing w:val="-1"/>
                <w:sz w:val="18"/>
              </w:rPr>
              <w:t>145,630,951.77</w:t>
            </w:r>
            <w:r>
              <w:rPr>
                <w:rFonts w:ascii="Times New Roman"/>
                <w:spacing w:val="-1"/>
                <w:sz w:val="18"/>
              </w:rPr>
            </w:r>
          </w:p>
        </w:tc>
        <w:tc>
          <w:tcPr>
            <w:tcW w:w="1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136,755,145.82</w:t>
            </w:r>
            <w:r>
              <w:rPr>
                <w:rFonts w:ascii="Times New Roman"/>
                <w:spacing w:val="-1"/>
                <w:sz w:val="18"/>
              </w:rPr>
            </w:r>
          </w:p>
        </w:tc>
      </w:tr>
      <w:tr>
        <w:trPr>
          <w:trHeight w:val="576" w:hRule="exact"/>
        </w:trPr>
        <w:tc>
          <w:tcPr>
            <w:tcW w:w="42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44.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财务费用</w:t>
            </w:r>
          </w:p>
        </w:tc>
        <w:tc>
          <w:tcPr>
            <w:tcW w:w="2688" w:type="dxa"/>
            <w:tcBorders>
              <w:top w:val="single" w:sz="12" w:space="0" w:color="000000"/>
              <w:left w:val="nil" w:sz="6" w:space="0" w:color="auto"/>
              <w:bottom w:val="single" w:sz="12" w:space="0" w:color="000000"/>
              <w:right w:val="nil" w:sz="6" w:space="0" w:color="auto"/>
            </w:tcBorders>
          </w:tcPr>
          <w:p>
            <w:pPr/>
          </w:p>
        </w:tc>
        <w:tc>
          <w:tcPr>
            <w:tcW w:w="1713"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2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6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1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2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利息支出</w:t>
            </w:r>
          </w:p>
        </w:tc>
        <w:tc>
          <w:tcPr>
            <w:tcW w:w="268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92"/>
              <w:jc w:val="right"/>
              <w:rPr>
                <w:rFonts w:ascii="Times New Roman" w:hAnsi="Times New Roman" w:cs="Times New Roman" w:eastAsia="Times New Roman" w:hint="default"/>
                <w:sz w:val="18"/>
                <w:szCs w:val="18"/>
              </w:rPr>
            </w:pPr>
            <w:r>
              <w:rPr>
                <w:rFonts w:ascii="Times New Roman"/>
                <w:spacing w:val="-1"/>
                <w:sz w:val="18"/>
              </w:rPr>
              <w:t>252,945,670.74</w:t>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192,544,346.30</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减：利息收入</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4"/>
              <w:jc w:val="right"/>
              <w:rPr>
                <w:rFonts w:ascii="Times New Roman" w:hAnsi="Times New Roman" w:cs="Times New Roman" w:eastAsia="Times New Roman" w:hint="default"/>
                <w:sz w:val="18"/>
                <w:szCs w:val="18"/>
              </w:rPr>
            </w:pPr>
            <w:r>
              <w:rPr>
                <w:rFonts w:ascii="Times New Roman"/>
                <w:spacing w:val="-1"/>
                <w:sz w:val="18"/>
              </w:rPr>
              <w:t>40,906,412.69</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27,789,676.95</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加：汇兑损失</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4"/>
              <w:jc w:val="right"/>
              <w:rPr>
                <w:rFonts w:ascii="Times New Roman" w:hAnsi="Times New Roman" w:cs="Times New Roman" w:eastAsia="Times New Roman" w:hint="default"/>
                <w:sz w:val="18"/>
                <w:szCs w:val="18"/>
              </w:rPr>
            </w:pPr>
            <w:r>
              <w:rPr>
                <w:rFonts w:ascii="Times New Roman"/>
                <w:spacing w:val="-1"/>
                <w:sz w:val="18"/>
              </w:rPr>
              <w:t>31,248,225.74</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25,896,871.66</w:t>
            </w:r>
          </w:p>
        </w:tc>
      </w:tr>
      <w:tr>
        <w:trPr>
          <w:trHeight w:val="289" w:hRule="exact"/>
        </w:trPr>
        <w:tc>
          <w:tcPr>
            <w:tcW w:w="4236"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加：其他支出</w:t>
            </w:r>
          </w:p>
        </w:tc>
        <w:tc>
          <w:tcPr>
            <w:tcW w:w="268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94"/>
              <w:jc w:val="right"/>
              <w:rPr>
                <w:rFonts w:ascii="Times New Roman" w:hAnsi="Times New Roman" w:cs="Times New Roman" w:eastAsia="Times New Roman" w:hint="default"/>
                <w:sz w:val="18"/>
                <w:szCs w:val="18"/>
              </w:rPr>
            </w:pPr>
            <w:r>
              <w:rPr>
                <w:rFonts w:ascii="Times New Roman"/>
                <w:spacing w:val="-1"/>
                <w:sz w:val="18"/>
              </w:rPr>
              <w:t>17,869,665.84</w:t>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10,982,435.89</w:t>
            </w:r>
          </w:p>
        </w:tc>
      </w:tr>
      <w:tr>
        <w:trPr>
          <w:trHeight w:val="303" w:hRule="exact"/>
        </w:trPr>
        <w:tc>
          <w:tcPr>
            <w:tcW w:w="42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92"/>
              <w:jc w:val="right"/>
              <w:rPr>
                <w:rFonts w:ascii="Times New Roman" w:hAnsi="Times New Roman" w:cs="Times New Roman" w:eastAsia="Times New Roman" w:hint="default"/>
                <w:sz w:val="18"/>
                <w:szCs w:val="18"/>
              </w:rPr>
            </w:pPr>
            <w:r>
              <w:rPr>
                <w:rFonts w:ascii="Times New Roman"/>
                <w:b/>
                <w:spacing w:val="-1"/>
                <w:sz w:val="18"/>
              </w:rPr>
              <w:t>261,157,149.63</w:t>
            </w:r>
            <w:r>
              <w:rPr>
                <w:rFonts w:ascii="Times New Roman"/>
                <w:spacing w:val="-1"/>
                <w:sz w:val="18"/>
              </w:rPr>
            </w:r>
          </w:p>
        </w:tc>
        <w:tc>
          <w:tcPr>
            <w:tcW w:w="1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201,633,976.90</w:t>
            </w:r>
            <w:r>
              <w:rPr>
                <w:rFonts w:ascii="Times New Roman"/>
                <w:spacing w:val="-1"/>
                <w:sz w:val="18"/>
              </w:rPr>
            </w:r>
          </w:p>
        </w:tc>
      </w:tr>
      <w:tr>
        <w:trPr>
          <w:trHeight w:val="576" w:hRule="exact"/>
        </w:trPr>
        <w:tc>
          <w:tcPr>
            <w:tcW w:w="42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45.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资产减值损失</w:t>
            </w:r>
          </w:p>
        </w:tc>
        <w:tc>
          <w:tcPr>
            <w:tcW w:w="2688" w:type="dxa"/>
            <w:tcBorders>
              <w:top w:val="single" w:sz="12" w:space="0" w:color="000000"/>
              <w:left w:val="nil" w:sz="6" w:space="0" w:color="auto"/>
              <w:bottom w:val="single" w:sz="12" w:space="0" w:color="000000"/>
              <w:right w:val="nil" w:sz="6" w:space="0" w:color="auto"/>
            </w:tcBorders>
          </w:tcPr>
          <w:p>
            <w:pPr/>
          </w:p>
        </w:tc>
        <w:tc>
          <w:tcPr>
            <w:tcW w:w="1713"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2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6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1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2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坏账损失</w:t>
            </w:r>
          </w:p>
        </w:tc>
        <w:tc>
          <w:tcPr>
            <w:tcW w:w="268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94"/>
              <w:jc w:val="right"/>
              <w:rPr>
                <w:rFonts w:ascii="Times New Roman" w:hAnsi="Times New Roman" w:cs="Times New Roman" w:eastAsia="Times New Roman" w:hint="default"/>
                <w:sz w:val="18"/>
                <w:szCs w:val="18"/>
              </w:rPr>
            </w:pPr>
            <w:r>
              <w:rPr>
                <w:rFonts w:ascii="Times New Roman"/>
                <w:spacing w:val="-1"/>
                <w:sz w:val="18"/>
              </w:rPr>
              <w:t>96,519,344.44</w:t>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81,842,181.37</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存货跌价损失</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4"/>
              <w:jc w:val="right"/>
              <w:rPr>
                <w:rFonts w:ascii="Times New Roman" w:hAnsi="Times New Roman" w:cs="Times New Roman" w:eastAsia="Times New Roman" w:hint="default"/>
                <w:sz w:val="18"/>
                <w:szCs w:val="18"/>
              </w:rPr>
            </w:pPr>
            <w:r>
              <w:rPr>
                <w:rFonts w:ascii="Times New Roman"/>
                <w:spacing w:val="-1"/>
                <w:sz w:val="18"/>
              </w:rPr>
              <w:t>28,458,857.18</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14,633,371.90</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长期股权投资减值损失</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3"/>
              <w:jc w:val="right"/>
              <w:rPr>
                <w:rFonts w:ascii="Times New Roman" w:hAnsi="Times New Roman" w:cs="Times New Roman" w:eastAsia="Times New Roman" w:hint="default"/>
                <w:sz w:val="18"/>
                <w:szCs w:val="18"/>
              </w:rPr>
            </w:pPr>
            <w:r>
              <w:rPr>
                <w:rFonts w:ascii="Times New Roman"/>
                <w:sz w:val="18"/>
              </w:rPr>
              <w:t>184,534.20</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2,921,860.23</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固定资产减值损失</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3"/>
              <w:jc w:val="right"/>
              <w:rPr>
                <w:rFonts w:ascii="Times New Roman" w:hAnsi="Times New Roman" w:cs="Times New Roman" w:eastAsia="Times New Roman" w:hint="default"/>
                <w:sz w:val="18"/>
                <w:szCs w:val="18"/>
              </w:rPr>
            </w:pPr>
            <w:r>
              <w:rPr>
                <w:rFonts w:ascii="Times New Roman"/>
                <w:spacing w:val="-1"/>
                <w:sz w:val="18"/>
              </w:rPr>
              <w:t>18,516,209.10</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8" w:hRule="exact"/>
        </w:trPr>
        <w:tc>
          <w:tcPr>
            <w:tcW w:w="4236" w:type="dxa"/>
            <w:tcBorders>
              <w:top w:val="nil" w:sz="6" w:space="0" w:color="auto"/>
              <w:left w:val="nil" w:sz="6" w:space="0" w:color="auto"/>
              <w:bottom w:val="single" w:sz="4" w:space="0" w:color="000000"/>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商誉减值损失</w:t>
            </w:r>
          </w:p>
        </w:tc>
        <w:tc>
          <w:tcPr>
            <w:tcW w:w="268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493"/>
              <w:jc w:val="right"/>
              <w:rPr>
                <w:rFonts w:ascii="Times New Roman" w:hAnsi="Times New Roman" w:cs="Times New Roman" w:eastAsia="Times New Roman" w:hint="default"/>
                <w:sz w:val="18"/>
                <w:szCs w:val="18"/>
              </w:rPr>
            </w:pPr>
            <w:r>
              <w:rPr>
                <w:rFonts w:ascii="Times New Roman"/>
                <w:sz w:val="18"/>
              </w:rPr>
              <w:t>0.00</w:t>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3,275,203.70</w:t>
            </w:r>
          </w:p>
        </w:tc>
      </w:tr>
      <w:tr>
        <w:trPr>
          <w:trHeight w:val="303" w:hRule="exact"/>
        </w:trPr>
        <w:tc>
          <w:tcPr>
            <w:tcW w:w="42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92"/>
              <w:jc w:val="right"/>
              <w:rPr>
                <w:rFonts w:ascii="Times New Roman" w:hAnsi="Times New Roman" w:cs="Times New Roman" w:eastAsia="Times New Roman" w:hint="default"/>
                <w:sz w:val="18"/>
                <w:szCs w:val="18"/>
              </w:rPr>
            </w:pPr>
            <w:r>
              <w:rPr>
                <w:rFonts w:ascii="Times New Roman"/>
                <w:b/>
                <w:spacing w:val="-1"/>
                <w:sz w:val="18"/>
              </w:rPr>
              <w:t>143,678,944.92</w:t>
            </w:r>
            <w:r>
              <w:rPr>
                <w:rFonts w:ascii="Times New Roman"/>
                <w:spacing w:val="-1"/>
                <w:sz w:val="18"/>
              </w:rPr>
            </w:r>
          </w:p>
        </w:tc>
        <w:tc>
          <w:tcPr>
            <w:tcW w:w="1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102,672,617.20</w:t>
            </w:r>
            <w:r>
              <w:rPr>
                <w:rFonts w:ascii="Times New Roman"/>
                <w:spacing w:val="-1"/>
                <w:sz w:val="18"/>
              </w:rPr>
            </w:r>
          </w:p>
        </w:tc>
      </w:tr>
      <w:tr>
        <w:trPr>
          <w:trHeight w:val="576" w:hRule="exact"/>
        </w:trPr>
        <w:tc>
          <w:tcPr>
            <w:tcW w:w="42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46.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公允价值变动收益</w:t>
            </w:r>
            <w:r>
              <w:rPr>
                <w:rFonts w:ascii="Times New Roman" w:hAnsi="Times New Roman" w:cs="Times New Roman" w:eastAsia="Times New Roman" w:hint="default"/>
                <w:sz w:val="22"/>
                <w:szCs w:val="22"/>
              </w:rPr>
              <w:t>/</w:t>
            </w:r>
            <w:r>
              <w:rPr>
                <w:rFonts w:ascii="楷体" w:hAnsi="楷体" w:cs="楷体" w:eastAsia="楷体" w:hint="default"/>
                <w:sz w:val="22"/>
                <w:szCs w:val="22"/>
              </w:rPr>
              <w:t>损失</w:t>
            </w:r>
          </w:p>
        </w:tc>
        <w:tc>
          <w:tcPr>
            <w:tcW w:w="2688" w:type="dxa"/>
            <w:tcBorders>
              <w:top w:val="single" w:sz="12" w:space="0" w:color="000000"/>
              <w:left w:val="nil" w:sz="6" w:space="0" w:color="auto"/>
              <w:bottom w:val="single" w:sz="12" w:space="0" w:color="000000"/>
              <w:right w:val="nil" w:sz="6" w:space="0" w:color="auto"/>
            </w:tcBorders>
          </w:tcPr>
          <w:p>
            <w:pPr/>
          </w:p>
        </w:tc>
        <w:tc>
          <w:tcPr>
            <w:tcW w:w="1713"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2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6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1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2" w:hRule="exact"/>
        </w:trPr>
        <w:tc>
          <w:tcPr>
            <w:tcW w:w="42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交易性金融资产</w:t>
            </w:r>
          </w:p>
        </w:tc>
        <w:tc>
          <w:tcPr>
            <w:tcW w:w="2688" w:type="dxa"/>
            <w:tcBorders>
              <w:top w:val="single" w:sz="4" w:space="0" w:color="000000"/>
              <w:left w:val="nil" w:sz="6" w:space="0" w:color="auto"/>
              <w:bottom w:val="nil" w:sz="6" w:space="0" w:color="auto"/>
              <w:right w:val="nil" w:sz="6" w:space="0" w:color="auto"/>
            </w:tcBorders>
          </w:tcPr>
          <w:p>
            <w:pPr/>
          </w:p>
        </w:tc>
        <w:tc>
          <w:tcPr>
            <w:tcW w:w="1713" w:type="dxa"/>
            <w:tcBorders>
              <w:top w:val="single" w:sz="4" w:space="0" w:color="000000"/>
              <w:left w:val="nil" w:sz="6" w:space="0" w:color="auto"/>
              <w:bottom w:val="nil" w:sz="6" w:space="0" w:color="auto"/>
              <w:right w:val="nil" w:sz="6" w:space="0" w:color="auto"/>
            </w:tcBorders>
          </w:tcPr>
          <w:p>
            <w:pPr/>
          </w:p>
        </w:tc>
      </w:tr>
      <w:tr>
        <w:trPr>
          <w:trHeight w:val="288"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楷体" w:hAnsi="楷体" w:cs="楷体" w:eastAsia="楷体" w:hint="default"/>
                <w:sz w:val="18"/>
                <w:szCs w:val="18"/>
              </w:rPr>
            </w:pPr>
            <w:r>
              <w:rPr>
                <w:rFonts w:ascii="楷体" w:hAnsi="楷体" w:cs="楷体" w:eastAsia="楷体" w:hint="default"/>
                <w:sz w:val="18"/>
                <w:szCs w:val="18"/>
              </w:rPr>
              <w:t>—公允价值变动收益</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93"/>
              <w:jc w:val="right"/>
              <w:rPr>
                <w:rFonts w:ascii="Times New Roman" w:hAnsi="Times New Roman" w:cs="Times New Roman" w:eastAsia="Times New Roman" w:hint="default"/>
                <w:sz w:val="18"/>
                <w:szCs w:val="18"/>
              </w:rPr>
            </w:pPr>
            <w:r>
              <w:rPr>
                <w:rFonts w:ascii="Times New Roman"/>
                <w:sz w:val="18"/>
              </w:rPr>
              <w:t>0.00</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26,603,384.92</w:t>
            </w:r>
          </w:p>
        </w:tc>
      </w:tr>
      <w:tr>
        <w:trPr>
          <w:trHeight w:val="289" w:hRule="exact"/>
        </w:trPr>
        <w:tc>
          <w:tcPr>
            <w:tcW w:w="4236"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—公允价值变动损失</w:t>
            </w:r>
          </w:p>
        </w:tc>
        <w:tc>
          <w:tcPr>
            <w:tcW w:w="268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92"/>
              <w:jc w:val="right"/>
              <w:rPr>
                <w:rFonts w:ascii="Times New Roman" w:hAnsi="Times New Roman" w:cs="Times New Roman" w:eastAsia="Times New Roman" w:hint="default"/>
                <w:sz w:val="18"/>
                <w:szCs w:val="18"/>
              </w:rPr>
            </w:pPr>
            <w:r>
              <w:rPr>
                <w:rFonts w:ascii="Times New Roman"/>
                <w:spacing w:val="-1"/>
                <w:sz w:val="18"/>
              </w:rPr>
              <w:t>-15,001,857.17</w:t>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42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92"/>
              <w:jc w:val="right"/>
              <w:rPr>
                <w:rFonts w:ascii="Times New Roman" w:hAnsi="Times New Roman" w:cs="Times New Roman" w:eastAsia="Times New Roman" w:hint="default"/>
                <w:sz w:val="18"/>
                <w:szCs w:val="18"/>
              </w:rPr>
            </w:pPr>
            <w:r>
              <w:rPr>
                <w:rFonts w:ascii="Times New Roman"/>
                <w:b/>
                <w:spacing w:val="-1"/>
                <w:sz w:val="18"/>
              </w:rPr>
              <w:t>-15,001,857.17</w:t>
            </w:r>
            <w:r>
              <w:rPr>
                <w:rFonts w:ascii="Times New Roman"/>
                <w:spacing w:val="-1"/>
                <w:sz w:val="18"/>
              </w:rPr>
            </w:r>
          </w:p>
        </w:tc>
        <w:tc>
          <w:tcPr>
            <w:tcW w:w="1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26,603,384.92</w:t>
            </w:r>
            <w:r>
              <w:rPr>
                <w:rFonts w:ascii="Times New Roman"/>
                <w:spacing w:val="-1"/>
                <w:sz w:val="18"/>
              </w:rPr>
            </w:r>
          </w:p>
        </w:tc>
      </w:tr>
      <w:tr>
        <w:trPr>
          <w:trHeight w:val="596" w:hRule="exact"/>
        </w:trPr>
        <w:tc>
          <w:tcPr>
            <w:tcW w:w="42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47.  </w:t>
            </w:r>
            <w:r>
              <w:rPr>
                <w:rFonts w:ascii="Times New Roman" w:hAnsi="Times New Roman" w:cs="Times New Roman" w:eastAsia="Times New Roman" w:hint="default"/>
                <w:b/>
                <w:bCs/>
                <w:spacing w:val="23"/>
                <w:sz w:val="22"/>
                <w:szCs w:val="22"/>
              </w:rPr>
              <w:t> </w:t>
            </w:r>
            <w:r>
              <w:rPr>
                <w:rFonts w:ascii="楷体" w:hAnsi="楷体" w:cs="楷体" w:eastAsia="楷体" w:hint="default"/>
                <w:sz w:val="22"/>
                <w:szCs w:val="22"/>
              </w:rPr>
              <w:t>投资收益</w:t>
            </w:r>
          </w:p>
        </w:tc>
        <w:tc>
          <w:tcPr>
            <w:tcW w:w="2688" w:type="dxa"/>
            <w:tcBorders>
              <w:top w:val="single" w:sz="12" w:space="0" w:color="000000"/>
              <w:left w:val="nil" w:sz="6" w:space="0" w:color="auto"/>
              <w:bottom w:val="single" w:sz="12" w:space="0" w:color="000000"/>
              <w:right w:val="nil" w:sz="6" w:space="0" w:color="auto"/>
            </w:tcBorders>
          </w:tcPr>
          <w:p>
            <w:pPr/>
          </w:p>
        </w:tc>
        <w:tc>
          <w:tcPr>
            <w:tcW w:w="1713"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2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6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1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2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成本法核算的长期股权投资收益</w:t>
            </w:r>
          </w:p>
        </w:tc>
        <w:tc>
          <w:tcPr>
            <w:tcW w:w="268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90"/>
              <w:jc w:val="right"/>
              <w:rPr>
                <w:rFonts w:ascii="Times New Roman" w:hAnsi="Times New Roman" w:cs="Times New Roman" w:eastAsia="Times New Roman" w:hint="default"/>
                <w:sz w:val="18"/>
                <w:szCs w:val="18"/>
              </w:rPr>
            </w:pPr>
            <w:r>
              <w:rPr>
                <w:rFonts w:ascii="Times New Roman"/>
                <w:sz w:val="18"/>
              </w:rPr>
              <w:t>383,626.26</w:t>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4,699,252.99</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权益法核算的长期股权投资收益</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0"/>
              <w:jc w:val="right"/>
              <w:rPr>
                <w:rFonts w:ascii="Times New Roman" w:hAnsi="Times New Roman" w:cs="Times New Roman" w:eastAsia="Times New Roman" w:hint="default"/>
                <w:sz w:val="18"/>
                <w:szCs w:val="18"/>
              </w:rPr>
            </w:pPr>
            <w:r>
              <w:rPr>
                <w:rFonts w:ascii="Times New Roman"/>
                <w:spacing w:val="-1"/>
                <w:sz w:val="18"/>
              </w:rPr>
              <w:t>97,778,267.88</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32,039,213.53</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处置长期股权投资产生的投资收益</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0"/>
              <w:jc w:val="right"/>
              <w:rPr>
                <w:rFonts w:ascii="Times New Roman" w:hAnsi="Times New Roman" w:cs="Times New Roman" w:eastAsia="Times New Roman" w:hint="default"/>
                <w:sz w:val="18"/>
                <w:szCs w:val="18"/>
              </w:rPr>
            </w:pPr>
            <w:r>
              <w:rPr>
                <w:rFonts w:ascii="Times New Roman"/>
                <w:spacing w:val="-1"/>
                <w:sz w:val="18"/>
              </w:rPr>
              <w:t>6,024,280.79</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104,389,574.67</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处置交易性金融资产取得的投资收益</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9"/>
              <w:jc w:val="right"/>
              <w:rPr>
                <w:rFonts w:ascii="Times New Roman" w:hAnsi="Times New Roman" w:cs="Times New Roman" w:eastAsia="Times New Roman" w:hint="default"/>
                <w:sz w:val="18"/>
                <w:szCs w:val="18"/>
              </w:rPr>
            </w:pPr>
            <w:r>
              <w:rPr>
                <w:rFonts w:ascii="Times New Roman"/>
                <w:spacing w:val="-1"/>
                <w:sz w:val="18"/>
              </w:rPr>
              <w:t>-11,835,402.87</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33,127,447.19</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处置持有至到期投资取得的投资收益</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90"/>
              <w:jc w:val="right"/>
              <w:rPr>
                <w:rFonts w:ascii="Times New Roman" w:hAnsi="Times New Roman" w:cs="Times New Roman" w:eastAsia="Times New Roman" w:hint="default"/>
                <w:sz w:val="18"/>
                <w:szCs w:val="18"/>
              </w:rPr>
            </w:pPr>
            <w:r>
              <w:rPr>
                <w:rFonts w:ascii="Times New Roman"/>
                <w:spacing w:val="-1"/>
                <w:sz w:val="18"/>
              </w:rPr>
              <w:t>2,018,224.59</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处置可供出售金融资产取得的投资收益</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0"/>
              <w:jc w:val="right"/>
              <w:rPr>
                <w:rFonts w:ascii="Times New Roman" w:hAnsi="Times New Roman" w:cs="Times New Roman" w:eastAsia="Times New Roman" w:hint="default"/>
                <w:sz w:val="18"/>
                <w:szCs w:val="18"/>
              </w:rPr>
            </w:pPr>
            <w:r>
              <w:rPr>
                <w:rFonts w:ascii="Times New Roman"/>
                <w:spacing w:val="-1"/>
                <w:sz w:val="18"/>
              </w:rPr>
              <w:t>9,859,365.23</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委托贷款收益</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0"/>
              <w:jc w:val="right"/>
              <w:rPr>
                <w:rFonts w:ascii="Times New Roman" w:hAnsi="Times New Roman" w:cs="Times New Roman" w:eastAsia="Times New Roman" w:hint="default"/>
                <w:sz w:val="18"/>
                <w:szCs w:val="18"/>
              </w:rPr>
            </w:pPr>
            <w:r>
              <w:rPr>
                <w:rFonts w:ascii="Times New Roman"/>
                <w:spacing w:val="-1"/>
                <w:sz w:val="18"/>
              </w:rPr>
              <w:t>11,140,992.00</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9,023,670.00</w:t>
            </w:r>
          </w:p>
        </w:tc>
      </w:tr>
      <w:tr>
        <w:trPr>
          <w:trHeight w:val="289" w:hRule="exact"/>
        </w:trPr>
        <w:tc>
          <w:tcPr>
            <w:tcW w:w="4236"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268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90"/>
              <w:jc w:val="right"/>
              <w:rPr>
                <w:rFonts w:ascii="Times New Roman" w:hAnsi="Times New Roman" w:cs="Times New Roman" w:eastAsia="Times New Roman" w:hint="default"/>
                <w:sz w:val="18"/>
                <w:szCs w:val="18"/>
              </w:rPr>
            </w:pPr>
            <w:r>
              <w:rPr>
                <w:rFonts w:ascii="Times New Roman"/>
                <w:sz w:val="18"/>
              </w:rPr>
              <w:t>353,083.70</w:t>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543,285.46</w:t>
            </w:r>
          </w:p>
        </w:tc>
      </w:tr>
      <w:tr>
        <w:trPr>
          <w:trHeight w:val="303" w:hRule="exact"/>
        </w:trPr>
        <w:tc>
          <w:tcPr>
            <w:tcW w:w="42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89"/>
              <w:jc w:val="right"/>
              <w:rPr>
                <w:rFonts w:ascii="Times New Roman" w:hAnsi="Times New Roman" w:cs="Times New Roman" w:eastAsia="Times New Roman" w:hint="default"/>
                <w:sz w:val="18"/>
                <w:szCs w:val="18"/>
              </w:rPr>
            </w:pPr>
            <w:r>
              <w:rPr>
                <w:rFonts w:ascii="Times New Roman"/>
                <w:b/>
                <w:spacing w:val="-1"/>
                <w:sz w:val="18"/>
              </w:rPr>
              <w:t>115,722,437.58</w:t>
            </w:r>
            <w:r>
              <w:rPr>
                <w:rFonts w:ascii="Times New Roman"/>
                <w:spacing w:val="-1"/>
                <w:sz w:val="18"/>
              </w:rPr>
            </w:r>
          </w:p>
        </w:tc>
        <w:tc>
          <w:tcPr>
            <w:tcW w:w="1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183,822,443.84</w:t>
            </w:r>
            <w:r>
              <w:rPr>
                <w:rFonts w:ascii="Times New Roman"/>
                <w:spacing w:val="-1"/>
                <w:sz w:val="18"/>
              </w:rPr>
            </w:r>
          </w:p>
        </w:tc>
      </w:tr>
      <w:tr>
        <w:trPr>
          <w:trHeight w:val="528" w:hRule="exact"/>
        </w:trPr>
        <w:tc>
          <w:tcPr>
            <w:tcW w:w="4236"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48.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营业外收入</w:t>
            </w:r>
          </w:p>
        </w:tc>
        <w:tc>
          <w:tcPr>
            <w:tcW w:w="2688" w:type="dxa"/>
            <w:tcBorders>
              <w:top w:val="single" w:sz="12" w:space="0" w:color="000000"/>
              <w:left w:val="nil" w:sz="6" w:space="0" w:color="auto"/>
              <w:bottom w:val="nil" w:sz="6" w:space="0" w:color="auto"/>
              <w:right w:val="nil" w:sz="6" w:space="0" w:color="auto"/>
            </w:tcBorders>
          </w:tcPr>
          <w:p>
            <w:pPr/>
          </w:p>
        </w:tc>
        <w:tc>
          <w:tcPr>
            <w:tcW w:w="1713"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423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营业外收入</w:t>
            </w:r>
          </w:p>
        </w:tc>
        <w:tc>
          <w:tcPr>
            <w:tcW w:w="2688" w:type="dxa"/>
            <w:tcBorders>
              <w:top w:val="nil" w:sz="6" w:space="0" w:color="auto"/>
              <w:left w:val="nil" w:sz="6" w:space="0" w:color="auto"/>
              <w:bottom w:val="single" w:sz="12" w:space="0" w:color="000000"/>
              <w:right w:val="nil" w:sz="6" w:space="0" w:color="auto"/>
            </w:tcBorders>
          </w:tcPr>
          <w:p>
            <w:pPr/>
          </w:p>
        </w:tc>
        <w:tc>
          <w:tcPr>
            <w:tcW w:w="1713"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42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6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1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2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非流动资产处置利得</w:t>
            </w:r>
          </w:p>
        </w:tc>
        <w:tc>
          <w:tcPr>
            <w:tcW w:w="268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90"/>
              <w:jc w:val="right"/>
              <w:rPr>
                <w:rFonts w:ascii="Times New Roman" w:hAnsi="Times New Roman" w:cs="Times New Roman" w:eastAsia="Times New Roman" w:hint="default"/>
                <w:sz w:val="18"/>
                <w:szCs w:val="18"/>
              </w:rPr>
            </w:pPr>
            <w:r>
              <w:rPr>
                <w:rFonts w:ascii="Times New Roman"/>
                <w:spacing w:val="-1"/>
                <w:sz w:val="18"/>
              </w:rPr>
              <w:t>6,500,994.86</w:t>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8,976,541.72</w:t>
            </w:r>
          </w:p>
        </w:tc>
      </w:tr>
      <w:tr>
        <w:trPr>
          <w:trHeight w:val="28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其中：固定资产处置利得</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0"/>
              <w:jc w:val="right"/>
              <w:rPr>
                <w:rFonts w:ascii="Times New Roman" w:hAnsi="Times New Roman" w:cs="Times New Roman" w:eastAsia="Times New Roman" w:hint="default"/>
                <w:sz w:val="18"/>
                <w:szCs w:val="18"/>
              </w:rPr>
            </w:pPr>
            <w:r>
              <w:rPr>
                <w:rFonts w:ascii="Times New Roman"/>
                <w:spacing w:val="-1"/>
                <w:sz w:val="18"/>
              </w:rPr>
              <w:t>4,321,774.47</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8,976,541.72</w:t>
            </w:r>
          </w:p>
        </w:tc>
      </w:tr>
      <w:tr>
        <w:trPr>
          <w:trHeight w:val="299" w:hRule="exact"/>
        </w:trPr>
        <w:tc>
          <w:tcPr>
            <w:tcW w:w="4236" w:type="dxa"/>
            <w:tcBorders>
              <w:top w:val="nil" w:sz="6" w:space="0" w:color="auto"/>
              <w:left w:val="nil" w:sz="6" w:space="0" w:color="auto"/>
              <w:bottom w:val="single" w:sz="12" w:space="0" w:color="000000"/>
              <w:right w:val="nil" w:sz="6" w:space="0" w:color="auto"/>
            </w:tcBorders>
          </w:tcPr>
          <w:p>
            <w:pPr>
              <w:pStyle w:val="TableParagraph"/>
              <w:spacing w:line="227" w:lineRule="exact"/>
              <w:ind w:left="648" w:right="0"/>
              <w:jc w:val="left"/>
              <w:rPr>
                <w:rFonts w:ascii="楷体" w:hAnsi="楷体" w:cs="楷体" w:eastAsia="楷体" w:hint="default"/>
                <w:sz w:val="18"/>
                <w:szCs w:val="18"/>
              </w:rPr>
            </w:pPr>
            <w:r>
              <w:rPr>
                <w:rFonts w:ascii="楷体" w:hAnsi="楷体" w:cs="楷体" w:eastAsia="楷体" w:hint="default"/>
                <w:sz w:val="18"/>
                <w:szCs w:val="18"/>
              </w:rPr>
              <w:t>无形资产处置利得</w:t>
            </w:r>
          </w:p>
        </w:tc>
        <w:tc>
          <w:tcPr>
            <w:tcW w:w="2688"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490"/>
              <w:jc w:val="right"/>
              <w:rPr>
                <w:rFonts w:ascii="Times New Roman" w:hAnsi="Times New Roman" w:cs="Times New Roman" w:eastAsia="Times New Roman" w:hint="default"/>
                <w:sz w:val="18"/>
                <w:szCs w:val="18"/>
              </w:rPr>
            </w:pPr>
            <w:r>
              <w:rPr>
                <w:rFonts w:ascii="Times New Roman"/>
                <w:spacing w:val="-1"/>
                <w:sz w:val="18"/>
              </w:rPr>
              <w:t>2,179,220.39</w:t>
            </w:r>
          </w:p>
        </w:tc>
        <w:tc>
          <w:tcPr>
            <w:tcW w:w="171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43"/>
          <w:pgSz w:w="11910" w:h="16840"/>
          <w:pgMar w:header="610" w:footer="784" w:top="1720" w:bottom="980" w:left="1280" w:right="1140"/>
        </w:sectPr>
      </w:pPr>
    </w:p>
    <w:p>
      <w:pPr>
        <w:spacing w:line="240" w:lineRule="auto" w:before="6"/>
        <w:rPr>
          <w:rFonts w:ascii="Times New Roman" w:hAnsi="Times New Roman" w:cs="Times New Roman" w:eastAsia="Times New Roman" w:hint="default"/>
          <w:sz w:val="3"/>
          <w:szCs w:val="3"/>
        </w:rPr>
      </w:pPr>
    </w:p>
    <w:tbl>
      <w:tblPr>
        <w:tblW w:w="0" w:type="auto"/>
        <w:jc w:val="left"/>
        <w:tblInd w:w="416" w:type="dxa"/>
        <w:tblLayout w:type="fixed"/>
        <w:tblCellMar>
          <w:top w:w="0" w:type="dxa"/>
          <w:left w:w="0" w:type="dxa"/>
          <w:bottom w:w="0" w:type="dxa"/>
          <w:right w:w="0" w:type="dxa"/>
        </w:tblCellMar>
        <w:tblLook w:val="01E0"/>
      </w:tblPr>
      <w:tblGrid>
        <w:gridCol w:w="3608"/>
        <w:gridCol w:w="3320"/>
        <w:gridCol w:w="1710"/>
      </w:tblGrid>
      <w:tr>
        <w:trPr>
          <w:trHeight w:val="242" w:hRule="exact"/>
        </w:trPr>
        <w:tc>
          <w:tcPr>
            <w:tcW w:w="3608" w:type="dxa"/>
            <w:tcBorders>
              <w:top w:val="nil" w:sz="6" w:space="0" w:color="auto"/>
              <w:left w:val="nil" w:sz="6" w:space="0" w:color="auto"/>
              <w:bottom w:val="nil" w:sz="6" w:space="0" w:color="auto"/>
              <w:right w:val="nil" w:sz="6" w:space="0" w:color="auto"/>
            </w:tcBorders>
          </w:tcPr>
          <w:p>
            <w:pPr>
              <w:pStyle w:val="TableParagraph"/>
              <w:spacing w:line="186" w:lineRule="exact"/>
              <w:ind w:left="107" w:right="0"/>
              <w:jc w:val="left"/>
              <w:rPr>
                <w:rFonts w:ascii="楷体" w:hAnsi="楷体" w:cs="楷体" w:eastAsia="楷体" w:hint="default"/>
                <w:sz w:val="18"/>
                <w:szCs w:val="18"/>
              </w:rPr>
            </w:pPr>
            <w:r>
              <w:rPr>
                <w:rFonts w:ascii="楷体" w:hAnsi="楷体" w:cs="楷体" w:eastAsia="楷体" w:hint="default"/>
                <w:sz w:val="18"/>
                <w:szCs w:val="18"/>
              </w:rPr>
              <w:t>债务重组利得</w:t>
            </w:r>
          </w:p>
        </w:tc>
        <w:tc>
          <w:tcPr>
            <w:tcW w:w="3320" w:type="dxa"/>
            <w:tcBorders>
              <w:top w:val="nil" w:sz="6" w:space="0" w:color="auto"/>
              <w:left w:val="nil" w:sz="6" w:space="0" w:color="auto"/>
              <w:bottom w:val="nil" w:sz="6" w:space="0" w:color="auto"/>
              <w:right w:val="nil" w:sz="6" w:space="0" w:color="auto"/>
            </w:tcBorders>
          </w:tcPr>
          <w:p>
            <w:pPr>
              <w:pStyle w:val="TableParagraph"/>
              <w:spacing w:line="199" w:lineRule="exact"/>
              <w:ind w:right="493"/>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nil" w:sz="6" w:space="0" w:color="auto"/>
              <w:left w:val="nil" w:sz="6" w:space="0" w:color="auto"/>
              <w:bottom w:val="nil" w:sz="6" w:space="0" w:color="auto"/>
              <w:right w:val="nil" w:sz="6" w:space="0" w:color="auto"/>
            </w:tcBorders>
          </w:tcPr>
          <w:p>
            <w:pPr>
              <w:pStyle w:val="TableParagraph"/>
              <w:spacing w:line="199" w:lineRule="exact"/>
              <w:ind w:right="99"/>
              <w:jc w:val="right"/>
              <w:rPr>
                <w:rFonts w:ascii="Times New Roman" w:hAnsi="Times New Roman" w:cs="Times New Roman" w:eastAsia="Times New Roman" w:hint="default"/>
                <w:sz w:val="18"/>
                <w:szCs w:val="18"/>
              </w:rPr>
            </w:pPr>
            <w:r>
              <w:rPr>
                <w:rFonts w:ascii="Times New Roman"/>
                <w:spacing w:val="-1"/>
                <w:sz w:val="18"/>
              </w:rPr>
              <w:t>15,859,619.30</w:t>
            </w:r>
          </w:p>
        </w:tc>
      </w:tr>
      <w:tr>
        <w:trPr>
          <w:trHeight w:val="283" w:hRule="exact"/>
        </w:trPr>
        <w:tc>
          <w:tcPr>
            <w:tcW w:w="3608"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非货币性资产交换利得</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93"/>
              <w:jc w:val="right"/>
              <w:rPr>
                <w:rFonts w:ascii="Times New Roman" w:hAnsi="Times New Roman" w:cs="Times New Roman" w:eastAsia="Times New Roman" w:hint="default"/>
                <w:sz w:val="18"/>
                <w:szCs w:val="18"/>
              </w:rPr>
            </w:pPr>
            <w:r>
              <w:rPr>
                <w:rFonts w:ascii="Times New Roman"/>
                <w:sz w:val="18"/>
              </w:rPr>
              <w:t>200.00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60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接受捐赠</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3"/>
              <w:jc w:val="right"/>
              <w:rPr>
                <w:rFonts w:ascii="Times New Roman" w:hAnsi="Times New Roman" w:cs="Times New Roman" w:eastAsia="Times New Roman" w:hint="default"/>
                <w:sz w:val="18"/>
                <w:szCs w:val="18"/>
              </w:rPr>
            </w:pPr>
            <w:r>
              <w:rPr>
                <w:rFonts w:ascii="Times New Roman"/>
                <w:spacing w:val="-1"/>
                <w:sz w:val="18"/>
              </w:rPr>
              <w:t>1,200,000.00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60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政府补助</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2"/>
              <w:jc w:val="right"/>
              <w:rPr>
                <w:rFonts w:ascii="Times New Roman" w:hAnsi="Times New Roman" w:cs="Times New Roman" w:eastAsia="Times New Roman" w:hint="default"/>
                <w:sz w:val="18"/>
                <w:szCs w:val="18"/>
              </w:rPr>
            </w:pPr>
            <w:r>
              <w:rPr>
                <w:rFonts w:ascii="Times New Roman"/>
                <w:spacing w:val="-1"/>
                <w:sz w:val="18"/>
              </w:rPr>
              <w:t>103,642,304.63</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76,724,677.64</w:t>
            </w:r>
          </w:p>
        </w:tc>
      </w:tr>
      <w:tr>
        <w:trPr>
          <w:trHeight w:val="283" w:hRule="exact"/>
        </w:trPr>
        <w:tc>
          <w:tcPr>
            <w:tcW w:w="360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盘盈利得</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3"/>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139,114.51</w:t>
            </w:r>
          </w:p>
        </w:tc>
      </w:tr>
      <w:tr>
        <w:trPr>
          <w:trHeight w:val="288" w:hRule="exact"/>
        </w:trPr>
        <w:tc>
          <w:tcPr>
            <w:tcW w:w="3608"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332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93"/>
              <w:jc w:val="right"/>
              <w:rPr>
                <w:rFonts w:ascii="Times New Roman" w:hAnsi="Times New Roman" w:cs="Times New Roman" w:eastAsia="Times New Roman" w:hint="default"/>
                <w:sz w:val="18"/>
                <w:szCs w:val="18"/>
              </w:rPr>
            </w:pPr>
            <w:r>
              <w:rPr>
                <w:rFonts w:ascii="Times New Roman"/>
                <w:spacing w:val="-1"/>
                <w:sz w:val="18"/>
              </w:rPr>
              <w:t>18,278,424.08</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12,378,981.02</w:t>
            </w:r>
          </w:p>
        </w:tc>
      </w:tr>
      <w:tr>
        <w:trPr>
          <w:trHeight w:val="304" w:hRule="exact"/>
        </w:trPr>
        <w:tc>
          <w:tcPr>
            <w:tcW w:w="3608"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32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92"/>
              <w:jc w:val="right"/>
              <w:rPr>
                <w:rFonts w:ascii="Times New Roman" w:hAnsi="Times New Roman" w:cs="Times New Roman" w:eastAsia="Times New Roman" w:hint="default"/>
                <w:sz w:val="18"/>
                <w:szCs w:val="18"/>
              </w:rPr>
            </w:pPr>
            <w:r>
              <w:rPr>
                <w:rFonts w:ascii="Times New Roman"/>
                <w:b/>
                <w:spacing w:val="-1"/>
                <w:sz w:val="18"/>
              </w:rPr>
              <w:t>129,621,923.57</w:t>
            </w:r>
            <w:r>
              <w:rPr>
                <w:rFonts w:ascii="Times New Roman"/>
                <w:spacing w:val="-1"/>
                <w:sz w:val="18"/>
              </w:rPr>
            </w:r>
          </w:p>
        </w:tc>
        <w:tc>
          <w:tcPr>
            <w:tcW w:w="17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114,078,934.19</w:t>
            </w:r>
            <w:r>
              <w:rPr>
                <w:rFonts w:ascii="Times New Roman"/>
                <w:spacing w:val="-1"/>
                <w:sz w:val="18"/>
              </w:rPr>
            </w:r>
          </w:p>
        </w:tc>
      </w:tr>
    </w:tbl>
    <w:p>
      <w:pPr>
        <w:spacing w:before="79"/>
        <w:ind w:left="591"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政府补助</w:t>
      </w:r>
    </w:p>
    <w:p>
      <w:pPr>
        <w:spacing w:line="240" w:lineRule="auto" w:before="3"/>
        <w:rPr>
          <w:rFonts w:ascii="楷体" w:hAnsi="楷体" w:cs="楷体" w:eastAsia="楷体" w:hint="default"/>
          <w:sz w:val="11"/>
          <w:szCs w:val="11"/>
        </w:rPr>
      </w:pPr>
    </w:p>
    <w:p>
      <w:pPr>
        <w:spacing w:line="30" w:lineRule="exact"/>
        <w:ind w:left="401"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楷体" w:hAnsi="楷体" w:cs="楷体" w:eastAsia="楷体" w:hint="default"/>
          <w:position w:val="0"/>
          <w:sz w:val="3"/>
          <w:szCs w:val="3"/>
        </w:rPr>
      </w:r>
    </w:p>
    <w:p>
      <w:pPr>
        <w:tabs>
          <w:tab w:pos="2731" w:val="left" w:leader="none"/>
          <w:tab w:pos="4062" w:val="left" w:leader="none"/>
          <w:tab w:pos="6602" w:val="left" w:leader="none"/>
        </w:tabs>
        <w:spacing w:line="250" w:lineRule="exact" w:before="0"/>
        <w:ind w:left="5158" w:right="528" w:hanging="4634"/>
        <w:jc w:val="left"/>
        <w:rPr>
          <w:rFonts w:ascii="Times New Roman" w:hAnsi="Times New Roman" w:cs="Times New Roman" w:eastAsia="Times New Roman" w:hint="default"/>
          <w:sz w:val="18"/>
          <w:szCs w:val="18"/>
        </w:rPr>
      </w:pPr>
      <w:r>
        <w:rPr/>
        <w:pict>
          <v:group style="position:absolute;margin-left:84.839996pt;margin-top:14.320303pt;width:431.9pt;height:.1pt;mso-position-horizontal-relative:page;mso-position-vertical-relative:paragraph;z-index:-897832" coordorigin="1697,286" coordsize="8638,2">
            <v:shape style="position:absolute;left:1697;top:286;width:8638;height:2" coordorigin="1697,286" coordsize="8638,0" path="m1697,286l10334,286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项目</w:t>
        <w:tab/>
        <w:t>本年金额</w:t>
        <w:tab/>
        <w:t>上年金额</w:t>
        <w:tab/>
        <w:tab/>
        <w:t>来源和依据</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楷体" w:hAnsi="楷体" w:cs="楷体" w:eastAsia="楷体" w:hint="default"/>
          <w:sz w:val="18"/>
          <w:szCs w:val="18"/>
        </w:rPr>
        <w:t>沈新区委发</w:t>
      </w:r>
      <w:r>
        <w:rPr>
          <w:rFonts w:ascii="Times New Roman" w:hAnsi="Times New Roman" w:cs="Times New Roman" w:eastAsia="Times New Roman" w:hint="default"/>
          <w:sz w:val="18"/>
          <w:szCs w:val="18"/>
        </w:rPr>
        <w:t>(2008)111 </w:t>
      </w:r>
      <w:r>
        <w:rPr>
          <w:rFonts w:ascii="Times New Roman" w:hAnsi="Times New Roman" w:cs="Times New Roman" w:eastAsia="Times New Roman" w:hint="default"/>
          <w:spacing w:val="31"/>
          <w:sz w:val="18"/>
          <w:szCs w:val="18"/>
        </w:rPr>
        <w:t> </w:t>
      </w:r>
      <w:r>
        <w:rPr>
          <w:rFonts w:ascii="楷体" w:hAnsi="楷体" w:cs="楷体" w:eastAsia="楷体" w:hint="default"/>
          <w:sz w:val="18"/>
          <w:szCs w:val="18"/>
        </w:rPr>
        <w:t>号和沈新区委发</w:t>
      </w:r>
      <w:r>
        <w:rPr>
          <w:rFonts w:ascii="Times New Roman" w:hAnsi="Times New Roman" w:cs="Times New Roman" w:eastAsia="Times New Roman" w:hint="default"/>
          <w:sz w:val="18"/>
          <w:szCs w:val="18"/>
        </w:rPr>
        <w:t>(2008)137</w:t>
      </w:r>
    </w:p>
    <w:p>
      <w:pPr>
        <w:spacing w:after="0" w:line="250" w:lineRule="exact"/>
        <w:jc w:val="left"/>
        <w:rPr>
          <w:rFonts w:ascii="Times New Roman" w:hAnsi="Times New Roman" w:cs="Times New Roman" w:eastAsia="Times New Roman" w:hint="default"/>
          <w:sz w:val="18"/>
          <w:szCs w:val="18"/>
        </w:rPr>
        <w:sectPr>
          <w:pgSz w:w="11910" w:h="16840"/>
          <w:pgMar w:header="610" w:footer="784" w:top="1720" w:bottom="980" w:left="1280" w:right="1140"/>
        </w:sectPr>
      </w:pPr>
    </w:p>
    <w:p>
      <w:pPr>
        <w:tabs>
          <w:tab w:pos="2654" w:val="left" w:leader="none"/>
          <w:tab w:pos="3905" w:val="left" w:leader="none"/>
        </w:tabs>
        <w:spacing w:line="188" w:lineRule="exact" w:before="0"/>
        <w:ind w:left="524" w:right="-6" w:firstLine="0"/>
        <w:jc w:val="left"/>
        <w:rPr>
          <w:rFonts w:ascii="Times New Roman" w:hAnsi="Times New Roman" w:cs="Times New Roman" w:eastAsia="Times New Roman" w:hint="default"/>
          <w:sz w:val="18"/>
          <w:szCs w:val="18"/>
        </w:rPr>
      </w:pPr>
      <w:r>
        <w:rPr>
          <w:rFonts w:ascii="楷体" w:hAnsi="楷体" w:cs="楷体" w:eastAsia="楷体" w:hint="default"/>
          <w:sz w:val="18"/>
          <w:szCs w:val="18"/>
        </w:rPr>
        <w:t>沈阳同方科技园项目</w:t>
        <w:tab/>
      </w:r>
      <w:r>
        <w:rPr>
          <w:rFonts w:ascii="Times New Roman" w:hAnsi="Times New Roman" w:cs="Times New Roman" w:eastAsia="Times New Roman" w:hint="default"/>
          <w:spacing w:val="-1"/>
          <w:sz w:val="18"/>
          <w:szCs w:val="18"/>
        </w:rPr>
        <w:t>35,620,000.00</w:t>
        <w:tab/>
        <w:t>32,000,000.00</w:t>
      </w:r>
    </w:p>
    <w:p>
      <w:pPr>
        <w:spacing w:line="158" w:lineRule="exact" w:before="0"/>
        <w:ind w:left="176" w:right="0" w:firstLine="0"/>
        <w:jc w:val="left"/>
        <w:rPr>
          <w:rFonts w:ascii="楷体" w:hAnsi="楷体" w:cs="楷体" w:eastAsia="楷体" w:hint="default"/>
          <w:sz w:val="18"/>
          <w:szCs w:val="18"/>
        </w:rPr>
      </w:pPr>
      <w:r>
        <w:rPr/>
        <w:br w:type="column"/>
      </w:r>
      <w:r>
        <w:rPr>
          <w:rFonts w:ascii="楷体" w:hAnsi="楷体" w:cs="楷体" w:eastAsia="楷体" w:hint="default"/>
          <w:sz w:val="18"/>
          <w:szCs w:val="18"/>
        </w:rPr>
        <w:t>号关于用产业资金扶持沈阳同方多媒体有限公司</w:t>
      </w:r>
    </w:p>
    <w:p>
      <w:pPr>
        <w:spacing w:line="218" w:lineRule="exact" w:before="0"/>
        <w:ind w:left="176" w:right="0" w:firstLine="0"/>
        <w:jc w:val="left"/>
        <w:rPr>
          <w:rFonts w:ascii="楷体" w:hAnsi="楷体" w:cs="楷体" w:eastAsia="楷体" w:hint="default"/>
          <w:sz w:val="18"/>
          <w:szCs w:val="18"/>
        </w:rPr>
      </w:pPr>
      <w:r>
        <w:rPr>
          <w:rFonts w:ascii="楷体" w:hAnsi="楷体" w:cs="楷体" w:eastAsia="楷体" w:hint="default"/>
          <w:sz w:val="18"/>
          <w:szCs w:val="18"/>
        </w:rPr>
        <w:t>科技园项目的批复</w:t>
      </w:r>
    </w:p>
    <w:p>
      <w:pPr>
        <w:spacing w:after="0" w:line="218" w:lineRule="exact"/>
        <w:jc w:val="left"/>
        <w:rPr>
          <w:rFonts w:ascii="楷体" w:hAnsi="楷体" w:cs="楷体" w:eastAsia="楷体" w:hint="default"/>
          <w:sz w:val="18"/>
          <w:szCs w:val="18"/>
        </w:rPr>
        <w:sectPr>
          <w:type w:val="continuous"/>
          <w:pgSz w:w="11910" w:h="16840"/>
          <w:pgMar w:top="1600" w:bottom="280" w:left="1280" w:right="1140"/>
          <w:cols w:num="2" w:equalWidth="0">
            <w:col w:w="4942" w:space="40"/>
            <w:col w:w="4508"/>
          </w:cols>
        </w:sectPr>
      </w:pPr>
    </w:p>
    <w:p>
      <w:pPr>
        <w:tabs>
          <w:tab w:pos="2654" w:val="left" w:leader="none"/>
          <w:tab w:pos="3905" w:val="left" w:leader="none"/>
          <w:tab w:pos="5157" w:val="left" w:leader="none"/>
        </w:tabs>
        <w:spacing w:line="239" w:lineRule="exact" w:before="0"/>
        <w:ind w:left="524" w:right="0" w:firstLine="0"/>
        <w:jc w:val="left"/>
        <w:rPr>
          <w:rFonts w:ascii="楷体" w:hAnsi="楷体" w:cs="楷体" w:eastAsia="楷体" w:hint="default"/>
          <w:sz w:val="18"/>
          <w:szCs w:val="18"/>
        </w:rPr>
      </w:pPr>
      <w:r>
        <w:rPr>
          <w:rFonts w:ascii="楷体" w:hAnsi="楷体" w:cs="楷体" w:eastAsia="楷体" w:hint="default"/>
          <w:position w:val="-9"/>
          <w:sz w:val="18"/>
          <w:szCs w:val="18"/>
        </w:rPr>
        <w:t>软件退税</w:t>
        <w:tab/>
      </w:r>
      <w:r>
        <w:rPr>
          <w:rFonts w:ascii="Times New Roman" w:hAnsi="Times New Roman" w:cs="Times New Roman" w:eastAsia="Times New Roman" w:hint="default"/>
          <w:position w:val="-9"/>
          <w:sz w:val="18"/>
          <w:szCs w:val="18"/>
        </w:rPr>
        <w:t>34,815,94</w:t>
      </w:r>
      <w:r>
        <w:rPr>
          <w:rFonts w:ascii="Times New Roman" w:hAnsi="Times New Roman" w:cs="Times New Roman" w:eastAsia="Times New Roman" w:hint="default"/>
          <w:spacing w:val="-2"/>
          <w:position w:val="-9"/>
          <w:sz w:val="18"/>
          <w:szCs w:val="18"/>
        </w:rPr>
        <w:t>6</w:t>
      </w:r>
      <w:r>
        <w:rPr>
          <w:rFonts w:ascii="Times New Roman" w:hAnsi="Times New Roman" w:cs="Times New Roman" w:eastAsia="Times New Roman" w:hint="default"/>
          <w:position w:val="-9"/>
          <w:sz w:val="18"/>
          <w:szCs w:val="18"/>
        </w:rPr>
        <w:t>.86</w:t>
        <w:tab/>
        <w:t>22,680,97</w:t>
      </w:r>
      <w:r>
        <w:rPr>
          <w:rFonts w:ascii="Times New Roman" w:hAnsi="Times New Roman" w:cs="Times New Roman" w:eastAsia="Times New Roman" w:hint="default"/>
          <w:spacing w:val="-2"/>
          <w:position w:val="-9"/>
          <w:sz w:val="18"/>
          <w:szCs w:val="18"/>
        </w:rPr>
        <w:t>5</w:t>
      </w:r>
      <w:r>
        <w:rPr>
          <w:rFonts w:ascii="Times New Roman" w:hAnsi="Times New Roman" w:cs="Times New Roman" w:eastAsia="Times New Roman" w:hint="default"/>
          <w:position w:val="-9"/>
          <w:sz w:val="18"/>
          <w:szCs w:val="18"/>
        </w:rPr>
        <w:t>.91</w:t>
        <w:tab/>
      </w:r>
      <w:r>
        <w:rPr>
          <w:rFonts w:ascii="楷体" w:hAnsi="楷体" w:cs="楷体" w:eastAsia="楷体" w:hint="default"/>
          <w:sz w:val="18"/>
          <w:szCs w:val="18"/>
        </w:rPr>
        <w:t>国发</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18 </w:t>
      </w:r>
      <w:r>
        <w:rPr>
          <w:rFonts w:ascii="楷体" w:hAnsi="楷体" w:cs="楷体" w:eastAsia="楷体" w:hint="default"/>
          <w:sz w:val="18"/>
          <w:szCs w:val="18"/>
        </w:rPr>
        <w:t>号文件</w:t>
      </w:r>
      <w:r>
        <w:rPr>
          <w:rFonts w:ascii="楷体" w:hAnsi="楷体" w:cs="楷体" w:eastAsia="楷体" w:hint="default"/>
          <w:spacing w:val="-89"/>
          <w:sz w:val="18"/>
          <w:szCs w:val="18"/>
        </w:rPr>
        <w:t>、</w:t>
      </w:r>
      <w:r>
        <w:rPr>
          <w:rFonts w:ascii="楷体" w:hAnsi="楷体" w:cs="楷体" w:eastAsia="楷体" w:hint="default"/>
          <w:sz w:val="18"/>
          <w:szCs w:val="18"/>
        </w:rPr>
        <w:t>京科新发</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
          <w:sz w:val="18"/>
          <w:szCs w:val="18"/>
        </w:rPr>
        <w:t>]</w:t>
      </w:r>
      <w:r>
        <w:rPr>
          <w:rFonts w:ascii="楷体" w:hAnsi="楷体" w:cs="楷体" w:eastAsia="楷体" w:hint="default"/>
          <w:sz w:val="18"/>
          <w:szCs w:val="18"/>
        </w:rPr>
        <w:t>第</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2 </w:t>
      </w:r>
      <w:r>
        <w:rPr>
          <w:rFonts w:ascii="楷体" w:hAnsi="楷体" w:cs="楷体" w:eastAsia="楷体" w:hint="default"/>
          <w:sz w:val="18"/>
          <w:szCs w:val="18"/>
        </w:rPr>
        <w:t>号文</w:t>
      </w:r>
    </w:p>
    <w:p>
      <w:pPr>
        <w:spacing w:line="174" w:lineRule="exact" w:before="0"/>
        <w:ind w:left="5158" w:right="0" w:firstLine="0"/>
        <w:jc w:val="left"/>
        <w:rPr>
          <w:rFonts w:ascii="楷体" w:hAnsi="楷体" w:cs="楷体" w:eastAsia="楷体" w:hint="default"/>
          <w:sz w:val="18"/>
          <w:szCs w:val="18"/>
        </w:rPr>
      </w:pPr>
      <w:r>
        <w:rPr>
          <w:rFonts w:ascii="楷体" w:hAnsi="楷体" w:cs="楷体" w:eastAsia="楷体" w:hint="default"/>
          <w:sz w:val="18"/>
          <w:szCs w:val="18"/>
        </w:rPr>
        <w:t>件、京国税</w:t>
      </w:r>
      <w:r>
        <w:rPr>
          <w:rFonts w:ascii="Times New Roman" w:hAnsi="Times New Roman" w:cs="Times New Roman" w:eastAsia="Times New Roman" w:hint="default"/>
          <w:sz w:val="18"/>
          <w:szCs w:val="18"/>
        </w:rPr>
        <w:t>(2000)187</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号文件</w:t>
      </w:r>
    </w:p>
    <w:p>
      <w:pPr>
        <w:tabs>
          <w:tab w:pos="2744" w:val="left" w:leader="none"/>
          <w:tab w:pos="3996" w:val="left" w:leader="none"/>
        </w:tabs>
        <w:spacing w:line="241" w:lineRule="exact" w:before="0"/>
        <w:ind w:left="524" w:right="2246" w:firstLine="0"/>
        <w:jc w:val="left"/>
        <w:rPr>
          <w:rFonts w:ascii="Times New Roman" w:hAnsi="Times New Roman" w:cs="Times New Roman" w:eastAsia="Times New Roman" w:hint="default"/>
          <w:sz w:val="18"/>
          <w:szCs w:val="18"/>
        </w:rPr>
      </w:pPr>
      <w:r>
        <w:rPr>
          <w:rFonts w:ascii="楷体" w:hAnsi="楷体" w:cs="楷体" w:eastAsia="楷体" w:hint="default"/>
          <w:sz w:val="18"/>
          <w:szCs w:val="18"/>
        </w:rPr>
        <w:t>泰豪科技并入</w:t>
        <w:tab/>
      </w:r>
      <w:r>
        <w:rPr>
          <w:rFonts w:ascii="Times New Roman" w:hAnsi="Times New Roman" w:cs="Times New Roman" w:eastAsia="Times New Roman" w:hint="default"/>
          <w:spacing w:val="-1"/>
          <w:sz w:val="18"/>
          <w:szCs w:val="18"/>
        </w:rPr>
        <w:t>9,314,444.73</w:t>
        <w:tab/>
        <w:t>8,219,696.86</w:t>
      </w:r>
    </w:p>
    <w:p>
      <w:pPr>
        <w:tabs>
          <w:tab w:pos="2744" w:val="left" w:leader="none"/>
          <w:tab w:pos="4626" w:val="left" w:leader="none"/>
          <w:tab w:pos="5157" w:val="left" w:leader="none"/>
        </w:tabs>
        <w:spacing w:before="34"/>
        <w:ind w:left="524" w:right="0" w:firstLine="0"/>
        <w:jc w:val="left"/>
        <w:rPr>
          <w:rFonts w:ascii="楷体" w:hAnsi="楷体" w:cs="楷体" w:eastAsia="楷体" w:hint="default"/>
          <w:sz w:val="18"/>
          <w:szCs w:val="18"/>
        </w:rPr>
      </w:pPr>
      <w:r>
        <w:rPr>
          <w:rFonts w:ascii="楷体" w:hAnsi="楷体" w:cs="楷体" w:eastAsia="楷体" w:hint="default"/>
          <w:sz w:val="18"/>
          <w:szCs w:val="18"/>
        </w:rPr>
        <w:t>重大科技专项资金</w:t>
        <w:tab/>
      </w:r>
      <w:r>
        <w:rPr>
          <w:rFonts w:ascii="Times New Roman" w:hAnsi="Times New Roman" w:cs="Times New Roman" w:eastAsia="Times New Roman" w:hint="default"/>
          <w:spacing w:val="-1"/>
          <w:sz w:val="18"/>
          <w:szCs w:val="18"/>
        </w:rPr>
        <w:t>7,000,000.00</w:t>
        <w:tab/>
      </w:r>
      <w:r>
        <w:rPr>
          <w:rFonts w:ascii="Times New Roman" w:hAnsi="Times New Roman" w:cs="Times New Roman" w:eastAsia="Times New Roman" w:hint="default"/>
          <w:sz w:val="18"/>
          <w:szCs w:val="18"/>
        </w:rPr>
        <w:t>0.00</w:t>
        <w:tab/>
      </w:r>
      <w:r>
        <w:rPr>
          <w:rFonts w:ascii="楷体" w:hAnsi="楷体" w:cs="楷体" w:eastAsia="楷体" w:hint="default"/>
          <w:sz w:val="18"/>
          <w:szCs w:val="18"/>
        </w:rPr>
        <w:t>关于拨付第二批市重大科技专项资金的通知</w:t>
      </w:r>
    </w:p>
    <w:p>
      <w:pPr>
        <w:tabs>
          <w:tab w:pos="2744" w:val="left" w:leader="none"/>
          <w:tab w:pos="4130" w:val="left" w:leader="none"/>
          <w:tab w:pos="5157" w:val="left" w:leader="none"/>
        </w:tabs>
        <w:spacing w:line="246" w:lineRule="exact" w:before="34"/>
        <w:ind w:left="524" w:right="2246" w:firstLine="0"/>
        <w:jc w:val="left"/>
        <w:rPr>
          <w:rFonts w:ascii="楷体" w:hAnsi="楷体" w:cs="楷体" w:eastAsia="楷体" w:hint="default"/>
          <w:sz w:val="18"/>
          <w:szCs w:val="18"/>
        </w:rPr>
      </w:pPr>
      <w:r>
        <w:rPr>
          <w:rFonts w:ascii="楷体" w:hAnsi="楷体" w:cs="楷体" w:eastAsia="楷体" w:hint="default"/>
          <w:sz w:val="18"/>
          <w:szCs w:val="18"/>
        </w:rPr>
        <w:t>三线企业增值税返还</w:t>
        <w:tab/>
      </w:r>
      <w:r>
        <w:rPr>
          <w:rFonts w:ascii="Times New Roman" w:hAnsi="Times New Roman" w:cs="Times New Roman" w:eastAsia="Times New Roman" w:hint="default"/>
          <w:spacing w:val="-1"/>
          <w:sz w:val="18"/>
          <w:szCs w:val="18"/>
        </w:rPr>
        <w:t>1,698,926.23</w:t>
        <w:tab/>
      </w:r>
      <w:r>
        <w:rPr>
          <w:rFonts w:ascii="Times New Roman" w:hAnsi="Times New Roman" w:cs="Times New Roman" w:eastAsia="Times New Roman" w:hint="default"/>
          <w:sz w:val="18"/>
          <w:szCs w:val="18"/>
        </w:rPr>
        <w:t>831,494.73</w:t>
        <w:tab/>
      </w:r>
      <w:r>
        <w:rPr>
          <w:rFonts w:ascii="楷体" w:hAnsi="楷体" w:cs="楷体" w:eastAsia="楷体" w:hint="default"/>
          <w:spacing w:val="-1"/>
          <w:sz w:val="18"/>
          <w:szCs w:val="18"/>
        </w:rPr>
        <w:t>财税</w:t>
      </w:r>
      <w:r>
        <w:rPr>
          <w:rFonts w:ascii="Times New Roman" w:hAnsi="Times New Roman" w:cs="Times New Roman" w:eastAsia="Times New Roman" w:hint="default"/>
          <w:spacing w:val="-1"/>
          <w:sz w:val="18"/>
          <w:szCs w:val="18"/>
        </w:rPr>
        <w:t>[1996]95</w:t>
      </w:r>
      <w:r>
        <w:rPr>
          <w:rFonts w:ascii="Times New Roman" w:hAnsi="Times New Roman" w:cs="Times New Roman" w:eastAsia="Times New Roman" w:hint="default"/>
          <w:spacing w:val="8"/>
          <w:sz w:val="18"/>
          <w:szCs w:val="18"/>
        </w:rPr>
        <w:t> </w:t>
      </w:r>
      <w:r>
        <w:rPr>
          <w:rFonts w:ascii="楷体" w:hAnsi="楷体" w:cs="楷体" w:eastAsia="楷体" w:hint="default"/>
          <w:sz w:val="18"/>
          <w:szCs w:val="18"/>
        </w:rPr>
        <w:t>号文件</w:t>
      </w:r>
    </w:p>
    <w:p>
      <w:pPr>
        <w:spacing w:line="171" w:lineRule="exact" w:before="0"/>
        <w:ind w:left="524" w:right="6555" w:firstLine="0"/>
        <w:jc w:val="left"/>
        <w:rPr>
          <w:rFonts w:ascii="楷体" w:hAnsi="楷体" w:cs="楷体" w:eastAsia="楷体" w:hint="default"/>
          <w:sz w:val="18"/>
          <w:szCs w:val="18"/>
        </w:rPr>
      </w:pPr>
      <w:r>
        <w:rPr>
          <w:rFonts w:ascii="Times New Roman" w:hAnsi="Times New Roman" w:cs="Times New Roman" w:eastAsia="Times New Roman" w:hint="default"/>
          <w:sz w:val="18"/>
          <w:szCs w:val="18"/>
        </w:rPr>
        <w:t>[DZFZJJ]08 </w:t>
      </w:r>
      <w:r>
        <w:rPr>
          <w:rFonts w:ascii="Times New Roman" w:hAnsi="Times New Roman" w:cs="Times New Roman" w:eastAsia="Times New Roman" w:hint="default"/>
          <w:spacing w:val="9"/>
          <w:sz w:val="18"/>
          <w:szCs w:val="18"/>
        </w:rPr>
        <w:t> </w:t>
      </w:r>
      <w:r>
        <w:rPr>
          <w:rFonts w:ascii="楷体" w:hAnsi="楷体" w:cs="楷体" w:eastAsia="楷体" w:hint="default"/>
          <w:spacing w:val="14"/>
          <w:sz w:val="18"/>
          <w:szCs w:val="18"/>
        </w:rPr>
        <w:t>年度电子</w:t>
      </w:r>
      <w:r>
        <w:rPr>
          <w:rFonts w:ascii="楷体" w:hAnsi="楷体" w:cs="楷体" w:eastAsia="楷体" w:hint="default"/>
          <w:sz w:val="18"/>
          <w:szCs w:val="18"/>
        </w:rPr>
      </w:r>
    </w:p>
    <w:p>
      <w:pPr>
        <w:tabs>
          <w:tab w:pos="2744" w:val="left" w:leader="none"/>
          <w:tab w:pos="4626" w:val="left" w:leader="none"/>
          <w:tab w:pos="5157" w:val="left" w:leader="none"/>
        </w:tabs>
        <w:spacing w:line="243" w:lineRule="exact" w:before="0"/>
        <w:ind w:left="524" w:right="0" w:firstLine="0"/>
        <w:jc w:val="left"/>
        <w:rPr>
          <w:rFonts w:ascii="楷体" w:hAnsi="楷体" w:cs="楷体" w:eastAsia="楷体" w:hint="default"/>
          <w:sz w:val="18"/>
          <w:szCs w:val="18"/>
        </w:rPr>
      </w:pPr>
      <w:r>
        <w:rPr>
          <w:rFonts w:ascii="楷体" w:hAnsi="楷体" w:cs="楷体" w:eastAsia="楷体" w:hint="default"/>
          <w:position w:val="-9"/>
          <w:sz w:val="18"/>
          <w:szCs w:val="18"/>
        </w:rPr>
        <w:t>发展基金</w:t>
        <w:tab/>
      </w:r>
      <w:r>
        <w:rPr>
          <w:rFonts w:ascii="Times New Roman" w:hAnsi="Times New Roman" w:cs="Times New Roman" w:eastAsia="Times New Roman" w:hint="default"/>
          <w:spacing w:val="-1"/>
          <w:sz w:val="18"/>
          <w:szCs w:val="18"/>
        </w:rPr>
        <w:t>1,500,000.00</w:t>
        <w:tab/>
      </w:r>
      <w:r>
        <w:rPr>
          <w:rFonts w:ascii="Times New Roman" w:hAnsi="Times New Roman" w:cs="Times New Roman" w:eastAsia="Times New Roman" w:hint="default"/>
          <w:sz w:val="18"/>
          <w:szCs w:val="18"/>
        </w:rPr>
        <w:t>0.00</w:t>
        <w:tab/>
      </w:r>
      <w:r>
        <w:rPr>
          <w:rFonts w:ascii="楷体" w:hAnsi="楷体" w:cs="楷体" w:eastAsia="楷体" w:hint="default"/>
          <w:sz w:val="18"/>
          <w:szCs w:val="18"/>
        </w:rPr>
        <w:t>电子信息产业发展基金无偿资助项目合同书</w:t>
      </w:r>
    </w:p>
    <w:p>
      <w:pPr>
        <w:spacing w:line="137" w:lineRule="exact" w:before="0"/>
        <w:ind w:left="524" w:right="6555" w:firstLine="0"/>
        <w:jc w:val="left"/>
        <w:rPr>
          <w:rFonts w:ascii="楷体" w:hAnsi="楷体" w:cs="楷体" w:eastAsia="楷体" w:hint="default"/>
          <w:sz w:val="18"/>
          <w:szCs w:val="18"/>
        </w:rPr>
      </w:pPr>
      <w:r>
        <w:rPr>
          <w:rFonts w:ascii="楷体" w:hAnsi="楷体" w:cs="楷体" w:eastAsia="楷体" w:hint="default"/>
          <w:sz w:val="18"/>
          <w:szCs w:val="18"/>
        </w:rPr>
        <w:t>北京市科委</w:t>
      </w:r>
      <w:r>
        <w:rPr>
          <w:rFonts w:ascii="楷体" w:hAnsi="楷体" w:cs="楷体" w:eastAsia="楷体" w:hint="default"/>
          <w:spacing w:val="-49"/>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5"/>
          <w:sz w:val="18"/>
          <w:szCs w:val="18"/>
        </w:rPr>
        <w:t> </w:t>
      </w:r>
      <w:r>
        <w:rPr>
          <w:rFonts w:ascii="楷体" w:hAnsi="楷体" w:cs="楷体" w:eastAsia="楷体" w:hint="default"/>
          <w:sz w:val="18"/>
          <w:szCs w:val="18"/>
        </w:rPr>
        <w:t>标签</w:t>
      </w:r>
    </w:p>
    <w:p>
      <w:pPr>
        <w:tabs>
          <w:tab w:pos="4626" w:val="left" w:leader="none"/>
          <w:tab w:pos="5157" w:val="left" w:leader="none"/>
        </w:tabs>
        <w:spacing w:line="194" w:lineRule="exact" w:before="0"/>
        <w:ind w:left="2744" w:right="0" w:firstLine="0"/>
        <w:jc w:val="left"/>
        <w:rPr>
          <w:rFonts w:ascii="楷体" w:hAnsi="楷体" w:cs="楷体" w:eastAsia="楷体" w:hint="default"/>
          <w:sz w:val="18"/>
          <w:szCs w:val="18"/>
        </w:rPr>
      </w:pPr>
      <w:r>
        <w:rPr/>
        <w:pict>
          <v:shape style="position:absolute;margin-left:84.839996pt;margin-top:5.04pt;width:431.9pt;height:69.1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9"/>
                    <w:gridCol w:w="1444"/>
                    <w:gridCol w:w="1251"/>
                    <w:gridCol w:w="4005"/>
                  </w:tblGrid>
                  <w:tr>
                    <w:trPr>
                      <w:trHeight w:val="476" w:hRule="exact"/>
                    </w:trPr>
                    <w:tc>
                      <w:tcPr>
                        <w:tcW w:w="1939"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jc w:val="left"/>
                          <w:rPr>
                            <w:rFonts w:ascii="楷体" w:hAnsi="楷体" w:cs="楷体" w:eastAsia="楷体" w:hint="default"/>
                            <w:sz w:val="18"/>
                            <w:szCs w:val="18"/>
                          </w:rPr>
                        </w:pPr>
                        <w:r>
                          <w:rPr>
                            <w:rFonts w:ascii="楷体" w:hAnsi="楷体" w:cs="楷体" w:eastAsia="楷体" w:hint="default"/>
                            <w:sz w:val="18"/>
                            <w:szCs w:val="18"/>
                          </w:rPr>
                          <w:t>技术研究项目</w:t>
                        </w:r>
                      </w:p>
                      <w:p>
                        <w:pPr>
                          <w:pStyle w:val="TableParagraph"/>
                          <w:spacing w:line="240" w:lineRule="auto" w:before="4"/>
                          <w:ind w:left="107" w:right="0"/>
                          <w:jc w:val="left"/>
                          <w:rPr>
                            <w:rFonts w:ascii="楷体" w:hAnsi="楷体" w:cs="楷体" w:eastAsia="楷体" w:hint="default"/>
                            <w:sz w:val="18"/>
                            <w:szCs w:val="18"/>
                          </w:rPr>
                        </w:pPr>
                        <w:r>
                          <w:rPr>
                            <w:rFonts w:ascii="楷体" w:hAnsi="楷体" w:cs="楷体" w:eastAsia="楷体" w:hint="default"/>
                            <w:sz w:val="18"/>
                            <w:szCs w:val="18"/>
                          </w:rPr>
                          <w:t>远洋船退税财政补贴</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楷体" w:hAnsi="楷体" w:cs="楷体" w:eastAsia="楷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楷体" w:hAnsi="楷体" w:cs="楷体" w:eastAsia="楷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4,400,300.00</w:t>
                        </w:r>
                      </w:p>
                    </w:tc>
                    <w:tc>
                      <w:tcPr>
                        <w:tcW w:w="40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楷体" w:hAnsi="楷体" w:cs="楷体" w:eastAsia="楷体" w:hint="default"/>
                            <w:sz w:val="14"/>
                            <w:szCs w:val="14"/>
                          </w:rPr>
                        </w:pPr>
                      </w:p>
                      <w:p>
                        <w:pPr>
                          <w:pStyle w:val="TableParagraph"/>
                          <w:spacing w:line="240" w:lineRule="auto"/>
                          <w:ind w:left="108" w:right="0"/>
                          <w:jc w:val="left"/>
                          <w:rPr>
                            <w:rFonts w:ascii="楷体" w:hAnsi="楷体" w:cs="楷体" w:eastAsia="楷体" w:hint="default"/>
                            <w:sz w:val="18"/>
                            <w:szCs w:val="18"/>
                          </w:rPr>
                        </w:pPr>
                        <w:r>
                          <w:rPr>
                            <w:rFonts w:ascii="楷体" w:hAnsi="楷体" w:cs="楷体" w:eastAsia="楷体" w:hint="default"/>
                            <w:sz w:val="18"/>
                            <w:szCs w:val="18"/>
                          </w:rPr>
                          <w:t>财税</w:t>
                        </w:r>
                        <w:r>
                          <w:rPr>
                            <w:rFonts w:ascii="Times New Roman" w:hAnsi="Times New Roman" w:cs="Times New Roman" w:eastAsia="Times New Roman" w:hint="default"/>
                            <w:sz w:val="18"/>
                            <w:szCs w:val="18"/>
                          </w:rPr>
                          <w:t>[2000]54</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号关于内销远洋船财税政策的通知</w:t>
                        </w:r>
                      </w:p>
                    </w:tc>
                  </w:tr>
                  <w:tr>
                    <w:trPr>
                      <w:trHeight w:val="283" w:hRule="exact"/>
                    </w:trPr>
                    <w:tc>
                      <w:tcPr>
                        <w:tcW w:w="193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财政拨技术发展经费</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1,238,000.00</w:t>
                        </w:r>
                      </w:p>
                    </w:tc>
                    <w:tc>
                      <w:tcPr>
                        <w:tcW w:w="400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楷体" w:hAnsi="楷体" w:cs="楷体" w:eastAsia="楷体" w:hint="default"/>
                            <w:sz w:val="18"/>
                            <w:szCs w:val="18"/>
                          </w:rPr>
                          <w:t>临沂市科技局财政局</w:t>
                        </w:r>
                        <w:r>
                          <w:rPr>
                            <w:rFonts w:ascii="Times New Roman" w:hAnsi="Times New Roman" w:cs="Times New Roman" w:eastAsia="Times New Roman" w:hint="default"/>
                            <w:sz w:val="18"/>
                            <w:szCs w:val="18"/>
                          </w:rPr>
                          <w:t>(2006)1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号文</w:t>
                        </w:r>
                      </w:p>
                    </w:tc>
                  </w:tr>
                  <w:tr>
                    <w:trPr>
                      <w:trHeight w:val="289" w:hRule="exact"/>
                    </w:trPr>
                    <w:tc>
                      <w:tcPr>
                        <w:tcW w:w="1939"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12,692,986.81</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7,354,210.14</w:t>
                        </w:r>
                      </w:p>
                    </w:tc>
                    <w:tc>
                      <w:tcPr>
                        <w:tcW w:w="4005" w:type="dxa"/>
                        <w:tcBorders>
                          <w:top w:val="nil" w:sz="6" w:space="0" w:color="auto"/>
                          <w:left w:val="nil" w:sz="6" w:space="0" w:color="auto"/>
                          <w:bottom w:val="single" w:sz="4" w:space="0" w:color="000000"/>
                          <w:right w:val="nil" w:sz="6" w:space="0" w:color="auto"/>
                        </w:tcBorders>
                      </w:tcPr>
                      <w:p>
                        <w:pPr/>
                      </w:p>
                    </w:tc>
                  </w:tr>
                  <w:tr>
                    <w:trPr>
                      <w:trHeight w:val="303" w:hRule="exact"/>
                    </w:trPr>
                    <w:tc>
                      <w:tcPr>
                        <w:tcW w:w="193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pacing w:val="-1"/>
                            <w:sz w:val="18"/>
                          </w:rPr>
                          <w:t>103,642,304.63</w:t>
                        </w:r>
                        <w:r>
                          <w:rPr>
                            <w:rFonts w:ascii="Times New Roman"/>
                            <w:spacing w:val="-1"/>
                            <w:sz w:val="18"/>
                          </w:rPr>
                        </w:r>
                      </w:p>
                    </w:tc>
                    <w:tc>
                      <w:tcPr>
                        <w:tcW w:w="12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b/>
                            <w:spacing w:val="-1"/>
                            <w:sz w:val="18"/>
                          </w:rPr>
                          <w:t>76,724,677.64</w:t>
                        </w:r>
                        <w:r>
                          <w:rPr>
                            <w:rFonts w:ascii="Times New Roman"/>
                            <w:spacing w:val="-1"/>
                            <w:sz w:val="18"/>
                          </w:rPr>
                        </w:r>
                      </w:p>
                    </w:tc>
                    <w:tc>
                      <w:tcPr>
                        <w:tcW w:w="4005" w:type="dxa"/>
                        <w:tcBorders>
                          <w:top w:val="single" w:sz="4" w:space="0" w:color="000000"/>
                          <w:left w:val="nil" w:sz="6" w:space="0" w:color="auto"/>
                          <w:bottom w:val="single" w:sz="12" w:space="0" w:color="000000"/>
                          <w:right w:val="nil" w:sz="6" w:space="0" w:color="auto"/>
                        </w:tcBorders>
                      </w:tcPr>
                      <w:p>
                        <w:pPr/>
                      </w:p>
                    </w:tc>
                  </w:tr>
                </w:tbl>
                <w:p>
                  <w:pPr/>
                </w:p>
              </w:txbxContent>
            </v:textbox>
            <w10:wrap type="none"/>
          </v:shape>
        </w:pict>
      </w:r>
      <w:r>
        <w:rPr>
          <w:rFonts w:ascii="Times New Roman" w:hAnsi="Times New Roman" w:cs="Times New Roman" w:eastAsia="Times New Roman" w:hint="default"/>
          <w:spacing w:val="-1"/>
          <w:sz w:val="18"/>
          <w:szCs w:val="18"/>
        </w:rPr>
        <w:t>1,000,000.00</w:t>
        <w:tab/>
      </w:r>
      <w:r>
        <w:rPr>
          <w:rFonts w:ascii="Times New Roman" w:hAnsi="Times New Roman" w:cs="Times New Roman" w:eastAsia="Times New Roman" w:hint="default"/>
          <w:sz w:val="18"/>
          <w:szCs w:val="18"/>
        </w:rPr>
        <w:t>0.00</w:t>
        <w:tab/>
      </w:r>
      <w:r>
        <w:rPr>
          <w:rFonts w:ascii="楷体" w:hAnsi="楷体" w:cs="楷体" w:eastAsia="楷体" w:hint="default"/>
          <w:sz w:val="18"/>
          <w:szCs w:val="18"/>
        </w:rPr>
        <w:t>北京市科技计划项目结题审计意见书</w: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2"/>
        <w:rPr>
          <w:rFonts w:ascii="楷体" w:hAnsi="楷体" w:cs="楷体" w:eastAsia="楷体" w:hint="default"/>
          <w:sz w:val="22"/>
          <w:szCs w:val="22"/>
        </w:rPr>
      </w:pPr>
    </w:p>
    <w:p>
      <w:pPr>
        <w:spacing w:before="31"/>
        <w:ind w:left="578" w:right="0" w:firstLine="0"/>
        <w:jc w:val="left"/>
        <w:rPr>
          <w:rFonts w:ascii="Times New Roman" w:hAnsi="Times New Roman" w:cs="Times New Roman" w:eastAsia="Times New Roman" w:hint="default"/>
          <w:sz w:val="22"/>
          <w:szCs w:val="22"/>
        </w:rPr>
      </w:pPr>
      <w:r>
        <w:rPr>
          <w:rFonts w:ascii="楷体" w:hAnsi="楷体" w:cs="楷体" w:eastAsia="楷体" w:hint="default"/>
          <w:spacing w:val="7"/>
          <w:sz w:val="22"/>
          <w:szCs w:val="22"/>
        </w:rPr>
        <w:t>其中泰豪科技并入为本公司之控股子公司泰豪科技股份有限公司之政府补助</w:t>
      </w:r>
      <w:r>
        <w:rPr>
          <w:rFonts w:ascii="楷体" w:hAnsi="楷体" w:cs="楷体" w:eastAsia="楷体" w:hint="default"/>
          <w:spacing w:val="-10"/>
          <w:sz w:val="22"/>
          <w:szCs w:val="22"/>
        </w:rPr>
        <w:t> </w:t>
      </w:r>
      <w:r>
        <w:rPr>
          <w:rFonts w:ascii="Times New Roman" w:hAnsi="Times New Roman" w:cs="Times New Roman" w:eastAsia="Times New Roman" w:hint="default"/>
          <w:sz w:val="22"/>
          <w:szCs w:val="22"/>
        </w:rPr>
        <w:t>9,314,444.73</w:t>
      </w:r>
    </w:p>
    <w:p>
      <w:pPr>
        <w:spacing w:before="85"/>
        <w:ind w:left="138" w:right="0" w:firstLine="0"/>
        <w:jc w:val="left"/>
        <w:rPr>
          <w:rFonts w:ascii="楷体" w:hAnsi="楷体" w:cs="楷体" w:eastAsia="楷体" w:hint="default"/>
          <w:sz w:val="22"/>
          <w:szCs w:val="22"/>
        </w:rPr>
      </w:pPr>
      <w:r>
        <w:rPr>
          <w:rFonts w:ascii="楷体" w:hAnsi="楷体" w:cs="楷体" w:eastAsia="楷体" w:hint="default"/>
          <w:spacing w:val="-4"/>
          <w:sz w:val="22"/>
          <w:szCs w:val="22"/>
        </w:rPr>
        <w:t>元，泰豪科技股份有限公司</w:t>
      </w:r>
      <w:r>
        <w:rPr>
          <w:rFonts w:ascii="楷体" w:hAnsi="楷体" w:cs="楷体" w:eastAsia="楷体" w:hint="default"/>
          <w:spacing w:val="-54"/>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年财务报表已由中磊会计师事务所有限责任公司于</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月</w:t>
      </w:r>
    </w:p>
    <w:p>
      <w:pPr>
        <w:spacing w:before="85"/>
        <w:ind w:left="138" w:right="2246" w:firstLine="0"/>
        <w:jc w:val="left"/>
        <w:rPr>
          <w:rFonts w:ascii="楷体" w:hAnsi="楷体" w:cs="楷体" w:eastAsia="楷体" w:hint="default"/>
          <w:sz w:val="22"/>
          <w:szCs w:val="22"/>
        </w:rPr>
      </w:pP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日出具中磊审字</w:t>
      </w:r>
      <w:r>
        <w:rPr>
          <w:rFonts w:ascii="Times New Roman" w:hAnsi="Times New Roman" w:cs="Times New Roman" w:eastAsia="Times New Roman" w:hint="default"/>
          <w:sz w:val="22"/>
          <w:szCs w:val="22"/>
        </w:rPr>
        <w:t>[2009]</w:t>
      </w:r>
      <w:r>
        <w:rPr>
          <w:rFonts w:ascii="楷体" w:hAnsi="楷体" w:cs="楷体" w:eastAsia="楷体" w:hint="default"/>
          <w:sz w:val="22"/>
          <w:szCs w:val="22"/>
        </w:rPr>
        <w:t>第</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0043</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号标准无保留意见审计报告。</w:t>
      </w:r>
    </w:p>
    <w:p>
      <w:pPr>
        <w:spacing w:line="240" w:lineRule="auto" w:before="1"/>
        <w:rPr>
          <w:rFonts w:ascii="楷体" w:hAnsi="楷体" w:cs="楷体" w:eastAsia="楷体" w:hint="default"/>
          <w:sz w:val="10"/>
          <w:szCs w:val="10"/>
        </w:rPr>
      </w:pPr>
    </w:p>
    <w:tbl>
      <w:tblPr>
        <w:tblW w:w="0" w:type="auto"/>
        <w:jc w:val="left"/>
        <w:tblInd w:w="416" w:type="dxa"/>
        <w:tblLayout w:type="fixed"/>
        <w:tblCellMar>
          <w:top w:w="0" w:type="dxa"/>
          <w:left w:w="0" w:type="dxa"/>
          <w:bottom w:w="0" w:type="dxa"/>
          <w:right w:w="0" w:type="dxa"/>
        </w:tblCellMar>
        <w:tblLook w:val="01E0"/>
      </w:tblPr>
      <w:tblGrid>
        <w:gridCol w:w="3684"/>
        <w:gridCol w:w="3210"/>
        <w:gridCol w:w="1744"/>
      </w:tblGrid>
      <w:tr>
        <w:trPr>
          <w:trHeight w:val="498" w:hRule="exact"/>
        </w:trPr>
        <w:tc>
          <w:tcPr>
            <w:tcW w:w="3684"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49.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营业外支出</w:t>
            </w:r>
          </w:p>
        </w:tc>
        <w:tc>
          <w:tcPr>
            <w:tcW w:w="4954"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68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21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7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4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7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368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非流动资产处置损失</w:t>
            </w:r>
          </w:p>
        </w:tc>
        <w:tc>
          <w:tcPr>
            <w:tcW w:w="321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16"/>
              <w:jc w:val="right"/>
              <w:rPr>
                <w:rFonts w:ascii="Times New Roman" w:hAnsi="Times New Roman" w:cs="Times New Roman" w:eastAsia="Times New Roman" w:hint="default"/>
                <w:sz w:val="18"/>
                <w:szCs w:val="18"/>
              </w:rPr>
            </w:pPr>
            <w:r>
              <w:rPr>
                <w:rFonts w:ascii="Times New Roman"/>
                <w:spacing w:val="-1"/>
                <w:sz w:val="18"/>
              </w:rPr>
              <w:t>1,352,322.26</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33,012,083.69</w:t>
            </w:r>
          </w:p>
        </w:tc>
      </w:tr>
      <w:tr>
        <w:trPr>
          <w:trHeight w:val="283"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其中：固定资产处置损失</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16"/>
              <w:jc w:val="right"/>
              <w:rPr>
                <w:rFonts w:ascii="Times New Roman" w:hAnsi="Times New Roman" w:cs="Times New Roman" w:eastAsia="Times New Roman" w:hint="default"/>
                <w:sz w:val="18"/>
                <w:szCs w:val="18"/>
              </w:rPr>
            </w:pPr>
            <w:r>
              <w:rPr>
                <w:rFonts w:ascii="Times New Roman"/>
                <w:spacing w:val="-1"/>
                <w:sz w:val="18"/>
              </w:rPr>
              <w:t>1,352,322.26</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33,012,083.69</w:t>
            </w:r>
          </w:p>
        </w:tc>
      </w:tr>
      <w:tr>
        <w:trPr>
          <w:trHeight w:val="283"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对外捐赠</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16"/>
              <w:jc w:val="right"/>
              <w:rPr>
                <w:rFonts w:ascii="Times New Roman" w:hAnsi="Times New Roman" w:cs="Times New Roman" w:eastAsia="Times New Roman" w:hint="default"/>
                <w:sz w:val="18"/>
                <w:szCs w:val="18"/>
              </w:rPr>
            </w:pPr>
            <w:r>
              <w:rPr>
                <w:rFonts w:ascii="Times New Roman"/>
                <w:spacing w:val="-1"/>
                <w:sz w:val="18"/>
              </w:rPr>
              <w:t>70,432,271.51</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3,652,168.70</w:t>
            </w:r>
          </w:p>
        </w:tc>
      </w:tr>
      <w:tr>
        <w:trPr>
          <w:trHeight w:val="283" w:hRule="exact"/>
        </w:trPr>
        <w:tc>
          <w:tcPr>
            <w:tcW w:w="3684"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盘亏损失</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16"/>
              <w:jc w:val="right"/>
              <w:rPr>
                <w:rFonts w:ascii="Times New Roman" w:hAnsi="Times New Roman" w:cs="Times New Roman" w:eastAsia="Times New Roman" w:hint="default"/>
                <w:sz w:val="18"/>
                <w:szCs w:val="18"/>
              </w:rPr>
            </w:pPr>
            <w:r>
              <w:rPr>
                <w:rFonts w:ascii="Times New Roman"/>
                <w:sz w:val="18"/>
              </w:rPr>
              <w:t>0.00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8" w:hRule="exact"/>
        </w:trPr>
        <w:tc>
          <w:tcPr>
            <w:tcW w:w="3684" w:type="dxa"/>
            <w:tcBorders>
              <w:top w:val="nil" w:sz="6" w:space="0" w:color="auto"/>
              <w:left w:val="nil" w:sz="6" w:space="0" w:color="auto"/>
              <w:bottom w:val="single" w:sz="4" w:space="0" w:color="000000"/>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321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516"/>
              <w:jc w:val="right"/>
              <w:rPr>
                <w:rFonts w:ascii="Times New Roman" w:hAnsi="Times New Roman" w:cs="Times New Roman" w:eastAsia="Times New Roman" w:hint="default"/>
                <w:sz w:val="18"/>
                <w:szCs w:val="18"/>
              </w:rPr>
            </w:pPr>
            <w:r>
              <w:rPr>
                <w:rFonts w:ascii="Times New Roman"/>
                <w:spacing w:val="-1"/>
                <w:sz w:val="18"/>
              </w:rPr>
              <w:t>10,221,166.79</w:t>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15,851,358.84</w:t>
            </w:r>
          </w:p>
        </w:tc>
      </w:tr>
      <w:tr>
        <w:trPr>
          <w:trHeight w:val="303" w:hRule="exact"/>
        </w:trPr>
        <w:tc>
          <w:tcPr>
            <w:tcW w:w="3684"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16"/>
              <w:jc w:val="right"/>
              <w:rPr>
                <w:rFonts w:ascii="Times New Roman" w:hAnsi="Times New Roman" w:cs="Times New Roman" w:eastAsia="Times New Roman" w:hint="default"/>
                <w:sz w:val="18"/>
                <w:szCs w:val="18"/>
              </w:rPr>
            </w:pPr>
            <w:r>
              <w:rPr>
                <w:rFonts w:ascii="Times New Roman"/>
                <w:b/>
                <w:spacing w:val="-1"/>
                <w:sz w:val="18"/>
              </w:rPr>
              <w:t>82,005,760.56</w:t>
            </w:r>
            <w:r>
              <w:rPr>
                <w:rFonts w:ascii="Times New Roman"/>
                <w:spacing w:val="-1"/>
                <w:sz w:val="18"/>
              </w:rPr>
            </w:r>
          </w:p>
        </w:tc>
        <w:tc>
          <w:tcPr>
            <w:tcW w:w="17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52,515,611.23</w:t>
            </w:r>
            <w:r>
              <w:rPr>
                <w:rFonts w:ascii="Times New Roman"/>
                <w:spacing w:val="-1"/>
                <w:sz w:val="18"/>
              </w:rPr>
            </w:r>
          </w:p>
        </w:tc>
      </w:tr>
      <w:tr>
        <w:trPr>
          <w:trHeight w:val="576" w:hRule="exact"/>
        </w:trPr>
        <w:tc>
          <w:tcPr>
            <w:tcW w:w="36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50.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所得税费用</w:t>
            </w:r>
          </w:p>
        </w:tc>
        <w:tc>
          <w:tcPr>
            <w:tcW w:w="3210" w:type="dxa"/>
            <w:tcBorders>
              <w:top w:val="single" w:sz="12" w:space="0" w:color="000000"/>
              <w:left w:val="nil" w:sz="6" w:space="0" w:color="auto"/>
              <w:bottom w:val="single" w:sz="12" w:space="0" w:color="000000"/>
              <w:right w:val="nil" w:sz="6" w:space="0" w:color="auto"/>
            </w:tcBorders>
          </w:tcPr>
          <w:p>
            <w:pPr/>
          </w:p>
        </w:tc>
        <w:tc>
          <w:tcPr>
            <w:tcW w:w="174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368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21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7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4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7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368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当期所得税</w:t>
            </w:r>
          </w:p>
        </w:tc>
        <w:tc>
          <w:tcPr>
            <w:tcW w:w="321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17"/>
              <w:jc w:val="right"/>
              <w:rPr>
                <w:rFonts w:ascii="Times New Roman" w:hAnsi="Times New Roman" w:cs="Times New Roman" w:eastAsia="Times New Roman" w:hint="default"/>
                <w:sz w:val="18"/>
                <w:szCs w:val="18"/>
              </w:rPr>
            </w:pPr>
            <w:r>
              <w:rPr>
                <w:rFonts w:ascii="Times New Roman"/>
                <w:spacing w:val="-1"/>
                <w:sz w:val="18"/>
              </w:rPr>
              <w:t>89,595,939.48</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121,133,264.15</w:t>
            </w:r>
          </w:p>
        </w:tc>
      </w:tr>
      <w:tr>
        <w:trPr>
          <w:trHeight w:val="289" w:hRule="exact"/>
        </w:trPr>
        <w:tc>
          <w:tcPr>
            <w:tcW w:w="3684"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递延所得税</w:t>
            </w:r>
          </w:p>
        </w:tc>
        <w:tc>
          <w:tcPr>
            <w:tcW w:w="321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16"/>
              <w:jc w:val="right"/>
              <w:rPr>
                <w:rFonts w:ascii="Times New Roman" w:hAnsi="Times New Roman" w:cs="Times New Roman" w:eastAsia="Times New Roman" w:hint="default"/>
                <w:sz w:val="18"/>
                <w:szCs w:val="18"/>
              </w:rPr>
            </w:pPr>
            <w:r>
              <w:rPr>
                <w:rFonts w:ascii="Times New Roman"/>
                <w:spacing w:val="-1"/>
                <w:sz w:val="18"/>
              </w:rPr>
              <w:t>-19,749,541.97</w:t>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-40,808,607.45</w:t>
            </w:r>
          </w:p>
        </w:tc>
      </w:tr>
      <w:tr>
        <w:trPr>
          <w:trHeight w:val="303" w:hRule="exact"/>
        </w:trPr>
        <w:tc>
          <w:tcPr>
            <w:tcW w:w="3684"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17"/>
              <w:jc w:val="right"/>
              <w:rPr>
                <w:rFonts w:ascii="Times New Roman" w:hAnsi="Times New Roman" w:cs="Times New Roman" w:eastAsia="Times New Roman" w:hint="default"/>
                <w:sz w:val="18"/>
                <w:szCs w:val="18"/>
              </w:rPr>
            </w:pPr>
            <w:r>
              <w:rPr>
                <w:rFonts w:ascii="Times New Roman"/>
                <w:b/>
                <w:spacing w:val="-1"/>
                <w:sz w:val="18"/>
              </w:rPr>
              <w:t>69,846,397.51</w:t>
            </w:r>
            <w:r>
              <w:rPr>
                <w:rFonts w:ascii="Times New Roman"/>
                <w:spacing w:val="-1"/>
                <w:sz w:val="18"/>
              </w:rPr>
            </w:r>
          </w:p>
        </w:tc>
        <w:tc>
          <w:tcPr>
            <w:tcW w:w="17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80,324,656.70</w:t>
            </w:r>
            <w:r>
              <w:rPr>
                <w:rFonts w:ascii="Times New Roman"/>
                <w:spacing w:val="-1"/>
                <w:sz w:val="18"/>
              </w:rPr>
            </w:r>
          </w:p>
        </w:tc>
      </w:tr>
    </w:tbl>
    <w:p>
      <w:pPr>
        <w:spacing w:before="79"/>
        <w:ind w:left="578"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51.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基本每股收益和稀释每股收益的计算过程</w:t>
      </w:r>
    </w:p>
    <w:p>
      <w:pPr>
        <w:spacing w:before="163"/>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楷体" w:hAnsi="楷体" w:cs="楷体" w:eastAsia="楷体" w:hint="default"/>
          <w:sz w:val="22"/>
          <w:szCs w:val="22"/>
        </w:rPr>
        <w:t>因资本公积转增股本重新计算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28"/>
          <w:sz w:val="22"/>
          <w:szCs w:val="22"/>
        </w:rPr>
        <w:t> </w:t>
      </w:r>
      <w:r>
        <w:rPr>
          <w:rFonts w:ascii="楷体" w:hAnsi="楷体" w:cs="楷体" w:eastAsia="楷体" w:hint="default"/>
          <w:sz w:val="22"/>
          <w:szCs w:val="22"/>
        </w:rPr>
        <w:t>年度每股收益</w:t>
      </w:r>
    </w:p>
    <w:p>
      <w:pPr>
        <w:spacing w:after="0"/>
        <w:jc w:val="left"/>
        <w:rPr>
          <w:rFonts w:ascii="楷体" w:hAnsi="楷体" w:cs="楷体" w:eastAsia="楷体" w:hint="default"/>
          <w:sz w:val="22"/>
          <w:szCs w:val="22"/>
        </w:rPr>
        <w:sectPr>
          <w:type w:val="continuous"/>
          <w:pgSz w:w="11910" w:h="16840"/>
          <w:pgMar w:top="1600" w:bottom="280" w:left="1280" w:right="1140"/>
        </w:sectPr>
      </w:pPr>
    </w:p>
    <w:p>
      <w:pPr>
        <w:spacing w:line="240" w:lineRule="auto" w:before="1"/>
        <w:rPr>
          <w:rFonts w:ascii="楷体" w:hAnsi="楷体" w:cs="楷体" w:eastAsia="楷体" w:hint="default"/>
          <w:sz w:val="3"/>
          <w:szCs w:val="3"/>
        </w:rPr>
      </w:pPr>
    </w:p>
    <w:tbl>
      <w:tblPr>
        <w:tblW w:w="0" w:type="auto"/>
        <w:jc w:val="left"/>
        <w:tblInd w:w="416" w:type="dxa"/>
        <w:tblLayout w:type="fixed"/>
        <w:tblCellMar>
          <w:top w:w="0" w:type="dxa"/>
          <w:left w:w="0" w:type="dxa"/>
          <w:bottom w:w="0" w:type="dxa"/>
          <w:right w:w="0" w:type="dxa"/>
        </w:tblCellMar>
        <w:tblLook w:val="01E0"/>
      </w:tblPr>
      <w:tblGrid>
        <w:gridCol w:w="3115"/>
        <w:gridCol w:w="2317"/>
        <w:gridCol w:w="2549"/>
        <w:gridCol w:w="657"/>
      </w:tblGrid>
      <w:tr>
        <w:trPr>
          <w:trHeight w:val="247" w:hRule="exact"/>
        </w:trPr>
        <w:tc>
          <w:tcPr>
            <w:tcW w:w="3115" w:type="dxa"/>
            <w:tcBorders>
              <w:top w:val="nil" w:sz="6" w:space="0" w:color="auto"/>
              <w:left w:val="nil" w:sz="6" w:space="0" w:color="auto"/>
              <w:bottom w:val="single" w:sz="4" w:space="0" w:color="000000"/>
              <w:right w:val="nil" w:sz="6" w:space="0" w:color="auto"/>
            </w:tcBorders>
          </w:tcPr>
          <w:p>
            <w:pPr>
              <w:pStyle w:val="TableParagraph"/>
              <w:spacing w:line="20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17" w:type="dxa"/>
            <w:tcBorders>
              <w:top w:val="nil" w:sz="6" w:space="0" w:color="auto"/>
              <w:left w:val="nil" w:sz="6" w:space="0" w:color="auto"/>
              <w:bottom w:val="single" w:sz="4" w:space="0" w:color="000000"/>
              <w:right w:val="nil" w:sz="6" w:space="0" w:color="auto"/>
            </w:tcBorders>
          </w:tcPr>
          <w:p>
            <w:pPr>
              <w:pStyle w:val="TableParagraph"/>
              <w:spacing w:line="206" w:lineRule="exact"/>
              <w:ind w:left="6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2549" w:type="dxa"/>
            <w:tcBorders>
              <w:top w:val="nil" w:sz="6" w:space="0" w:color="auto"/>
              <w:left w:val="nil" w:sz="6" w:space="0" w:color="auto"/>
              <w:bottom w:val="single" w:sz="4" w:space="0" w:color="000000"/>
              <w:right w:val="nil" w:sz="6" w:space="0" w:color="auto"/>
            </w:tcBorders>
          </w:tcPr>
          <w:p>
            <w:pPr>
              <w:pStyle w:val="TableParagraph"/>
              <w:spacing w:line="206" w:lineRule="exact"/>
              <w:ind w:left="1148"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657" w:type="dxa"/>
            <w:tcBorders>
              <w:top w:val="nil" w:sz="6" w:space="0" w:color="auto"/>
              <w:left w:val="nil" w:sz="6" w:space="0" w:color="auto"/>
              <w:bottom w:val="single" w:sz="4" w:space="0" w:color="000000"/>
              <w:right w:val="nil" w:sz="6" w:space="0" w:color="auto"/>
            </w:tcBorders>
          </w:tcPr>
          <w:p>
            <w:pPr>
              <w:pStyle w:val="TableParagraph"/>
              <w:spacing w:line="206" w:lineRule="exact"/>
              <w:ind w:left="1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注释</w:t>
            </w:r>
            <w:r>
              <w:rPr>
                <w:rFonts w:ascii="Microsoft JhengHei" w:hAnsi="Microsoft JhengHei" w:cs="Microsoft JhengHei" w:eastAsia="Microsoft JhengHei" w:hint="default"/>
                <w:sz w:val="18"/>
                <w:szCs w:val="18"/>
              </w:rPr>
            </w:r>
          </w:p>
        </w:tc>
      </w:tr>
      <w:tr>
        <w:trPr>
          <w:trHeight w:val="287" w:hRule="exact"/>
        </w:trPr>
        <w:tc>
          <w:tcPr>
            <w:tcW w:w="311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归属于母公司股东的净利润</w:t>
            </w:r>
          </w:p>
        </w:tc>
        <w:tc>
          <w:tcPr>
            <w:tcW w:w="231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666" w:right="0"/>
              <w:jc w:val="left"/>
              <w:rPr>
                <w:rFonts w:ascii="Times New Roman" w:hAnsi="Times New Roman" w:cs="Times New Roman" w:eastAsia="Times New Roman" w:hint="default"/>
                <w:sz w:val="18"/>
                <w:szCs w:val="18"/>
              </w:rPr>
            </w:pPr>
            <w:r>
              <w:rPr>
                <w:rFonts w:ascii="Times New Roman"/>
                <w:sz w:val="18"/>
              </w:rPr>
              <w:t>1</w:t>
            </w:r>
          </w:p>
        </w:tc>
        <w:tc>
          <w:tcPr>
            <w:tcW w:w="254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151" w:right="0"/>
              <w:jc w:val="center"/>
              <w:rPr>
                <w:rFonts w:ascii="Times New Roman" w:hAnsi="Times New Roman" w:cs="Times New Roman" w:eastAsia="Times New Roman" w:hint="default"/>
                <w:sz w:val="18"/>
                <w:szCs w:val="18"/>
              </w:rPr>
            </w:pPr>
            <w:r>
              <w:rPr>
                <w:rFonts w:ascii="Times New Roman"/>
                <w:sz w:val="18"/>
              </w:rPr>
              <w:t>440,749,878.14</w:t>
            </w:r>
          </w:p>
        </w:tc>
        <w:tc>
          <w:tcPr>
            <w:tcW w:w="657" w:type="dxa"/>
            <w:tcBorders>
              <w:top w:val="single" w:sz="4" w:space="0" w:color="000000"/>
              <w:left w:val="nil" w:sz="6" w:space="0" w:color="auto"/>
              <w:bottom w:val="nil" w:sz="6" w:space="0" w:color="auto"/>
              <w:right w:val="nil" w:sz="6" w:space="0" w:color="auto"/>
            </w:tcBorders>
          </w:tcPr>
          <w:p>
            <w:pPr/>
          </w:p>
        </w:tc>
      </w:tr>
      <w:tr>
        <w:trPr>
          <w:trHeight w:val="24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归属于母公司的非经常性损益</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66" w:right="0"/>
              <w:jc w:val="left"/>
              <w:rPr>
                <w:rFonts w:ascii="Times New Roman" w:hAnsi="Times New Roman" w:cs="Times New Roman" w:eastAsia="Times New Roman" w:hint="default"/>
                <w:sz w:val="18"/>
                <w:szCs w:val="18"/>
              </w:rPr>
            </w:pPr>
            <w:r>
              <w:rPr>
                <w:rFonts w:ascii="Times New Roman"/>
                <w:sz w:val="18"/>
              </w:rPr>
              <w:t>2</w:t>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51" w:right="0"/>
              <w:jc w:val="center"/>
              <w:rPr>
                <w:rFonts w:ascii="Times New Roman" w:hAnsi="Times New Roman" w:cs="Times New Roman" w:eastAsia="Times New Roman" w:hint="default"/>
                <w:sz w:val="18"/>
                <w:szCs w:val="18"/>
              </w:rPr>
            </w:pPr>
            <w:r>
              <w:rPr>
                <w:rFonts w:ascii="Times New Roman"/>
                <w:sz w:val="18"/>
              </w:rPr>
              <w:t>210,454,202.20</w:t>
            </w:r>
          </w:p>
        </w:tc>
        <w:tc>
          <w:tcPr>
            <w:tcW w:w="657" w:type="dxa"/>
            <w:tcBorders>
              <w:top w:val="nil" w:sz="6" w:space="0" w:color="auto"/>
              <w:left w:val="nil" w:sz="6" w:space="0" w:color="auto"/>
              <w:bottom w:val="nil" w:sz="6" w:space="0" w:color="auto"/>
              <w:right w:val="nil" w:sz="6" w:space="0" w:color="auto"/>
            </w:tcBorders>
          </w:tcPr>
          <w:p>
            <w:pPr/>
          </w:p>
        </w:tc>
      </w:tr>
    </w:tbl>
    <w:p>
      <w:pPr>
        <w:spacing w:line="173" w:lineRule="exact" w:before="0"/>
        <w:ind w:left="524" w:right="2246" w:firstLine="0"/>
        <w:jc w:val="left"/>
        <w:rPr>
          <w:rFonts w:ascii="楷体" w:hAnsi="楷体" w:cs="楷体" w:eastAsia="楷体" w:hint="default"/>
          <w:sz w:val="18"/>
          <w:szCs w:val="18"/>
        </w:rPr>
      </w:pPr>
      <w:r>
        <w:rPr>
          <w:rFonts w:ascii="楷体" w:hAnsi="楷体" w:cs="楷体" w:eastAsia="楷体" w:hint="default"/>
          <w:sz w:val="18"/>
          <w:szCs w:val="18"/>
        </w:rPr>
        <w:t>归属于母公司股东、扣除非经常性损益后的</w:t>
      </w:r>
    </w:p>
    <w:p>
      <w:pPr>
        <w:tabs>
          <w:tab w:pos="4197" w:val="left" w:leader="none"/>
          <w:tab w:pos="7135" w:val="left" w:leader="none"/>
        </w:tabs>
        <w:spacing w:line="246" w:lineRule="exact" w:before="0"/>
        <w:ind w:left="524" w:right="0" w:firstLine="0"/>
        <w:jc w:val="left"/>
        <w:rPr>
          <w:rFonts w:ascii="Times New Roman" w:hAnsi="Times New Roman" w:cs="Times New Roman" w:eastAsia="Times New Roman" w:hint="default"/>
          <w:sz w:val="18"/>
          <w:szCs w:val="18"/>
        </w:rPr>
      </w:pPr>
      <w:r>
        <w:rPr>
          <w:rFonts w:ascii="楷体" w:hAnsi="楷体" w:cs="楷体" w:eastAsia="楷体" w:hint="default"/>
          <w:position w:val="-9"/>
          <w:sz w:val="18"/>
          <w:szCs w:val="18"/>
        </w:rPr>
        <w:t>净利润</w:t>
        <w:tab/>
      </w:r>
      <w:r>
        <w:rPr>
          <w:rFonts w:ascii="Times New Roman" w:hAnsi="Times New Roman" w:cs="Times New Roman" w:eastAsia="Times New Roman" w:hint="default"/>
          <w:sz w:val="18"/>
          <w:szCs w:val="18"/>
        </w:rPr>
        <w:t>3=1-2</w:t>
        <w:tab/>
        <w:t>230,295,675.94</w:t>
      </w:r>
    </w:p>
    <w:p>
      <w:pPr>
        <w:tabs>
          <w:tab w:pos="4197" w:val="left" w:leader="none"/>
          <w:tab w:pos="7358" w:val="left" w:leader="none"/>
          <w:tab w:pos="8557" w:val="left" w:leader="none"/>
        </w:tabs>
        <w:spacing w:line="245" w:lineRule="exact" w:before="6"/>
        <w:ind w:left="524" w:right="0" w:firstLine="0"/>
        <w:jc w:val="left"/>
        <w:rPr>
          <w:rFonts w:ascii="Times New Roman" w:hAnsi="Times New Roman" w:cs="Times New Roman" w:eastAsia="Times New Roman" w:hint="default"/>
          <w:sz w:val="18"/>
          <w:szCs w:val="18"/>
        </w:rPr>
      </w:pPr>
      <w:r>
        <w:rPr>
          <w:rFonts w:ascii="楷体" w:hAnsi="楷体" w:cs="楷体" w:eastAsia="楷体" w:hint="default"/>
          <w:sz w:val="18"/>
          <w:szCs w:val="18"/>
        </w:rPr>
        <w:t>期初股份总数</w:t>
        <w:tab/>
      </w:r>
      <w:r>
        <w:rPr>
          <w:rFonts w:ascii="Times New Roman" w:hAnsi="Times New Roman" w:cs="Times New Roman" w:eastAsia="Times New Roman" w:hint="default"/>
          <w:sz w:val="18"/>
          <w:szCs w:val="18"/>
        </w:rPr>
        <w:t>4</w:t>
        <w:tab/>
        <w:t>746,995,984</w:t>
        <w:tab/>
      </w:r>
      <w:r>
        <w:rPr>
          <w:rFonts w:ascii="楷体" w:hAnsi="楷体" w:cs="楷体" w:eastAsia="楷体" w:hint="default"/>
          <w:sz w:val="18"/>
          <w:szCs w:val="18"/>
        </w:rPr>
        <w:t>注</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1</w:t>
      </w:r>
    </w:p>
    <w:p>
      <w:pPr>
        <w:spacing w:line="185" w:lineRule="exact" w:before="0"/>
        <w:ind w:left="524" w:right="2246" w:firstLine="0"/>
        <w:jc w:val="left"/>
        <w:rPr>
          <w:rFonts w:ascii="楷体" w:hAnsi="楷体" w:cs="楷体" w:eastAsia="楷体" w:hint="default"/>
          <w:sz w:val="18"/>
          <w:szCs w:val="18"/>
        </w:rPr>
      </w:pPr>
      <w:r>
        <w:rPr>
          <w:rFonts w:ascii="楷体" w:hAnsi="楷体" w:cs="楷体" w:eastAsia="楷体" w:hint="default"/>
          <w:sz w:val="18"/>
          <w:szCs w:val="18"/>
        </w:rPr>
        <w:t>公积金转增股本或股票股利分配等增加股份</w:t>
      </w:r>
    </w:p>
    <w:p>
      <w:pPr>
        <w:tabs>
          <w:tab w:pos="4198" w:val="left" w:leader="none"/>
          <w:tab w:pos="7944" w:val="left" w:leader="none"/>
        </w:tabs>
        <w:spacing w:line="246" w:lineRule="exact" w:before="0"/>
        <w:ind w:left="524" w:right="0" w:firstLine="0"/>
        <w:jc w:val="left"/>
        <w:rPr>
          <w:rFonts w:ascii="Times New Roman" w:hAnsi="Times New Roman" w:cs="Times New Roman" w:eastAsia="Times New Roman" w:hint="default"/>
          <w:sz w:val="18"/>
          <w:szCs w:val="18"/>
        </w:rPr>
      </w:pPr>
      <w:r>
        <w:rPr>
          <w:rFonts w:ascii="楷体" w:hAnsi="楷体" w:cs="楷体" w:eastAsia="楷体" w:hint="default"/>
          <w:position w:val="-9"/>
          <w:sz w:val="18"/>
          <w:szCs w:val="18"/>
        </w:rPr>
        <w:t>数（Ⅰ）</w:t>
        <w:tab/>
      </w:r>
      <w:r>
        <w:rPr>
          <w:rFonts w:ascii="Times New Roman" w:hAnsi="Times New Roman" w:cs="Times New Roman" w:eastAsia="Times New Roman" w:hint="default"/>
          <w:sz w:val="18"/>
          <w:szCs w:val="18"/>
        </w:rPr>
        <w:t>5</w:t>
        <w:tab/>
        <w:t>0.00</w:t>
      </w:r>
    </w:p>
    <w:p>
      <w:pPr>
        <w:tabs>
          <w:tab w:pos="4198" w:val="left" w:leader="none"/>
          <w:tab w:pos="7448" w:val="left" w:leader="none"/>
          <w:tab w:pos="8557" w:val="left" w:leader="none"/>
        </w:tabs>
        <w:spacing w:line="246" w:lineRule="exact" w:before="6"/>
        <w:ind w:left="524" w:right="0" w:firstLine="0"/>
        <w:jc w:val="left"/>
        <w:rPr>
          <w:rFonts w:ascii="Times New Roman" w:hAnsi="Times New Roman" w:cs="Times New Roman" w:eastAsia="Times New Roman" w:hint="default"/>
          <w:sz w:val="18"/>
          <w:szCs w:val="18"/>
        </w:rPr>
      </w:pPr>
      <w:r>
        <w:rPr>
          <w:rFonts w:ascii="楷体" w:hAnsi="楷体" w:cs="楷体" w:eastAsia="楷体" w:hint="default"/>
          <w:sz w:val="18"/>
          <w:szCs w:val="18"/>
        </w:rPr>
        <w:t>发行新股或债转股等增加股份数（Ⅱ）</w:t>
        <w:tab/>
      </w:r>
      <w:r>
        <w:rPr>
          <w:rFonts w:ascii="Times New Roman" w:hAnsi="Times New Roman" w:cs="Times New Roman" w:eastAsia="Times New Roman" w:hint="default"/>
          <w:sz w:val="18"/>
          <w:szCs w:val="18"/>
        </w:rPr>
        <w:t>6</w:t>
        <w:tab/>
        <w:t>70,200,000</w:t>
        <w:tab/>
      </w:r>
      <w:r>
        <w:rPr>
          <w:rFonts w:ascii="楷体" w:hAnsi="楷体" w:cs="楷体" w:eastAsia="楷体" w:hint="default"/>
          <w:sz w:val="18"/>
          <w:szCs w:val="18"/>
        </w:rPr>
        <w:t>注</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2</w:t>
      </w:r>
    </w:p>
    <w:p>
      <w:pPr>
        <w:spacing w:line="162" w:lineRule="exact" w:before="0"/>
        <w:ind w:left="525" w:right="2246" w:firstLine="0"/>
        <w:jc w:val="left"/>
        <w:rPr>
          <w:rFonts w:ascii="楷体" w:hAnsi="楷体" w:cs="楷体" w:eastAsia="楷体" w:hint="default"/>
          <w:sz w:val="18"/>
          <w:szCs w:val="18"/>
        </w:rPr>
      </w:pPr>
      <w:r>
        <w:rPr>
          <w:rFonts w:ascii="楷体" w:hAnsi="楷体" w:cs="楷体" w:eastAsia="楷体" w:hint="default"/>
          <w:sz w:val="18"/>
          <w:szCs w:val="18"/>
        </w:rPr>
        <w:t>增加股份（Ⅱ）下一月份起至报告期期末的</w:t>
      </w:r>
    </w:p>
    <w:p>
      <w:pPr>
        <w:tabs>
          <w:tab w:pos="7944" w:val="left" w:leader="none"/>
        </w:tabs>
        <w:spacing w:line="184" w:lineRule="exact" w:before="0"/>
        <w:ind w:left="4198" w:right="0" w:firstLine="0"/>
        <w:jc w:val="left"/>
        <w:rPr>
          <w:rFonts w:ascii="Times New Roman" w:hAnsi="Times New Roman" w:cs="Times New Roman" w:eastAsia="Times New Roman" w:hint="default"/>
          <w:sz w:val="18"/>
          <w:szCs w:val="18"/>
        </w:rPr>
      </w:pPr>
      <w:r>
        <w:rPr/>
        <w:pict>
          <v:shape style="position:absolute;margin-left:84.120003pt;margin-top:4.484688pt;width:433pt;height:181.85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69"/>
                    <w:gridCol w:w="3051"/>
                    <w:gridCol w:w="1939"/>
                  </w:tblGrid>
                  <w:tr>
                    <w:trPr>
                      <w:trHeight w:val="478"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180" w:lineRule="exact"/>
                          <w:ind w:left="122" w:right="0"/>
                          <w:jc w:val="left"/>
                          <w:rPr>
                            <w:rFonts w:ascii="楷体" w:hAnsi="楷体" w:cs="楷体" w:eastAsia="楷体" w:hint="default"/>
                            <w:sz w:val="18"/>
                            <w:szCs w:val="18"/>
                          </w:rPr>
                        </w:pPr>
                        <w:r>
                          <w:rPr>
                            <w:rFonts w:ascii="楷体" w:hAnsi="楷体" w:cs="楷体" w:eastAsia="楷体" w:hint="default"/>
                            <w:sz w:val="18"/>
                            <w:szCs w:val="18"/>
                          </w:rPr>
                          <w:t>月份数</w:t>
                        </w:r>
                      </w:p>
                      <w:p>
                        <w:pPr>
                          <w:pStyle w:val="TableParagraph"/>
                          <w:spacing w:line="240" w:lineRule="auto" w:before="5"/>
                          <w:ind w:left="122" w:right="0"/>
                          <w:jc w:val="left"/>
                          <w:rPr>
                            <w:rFonts w:ascii="楷体" w:hAnsi="楷体" w:cs="楷体" w:eastAsia="楷体" w:hint="default"/>
                            <w:sz w:val="18"/>
                            <w:szCs w:val="18"/>
                          </w:rPr>
                        </w:pPr>
                        <w:r>
                          <w:rPr>
                            <w:rFonts w:ascii="楷体" w:hAnsi="楷体" w:cs="楷体" w:eastAsia="楷体" w:hint="default"/>
                            <w:sz w:val="18"/>
                            <w:szCs w:val="18"/>
                          </w:rPr>
                          <w:t>报告期因回购或缩股等减少股份数</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楷体" w:hAnsi="楷体" w:cs="楷体" w:eastAsia="楷体" w:hint="default"/>
                            <w:sz w:val="17"/>
                            <w:szCs w:val="17"/>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8</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楷体" w:hAnsi="楷体" w:cs="楷体" w:eastAsia="楷体" w:hint="default"/>
                            <w:sz w:val="17"/>
                            <w:szCs w:val="17"/>
                          </w:rPr>
                        </w:pPr>
                      </w:p>
                      <w:p>
                        <w:pPr>
                          <w:pStyle w:val="TableParagraph"/>
                          <w:spacing w:line="240" w:lineRule="auto"/>
                          <w:ind w:right="7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减少股份下一月份起至报告期期末的月份数</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 w:right="0"/>
                          <w:jc w:val="left"/>
                          <w:rPr>
                            <w:rFonts w:ascii="Times New Roman" w:hAnsi="Times New Roman" w:cs="Times New Roman" w:eastAsia="Times New Roman" w:hint="default"/>
                            <w:sz w:val="18"/>
                            <w:szCs w:val="18"/>
                          </w:rPr>
                        </w:pPr>
                        <w:r>
                          <w:rPr>
                            <w:rFonts w:ascii="Times New Roman"/>
                            <w:sz w:val="18"/>
                          </w:rPr>
                          <w:t>9</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报告期月份数</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 w:right="0"/>
                          <w:jc w:val="left"/>
                          <w:rPr>
                            <w:rFonts w:ascii="Times New Roman" w:hAnsi="Times New Roman" w:cs="Times New Roman" w:eastAsia="Times New Roman" w:hint="default"/>
                            <w:sz w:val="18"/>
                            <w:szCs w:val="18"/>
                          </w:rPr>
                        </w:pPr>
                        <w:r>
                          <w:rPr>
                            <w:rFonts w:ascii="Times New Roman"/>
                            <w:sz w:val="18"/>
                          </w:rPr>
                          <w:t>10</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sz w:val="18"/>
                          </w:rPr>
                          <w:t>12.00</w:t>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26" w:lineRule="exact"/>
                          <w:ind w:left="122" w:right="0"/>
                          <w:jc w:val="left"/>
                          <w:rPr>
                            <w:rFonts w:ascii="楷体" w:hAnsi="楷体" w:cs="楷体" w:eastAsia="楷体" w:hint="default"/>
                            <w:sz w:val="18"/>
                            <w:szCs w:val="18"/>
                          </w:rPr>
                        </w:pPr>
                        <w:r>
                          <w:rPr>
                            <w:rFonts w:ascii="楷体" w:hAnsi="楷体" w:cs="楷体" w:eastAsia="楷体" w:hint="default"/>
                            <w:sz w:val="18"/>
                            <w:szCs w:val="18"/>
                          </w:rPr>
                          <w:t>发行在外的普通股加权平均数</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11=4+5+6×7÷10-8×9÷10</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99"/>
                          <w:jc w:val="right"/>
                          <w:rPr>
                            <w:rFonts w:ascii="Times New Roman" w:hAnsi="Times New Roman" w:cs="Times New Roman" w:eastAsia="Times New Roman" w:hint="default"/>
                            <w:sz w:val="18"/>
                            <w:szCs w:val="18"/>
                          </w:rPr>
                        </w:pPr>
                        <w:r>
                          <w:rPr>
                            <w:rFonts w:ascii="Times New Roman"/>
                            <w:sz w:val="18"/>
                          </w:rPr>
                          <w:t>776,245,984</w:t>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7"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基本每股收益（Ⅰ）</w:t>
                        </w:r>
                        <w:r>
                          <w:rPr>
                            <w:rFonts w:ascii="Microsoft JhengHei" w:hAnsi="Microsoft JhengHei" w:cs="Microsoft JhengHei" w:eastAsia="Microsoft JhengHei" w:hint="default"/>
                            <w:sz w:val="18"/>
                            <w:szCs w:val="18"/>
                          </w:rPr>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12=1÷11</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b/>
                            <w:sz w:val="18"/>
                          </w:rPr>
                          <w:t>0.57</w:t>
                        </w:r>
                        <w:r>
                          <w:rPr>
                            <w:rFonts w:ascii="Times New Roman"/>
                            <w:sz w:val="18"/>
                          </w:rPr>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7"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基本每股收益（Ⅱ）</w:t>
                        </w:r>
                        <w:r>
                          <w:rPr>
                            <w:rFonts w:ascii="Microsoft JhengHei" w:hAnsi="Microsoft JhengHei" w:cs="Microsoft JhengHei" w:eastAsia="Microsoft JhengHei" w:hint="default"/>
                            <w:sz w:val="18"/>
                            <w:szCs w:val="18"/>
                          </w:rPr>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13=3÷11</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b/>
                            <w:sz w:val="18"/>
                          </w:rPr>
                          <w:t>0.30</w:t>
                        </w:r>
                        <w:r>
                          <w:rPr>
                            <w:rFonts w:ascii="Times New Roman"/>
                            <w:sz w:val="18"/>
                          </w:rPr>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已确认为费用的稀释性潜在普通股利息</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 w:right="0"/>
                          <w:jc w:val="left"/>
                          <w:rPr>
                            <w:rFonts w:ascii="Times New Roman" w:hAnsi="Times New Roman" w:cs="Times New Roman" w:eastAsia="Times New Roman" w:hint="default"/>
                            <w:sz w:val="18"/>
                            <w:szCs w:val="18"/>
                          </w:rPr>
                        </w:pPr>
                        <w:r>
                          <w:rPr>
                            <w:rFonts w:ascii="Times New Roman"/>
                            <w:sz w:val="18"/>
                          </w:rPr>
                          <w:t>14</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转换费用</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 w:right="0"/>
                          <w:jc w:val="left"/>
                          <w:rPr>
                            <w:rFonts w:ascii="Times New Roman" w:hAnsi="Times New Roman" w:cs="Times New Roman" w:eastAsia="Times New Roman" w:hint="default"/>
                            <w:sz w:val="18"/>
                            <w:szCs w:val="18"/>
                          </w:rPr>
                        </w:pPr>
                        <w:r>
                          <w:rPr>
                            <w:rFonts w:ascii="Times New Roman"/>
                            <w:sz w:val="18"/>
                          </w:rPr>
                          <w:t>15</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楷体" w:hAnsi="楷体" w:cs="楷体" w:eastAsia="楷体" w:hint="default"/>
                            <w:sz w:val="18"/>
                            <w:szCs w:val="18"/>
                          </w:rPr>
                        </w:pPr>
                        <w:r>
                          <w:rPr>
                            <w:rFonts w:ascii="楷体" w:hAnsi="楷体" w:cs="楷体" w:eastAsia="楷体" w:hint="default"/>
                            <w:sz w:val="18"/>
                            <w:szCs w:val="18"/>
                          </w:rPr>
                          <w:t>所得税率</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 w:right="0"/>
                          <w:jc w:val="left"/>
                          <w:rPr>
                            <w:rFonts w:ascii="Times New Roman" w:hAnsi="Times New Roman" w:cs="Times New Roman" w:eastAsia="Times New Roman" w:hint="default"/>
                            <w:sz w:val="18"/>
                            <w:szCs w:val="18"/>
                          </w:rPr>
                        </w:pPr>
                        <w:r>
                          <w:rPr>
                            <w:rFonts w:ascii="Times New Roman"/>
                            <w:sz w:val="18"/>
                          </w:rPr>
                          <w:t>16</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26" w:lineRule="exact"/>
                          <w:ind w:left="122" w:right="0"/>
                          <w:jc w:val="left"/>
                          <w:rPr>
                            <w:rFonts w:ascii="楷体" w:hAnsi="楷体" w:cs="楷体" w:eastAsia="楷体" w:hint="default"/>
                            <w:sz w:val="18"/>
                            <w:szCs w:val="18"/>
                          </w:rPr>
                        </w:pPr>
                        <w:r>
                          <w:rPr>
                            <w:rFonts w:ascii="楷体" w:hAnsi="楷体" w:cs="楷体" w:eastAsia="楷体" w:hint="default"/>
                            <w:sz w:val="18"/>
                            <w:szCs w:val="18"/>
                          </w:rPr>
                          <w:t>认股权证、期权行权增加股份数</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6" w:right="0"/>
                          <w:jc w:val="left"/>
                          <w:rPr>
                            <w:rFonts w:ascii="Times New Roman" w:hAnsi="Times New Roman" w:cs="Times New Roman" w:eastAsia="Times New Roman" w:hint="default"/>
                            <w:sz w:val="18"/>
                            <w:szCs w:val="18"/>
                          </w:rPr>
                        </w:pPr>
                        <w:r>
                          <w:rPr>
                            <w:rFonts w:ascii="Times New Roman"/>
                            <w:sz w:val="18"/>
                          </w:rPr>
                          <w:t>17</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47"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稀释每股收益（Ⅰ）</w:t>
                        </w:r>
                        <w:r>
                          <w:rPr>
                            <w:rFonts w:ascii="Microsoft JhengHei" w:hAnsi="Microsoft JhengHei" w:cs="Microsoft JhengHei" w:eastAsia="Microsoft JhengHei" w:hint="default"/>
                            <w:sz w:val="18"/>
                            <w:szCs w:val="18"/>
                          </w:rPr>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18=[1+(14-15)×(100%-16)]÷(11+17)</w:t>
                        </w: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b/>
                            <w:sz w:val="18"/>
                          </w:rPr>
                          <w:t>0.57</w:t>
                        </w:r>
                        <w:r>
                          <w:rPr>
                            <w:rFonts w:ascii="Times New Roman"/>
                            <w:sz w:val="18"/>
                          </w:rPr>
                        </w:r>
                      </w:p>
                    </w:tc>
                  </w:tr>
                  <w:tr>
                    <w:trPr>
                      <w:trHeight w:val="300" w:hRule="exact"/>
                    </w:trPr>
                    <w:tc>
                      <w:tcPr>
                        <w:tcW w:w="3669" w:type="dxa"/>
                        <w:tcBorders>
                          <w:top w:val="nil" w:sz="6" w:space="0" w:color="auto"/>
                          <w:left w:val="nil" w:sz="6" w:space="0" w:color="auto"/>
                          <w:bottom w:val="single" w:sz="12" w:space="0" w:color="000000"/>
                          <w:right w:val="nil" w:sz="6" w:space="0" w:color="auto"/>
                        </w:tcBorders>
                      </w:tcPr>
                      <w:p>
                        <w:pPr>
                          <w:pStyle w:val="TableParagraph"/>
                          <w:spacing w:line="247"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稀释每股收益（Ⅱ）</w:t>
                        </w:r>
                        <w:r>
                          <w:rPr>
                            <w:rFonts w:ascii="Microsoft JhengHei" w:hAnsi="Microsoft JhengHei" w:cs="Microsoft JhengHei" w:eastAsia="Microsoft JhengHei" w:hint="default"/>
                            <w:sz w:val="18"/>
                            <w:szCs w:val="18"/>
                          </w:rPr>
                        </w:r>
                      </w:p>
                    </w:tc>
                    <w:tc>
                      <w:tcPr>
                        <w:tcW w:w="3051"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19=[3+(14-15)×(100%-16)]÷(11+17)</w:t>
                        </w:r>
                      </w:p>
                    </w:tc>
                    <w:tc>
                      <w:tcPr>
                        <w:tcW w:w="1939"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799"/>
                          <w:jc w:val="right"/>
                          <w:rPr>
                            <w:rFonts w:ascii="Times New Roman" w:hAnsi="Times New Roman" w:cs="Times New Roman" w:eastAsia="Times New Roman" w:hint="default"/>
                            <w:sz w:val="18"/>
                            <w:szCs w:val="18"/>
                          </w:rPr>
                        </w:pPr>
                        <w:r>
                          <w:rPr>
                            <w:rFonts w:ascii="Times New Roman"/>
                            <w:b/>
                            <w:sz w:val="18"/>
                          </w:rPr>
                          <w:t>0.30</w:t>
                        </w:r>
                        <w:r>
                          <w:rPr>
                            <w:rFonts w:ascii="Times New Roman"/>
                            <w:sz w:val="18"/>
                          </w:rPr>
                        </w:r>
                      </w:p>
                    </w:tc>
                  </w:tr>
                </w:tbl>
                <w:p>
                  <w:pPr/>
                </w:p>
              </w:txbxContent>
            </v:textbox>
            <w10:wrap type="none"/>
          </v:shape>
        </w:pict>
      </w:r>
      <w:r>
        <w:rPr>
          <w:rFonts w:ascii="Times New Roman"/>
          <w:sz w:val="18"/>
        </w:rPr>
        <w:t>7</w:t>
        <w:tab/>
        <w:t>5.00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2"/>
        <w:ind w:left="578" w:right="0" w:firstLine="0"/>
        <w:jc w:val="left"/>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1</w:t>
      </w:r>
      <w:r>
        <w:rPr>
          <w:rFonts w:ascii="楷体" w:hAnsi="楷体" w:cs="楷体" w:eastAsia="楷体" w:hint="default"/>
          <w:sz w:val="22"/>
          <w:szCs w:val="22"/>
        </w:rPr>
        <w:t>：</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年期初股份总数为</w:t>
      </w:r>
      <w:r>
        <w:rPr>
          <w:rFonts w:ascii="楷体" w:hAnsi="楷体" w:cs="楷体" w:eastAsia="楷体" w:hint="default"/>
          <w:spacing w:val="-50"/>
          <w:sz w:val="22"/>
          <w:szCs w:val="22"/>
        </w:rPr>
        <w:t> </w:t>
      </w:r>
      <w:r>
        <w:rPr>
          <w:rFonts w:ascii="Times New Roman" w:hAnsi="Times New Roman" w:cs="Times New Roman" w:eastAsia="Times New Roman" w:hint="default"/>
          <w:sz w:val="22"/>
          <w:szCs w:val="22"/>
        </w:rPr>
        <w:t>574,612,295</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股，由于公司在</w:t>
      </w:r>
      <w:r>
        <w:rPr>
          <w:rFonts w:ascii="楷体" w:hAnsi="楷体" w:cs="楷体" w:eastAsia="楷体" w:hint="default"/>
          <w:spacing w:val="-50"/>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年</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月</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日以资本公积按</w:t>
      </w:r>
    </w:p>
    <w:p>
      <w:pPr>
        <w:spacing w:before="85"/>
        <w:ind w:left="138" w:right="0" w:firstLine="0"/>
        <w:jc w:val="left"/>
        <w:rPr>
          <w:rFonts w:ascii="楷体" w:hAnsi="楷体" w:cs="楷体" w:eastAsia="楷体" w:hint="default"/>
          <w:sz w:val="22"/>
          <w:szCs w:val="22"/>
        </w:rPr>
      </w:pPr>
      <w:r>
        <w:rPr>
          <w:rFonts w:ascii="Times New Roman" w:hAnsi="Times New Roman" w:cs="Times New Roman" w:eastAsia="Times New Roman" w:hint="default"/>
          <w:sz w:val="22"/>
          <w:szCs w:val="22"/>
        </w:rPr>
        <w:t>10:3</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的比例转增股本，本期按照转增比例重新计算期初股份总数为</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746,995,984</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股。</w:t>
      </w:r>
    </w:p>
    <w:p>
      <w:pPr>
        <w:spacing w:before="163"/>
        <w:ind w:left="579" w:right="0" w:firstLine="0"/>
        <w:jc w:val="left"/>
        <w:rPr>
          <w:rFonts w:ascii="Times New Roman" w:hAnsi="Times New Roman" w:cs="Times New Roman" w:eastAsia="Times New Roman" w:hint="default"/>
          <w:sz w:val="22"/>
          <w:szCs w:val="22"/>
        </w:rPr>
      </w:pPr>
      <w:r>
        <w:rPr>
          <w:rFonts w:ascii="楷体" w:hAnsi="楷体" w:cs="楷体" w:eastAsia="楷体" w:hint="default"/>
          <w:sz w:val="22"/>
          <w:szCs w:val="22"/>
        </w:rPr>
        <w:t>注</w:t>
      </w:r>
      <w:r>
        <w:rPr>
          <w:rFonts w:ascii="楷体" w:hAnsi="楷体" w:cs="楷体" w:eastAsia="楷体" w:hint="default"/>
          <w:spacing w:val="-54"/>
          <w:sz w:val="22"/>
          <w:szCs w:val="22"/>
        </w:rPr>
        <w:t> </w:t>
      </w:r>
      <w:r>
        <w:rPr>
          <w:rFonts w:ascii="Times New Roman" w:hAnsi="Times New Roman" w:cs="Times New Roman" w:eastAsia="Times New Roman" w:hint="default"/>
          <w:spacing w:val="-12"/>
          <w:sz w:val="22"/>
          <w:szCs w:val="22"/>
        </w:rPr>
        <w:t>2</w:t>
      </w:r>
      <w:r>
        <w:rPr>
          <w:rFonts w:ascii="楷体" w:hAnsi="楷体" w:cs="楷体" w:eastAsia="楷体" w:hint="default"/>
          <w:spacing w:val="-12"/>
          <w:sz w:val="22"/>
          <w:szCs w:val="22"/>
        </w:rPr>
        <w:t>：</w:t>
      </w:r>
      <w:r>
        <w:rPr>
          <w:rFonts w:ascii="Times New Roman" w:hAnsi="Times New Roman" w:cs="Times New Roman" w:eastAsia="Times New Roman" w:hint="default"/>
          <w:spacing w:val="-12"/>
          <w:sz w:val="22"/>
          <w:szCs w:val="22"/>
        </w:rPr>
        <w:t>2007</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年</w:t>
      </w:r>
      <w:r>
        <w:rPr>
          <w:rFonts w:ascii="楷体" w:hAnsi="楷体" w:cs="楷体" w:eastAsia="楷体" w:hint="default"/>
          <w:spacing w:val="-54"/>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月</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27</w:t>
      </w:r>
      <w:r>
        <w:rPr>
          <w:rFonts w:ascii="Times New Roman" w:hAnsi="Times New Roman" w:cs="Times New Roman" w:eastAsia="Times New Roman" w:hint="default"/>
          <w:spacing w:val="-1"/>
          <w:sz w:val="22"/>
          <w:szCs w:val="22"/>
        </w:rPr>
        <w:t> </w:t>
      </w:r>
      <w:r>
        <w:rPr>
          <w:rFonts w:ascii="楷体" w:hAnsi="楷体" w:cs="楷体" w:eastAsia="楷体" w:hint="default"/>
          <w:spacing w:val="-4"/>
          <w:sz w:val="22"/>
          <w:szCs w:val="22"/>
        </w:rPr>
        <w:t>日，公司向特定对象非公开发行人民币普通股</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54,000,000</w:t>
      </w:r>
      <w:r>
        <w:rPr>
          <w:rFonts w:ascii="Times New Roman" w:hAnsi="Times New Roman" w:cs="Times New Roman" w:eastAsia="Times New Roman" w:hint="default"/>
          <w:spacing w:val="-1"/>
          <w:sz w:val="22"/>
          <w:szCs w:val="22"/>
        </w:rPr>
        <w:t> </w:t>
      </w:r>
      <w:r>
        <w:rPr>
          <w:rFonts w:ascii="楷体" w:hAnsi="楷体" w:cs="楷体" w:eastAsia="楷体" w:hint="default"/>
          <w:spacing w:val="-18"/>
          <w:sz w:val="22"/>
          <w:szCs w:val="22"/>
        </w:rPr>
        <w:t>股，按照</w:t>
      </w:r>
      <w:r>
        <w:rPr>
          <w:rFonts w:ascii="楷体" w:hAnsi="楷体" w:cs="楷体" w:eastAsia="楷体" w:hint="default"/>
          <w:spacing w:val="-54"/>
          <w:sz w:val="22"/>
          <w:szCs w:val="22"/>
        </w:rPr>
        <w:t> </w:t>
      </w:r>
      <w:r>
        <w:rPr>
          <w:rFonts w:ascii="Times New Roman" w:hAnsi="Times New Roman" w:cs="Times New Roman" w:eastAsia="Times New Roman" w:hint="default"/>
          <w:sz w:val="22"/>
          <w:szCs w:val="22"/>
        </w:rPr>
        <w:t>2008</w:t>
      </w:r>
    </w:p>
    <w:p>
      <w:pPr>
        <w:spacing w:before="85"/>
        <w:ind w:left="138" w:right="0" w:firstLine="0"/>
        <w:jc w:val="left"/>
        <w:rPr>
          <w:rFonts w:ascii="楷体" w:hAnsi="楷体" w:cs="楷体" w:eastAsia="楷体" w:hint="default"/>
          <w:sz w:val="22"/>
          <w:szCs w:val="22"/>
        </w:rPr>
      </w:pPr>
      <w:r>
        <w:rPr>
          <w:rFonts w:ascii="楷体" w:hAnsi="楷体" w:cs="楷体" w:eastAsia="楷体" w:hint="default"/>
          <w:sz w:val="22"/>
          <w:szCs w:val="22"/>
        </w:rPr>
        <w:t>年</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日资本公积转增资本的比例重新计算发行股数为</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70,200,000</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股。</w:t>
      </w:r>
    </w:p>
    <w:p>
      <w:pPr>
        <w:spacing w:before="163"/>
        <w:ind w:left="592"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楷体" w:hAnsi="楷体" w:cs="楷体" w:eastAsia="楷体" w:hint="default"/>
          <w:sz w:val="22"/>
          <w:szCs w:val="22"/>
        </w:rPr>
        <w:t>因配股重新计算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28"/>
          <w:sz w:val="22"/>
          <w:szCs w:val="22"/>
        </w:rPr>
        <w:t> </w:t>
      </w:r>
      <w:r>
        <w:rPr>
          <w:rFonts w:ascii="楷体" w:hAnsi="楷体" w:cs="楷体" w:eastAsia="楷体" w:hint="default"/>
          <w:sz w:val="22"/>
          <w:szCs w:val="22"/>
        </w:rPr>
        <w:t>年度每股收益</w:t>
      </w:r>
    </w:p>
    <w:p>
      <w:pPr>
        <w:spacing w:line="240" w:lineRule="auto" w:before="5"/>
        <w:rPr>
          <w:rFonts w:ascii="楷体" w:hAnsi="楷体" w:cs="楷体" w:eastAsia="楷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4248"/>
        <w:gridCol w:w="477"/>
        <w:gridCol w:w="350"/>
        <w:gridCol w:w="1253"/>
        <w:gridCol w:w="2305"/>
      </w:tblGrid>
      <w:tr>
        <w:trPr>
          <w:trHeight w:val="260" w:hRule="exact"/>
        </w:trPr>
        <w:tc>
          <w:tcPr>
            <w:tcW w:w="4725" w:type="dxa"/>
            <w:gridSpan w:val="2"/>
            <w:tcBorders>
              <w:top w:val="single" w:sz="12" w:space="0" w:color="000000"/>
              <w:left w:val="nil" w:sz="6" w:space="0" w:color="auto"/>
              <w:bottom w:val="single" w:sz="4" w:space="0" w:color="000000"/>
              <w:right w:val="nil" w:sz="6" w:space="0" w:color="auto"/>
            </w:tcBorders>
          </w:tcPr>
          <w:p>
            <w:pPr>
              <w:pStyle w:val="TableParagraph"/>
              <w:spacing w:line="225"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603" w:type="dxa"/>
            <w:gridSpan w:val="2"/>
            <w:tcBorders>
              <w:top w:val="single" w:sz="12" w:space="0" w:color="000000"/>
              <w:left w:val="nil" w:sz="6" w:space="0" w:color="auto"/>
              <w:bottom w:val="single" w:sz="4" w:space="0" w:color="000000"/>
              <w:right w:val="nil" w:sz="6" w:space="0" w:color="auto"/>
            </w:tcBorders>
          </w:tcPr>
          <w:p>
            <w:pPr>
              <w:pStyle w:val="TableParagraph"/>
              <w:spacing w:line="225" w:lineRule="exact"/>
              <w:ind w:left="7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2305" w:type="dxa"/>
            <w:tcBorders>
              <w:top w:val="single" w:sz="12" w:space="0" w:color="000000"/>
              <w:left w:val="nil" w:sz="6" w:space="0" w:color="auto"/>
              <w:bottom w:val="single" w:sz="4" w:space="0" w:color="000000"/>
              <w:right w:val="nil" w:sz="6" w:space="0" w:color="auto"/>
            </w:tcBorders>
          </w:tcPr>
          <w:p>
            <w:pPr>
              <w:pStyle w:val="TableParagraph"/>
              <w:spacing w:line="225" w:lineRule="exact"/>
              <w:ind w:left="90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r>
      <w:tr>
        <w:trPr>
          <w:trHeight w:val="244" w:hRule="exact"/>
        </w:trPr>
        <w:tc>
          <w:tcPr>
            <w:tcW w:w="4725" w:type="dxa"/>
            <w:gridSpan w:val="2"/>
            <w:tcBorders>
              <w:top w:val="single" w:sz="4" w:space="0" w:color="000000"/>
              <w:left w:val="nil" w:sz="6" w:space="0" w:color="auto"/>
              <w:bottom w:val="nil" w:sz="6" w:space="0" w:color="auto"/>
              <w:right w:val="nil" w:sz="6" w:space="0" w:color="auto"/>
            </w:tcBorders>
          </w:tcPr>
          <w:p>
            <w:pPr>
              <w:pStyle w:val="TableParagraph"/>
              <w:spacing w:line="204" w:lineRule="exact"/>
              <w:ind w:left="107" w:right="0"/>
              <w:jc w:val="left"/>
              <w:rPr>
                <w:rFonts w:ascii="楷体" w:hAnsi="楷体" w:cs="楷体" w:eastAsia="楷体" w:hint="default"/>
                <w:sz w:val="18"/>
                <w:szCs w:val="18"/>
              </w:rPr>
            </w:pPr>
            <w:r>
              <w:rPr>
                <w:rFonts w:ascii="楷体" w:hAnsi="楷体" w:cs="楷体" w:eastAsia="楷体" w:hint="default"/>
                <w:sz w:val="18"/>
                <w:szCs w:val="18"/>
              </w:rPr>
              <w:t>行权前发行在外的普通股股数</w:t>
            </w:r>
          </w:p>
        </w:tc>
        <w:tc>
          <w:tcPr>
            <w:tcW w:w="160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left="63" w:right="0"/>
              <w:jc w:val="left"/>
              <w:rPr>
                <w:rFonts w:ascii="Times New Roman" w:hAnsi="Times New Roman" w:cs="Times New Roman" w:eastAsia="Times New Roman" w:hint="default"/>
                <w:sz w:val="18"/>
                <w:szCs w:val="18"/>
              </w:rPr>
            </w:pPr>
            <w:r>
              <w:rPr>
                <w:rFonts w:ascii="Times New Roman"/>
                <w:sz w:val="18"/>
              </w:rPr>
              <w:t>1</w:t>
            </w:r>
          </w:p>
        </w:tc>
        <w:tc>
          <w:tcPr>
            <w:tcW w:w="230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628,612,295</w:t>
            </w:r>
          </w:p>
        </w:tc>
      </w:tr>
      <w:tr>
        <w:trPr>
          <w:trHeight w:val="240"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楷体" w:hAnsi="楷体" w:cs="楷体" w:eastAsia="楷体" w:hint="default"/>
                <w:sz w:val="18"/>
                <w:szCs w:val="18"/>
              </w:rPr>
            </w:pPr>
            <w:r>
              <w:rPr>
                <w:rFonts w:ascii="楷体" w:hAnsi="楷体" w:cs="楷体" w:eastAsia="楷体" w:hint="default"/>
                <w:sz w:val="18"/>
                <w:szCs w:val="18"/>
              </w:rPr>
              <w:t>行权时的公允价格</w:t>
            </w:r>
          </w:p>
        </w:tc>
        <w:tc>
          <w:tcPr>
            <w:tcW w:w="16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63" w:right="0"/>
              <w:jc w:val="left"/>
              <w:rPr>
                <w:rFonts w:ascii="Times New Roman" w:hAnsi="Times New Roman" w:cs="Times New Roman" w:eastAsia="Times New Roman" w:hint="default"/>
                <w:sz w:val="18"/>
                <w:szCs w:val="18"/>
              </w:rPr>
            </w:pPr>
            <w:r>
              <w:rPr>
                <w:rFonts w:ascii="Times New Roman"/>
                <w:sz w:val="18"/>
              </w:rPr>
              <w:t>2</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Times New Roman" w:hAnsi="Times New Roman" w:cs="Times New Roman" w:eastAsia="Times New Roman" w:hint="default"/>
                <w:sz w:val="18"/>
                <w:szCs w:val="18"/>
              </w:rPr>
            </w:pPr>
            <w:r>
              <w:rPr>
                <w:rFonts w:ascii="Times New Roman"/>
                <w:sz w:val="18"/>
              </w:rPr>
              <w:t>32.16</w:t>
            </w:r>
          </w:p>
        </w:tc>
      </w:tr>
      <w:tr>
        <w:trPr>
          <w:trHeight w:val="255"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楷体" w:hAnsi="楷体" w:cs="楷体" w:eastAsia="楷体" w:hint="default"/>
                <w:sz w:val="18"/>
                <w:szCs w:val="18"/>
              </w:rPr>
            </w:pPr>
            <w:r>
              <w:rPr>
                <w:rFonts w:ascii="楷体" w:hAnsi="楷体" w:cs="楷体" w:eastAsia="楷体" w:hint="default"/>
                <w:sz w:val="18"/>
                <w:szCs w:val="18"/>
              </w:rPr>
              <w:t>行权前发行在外普通股的公允价值</w:t>
            </w:r>
          </w:p>
        </w:tc>
        <w:tc>
          <w:tcPr>
            <w:tcW w:w="16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3=1×2</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Times New Roman" w:hAnsi="Times New Roman" w:cs="Times New Roman" w:eastAsia="Times New Roman" w:hint="default"/>
                <w:sz w:val="18"/>
                <w:szCs w:val="18"/>
              </w:rPr>
            </w:pPr>
            <w:r>
              <w:rPr>
                <w:rFonts w:ascii="Times New Roman"/>
                <w:spacing w:val="-1"/>
                <w:sz w:val="18"/>
              </w:rPr>
              <w:t>20,216,171,407.20</w:t>
            </w:r>
          </w:p>
        </w:tc>
      </w:tr>
      <w:tr>
        <w:trPr>
          <w:trHeight w:val="270"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107" w:right="0"/>
              <w:jc w:val="left"/>
              <w:rPr>
                <w:rFonts w:ascii="楷体" w:hAnsi="楷体" w:cs="楷体" w:eastAsia="楷体" w:hint="default"/>
                <w:sz w:val="18"/>
                <w:szCs w:val="18"/>
              </w:rPr>
            </w:pPr>
            <w:r>
              <w:rPr>
                <w:rFonts w:ascii="楷体" w:hAnsi="楷体" w:cs="楷体" w:eastAsia="楷体" w:hint="default"/>
                <w:sz w:val="18"/>
                <w:szCs w:val="18"/>
              </w:rPr>
              <w:t>配股股数</w:t>
            </w:r>
          </w:p>
        </w:tc>
        <w:tc>
          <w:tcPr>
            <w:tcW w:w="16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63" w:right="0"/>
              <w:jc w:val="left"/>
              <w:rPr>
                <w:rFonts w:ascii="Times New Roman" w:hAnsi="Times New Roman" w:cs="Times New Roman" w:eastAsia="Times New Roman" w:hint="default"/>
                <w:sz w:val="18"/>
                <w:szCs w:val="18"/>
              </w:rPr>
            </w:pPr>
            <w:r>
              <w:rPr>
                <w:rFonts w:ascii="Times New Roman"/>
                <w:sz w:val="18"/>
              </w:rPr>
              <w:t>4</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z w:val="18"/>
              </w:rPr>
              <w:t>122,903,516</w:t>
            </w:r>
          </w:p>
        </w:tc>
      </w:tr>
      <w:tr>
        <w:trPr>
          <w:trHeight w:val="255"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107" w:right="0"/>
              <w:jc w:val="left"/>
              <w:rPr>
                <w:rFonts w:ascii="楷体" w:hAnsi="楷体" w:cs="楷体" w:eastAsia="楷体" w:hint="default"/>
                <w:sz w:val="18"/>
                <w:szCs w:val="18"/>
              </w:rPr>
            </w:pPr>
            <w:r>
              <w:rPr>
                <w:rFonts w:ascii="楷体" w:hAnsi="楷体" w:cs="楷体" w:eastAsia="楷体" w:hint="default"/>
                <w:sz w:val="18"/>
                <w:szCs w:val="18"/>
              </w:rPr>
              <w:t>配股价格</w:t>
            </w:r>
          </w:p>
        </w:tc>
        <w:tc>
          <w:tcPr>
            <w:tcW w:w="16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63" w:right="0"/>
              <w:jc w:val="left"/>
              <w:rPr>
                <w:rFonts w:ascii="Times New Roman" w:hAnsi="Times New Roman" w:cs="Times New Roman" w:eastAsia="Times New Roman" w:hint="default"/>
                <w:sz w:val="18"/>
                <w:szCs w:val="18"/>
              </w:rPr>
            </w:pPr>
            <w:r>
              <w:rPr>
                <w:rFonts w:ascii="Times New Roman"/>
                <w:sz w:val="18"/>
              </w:rPr>
              <w:t>5</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z w:val="18"/>
              </w:rPr>
              <w:t>16.00</w:t>
            </w:r>
          </w:p>
        </w:tc>
      </w:tr>
      <w:tr>
        <w:trPr>
          <w:trHeight w:val="240"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楷体" w:hAnsi="楷体" w:cs="楷体" w:eastAsia="楷体" w:hint="default"/>
                <w:sz w:val="18"/>
                <w:szCs w:val="18"/>
              </w:rPr>
            </w:pPr>
            <w:r>
              <w:rPr>
                <w:rFonts w:ascii="楷体" w:hAnsi="楷体" w:cs="楷体" w:eastAsia="楷体" w:hint="default"/>
                <w:sz w:val="18"/>
                <w:szCs w:val="18"/>
              </w:rPr>
              <w:t>配股收到的款项</w:t>
            </w:r>
          </w:p>
        </w:tc>
        <w:tc>
          <w:tcPr>
            <w:tcW w:w="16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6=4×5</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Times New Roman" w:hAnsi="Times New Roman" w:cs="Times New Roman" w:eastAsia="Times New Roman" w:hint="default"/>
                <w:sz w:val="18"/>
                <w:szCs w:val="18"/>
              </w:rPr>
            </w:pPr>
            <w:r>
              <w:rPr>
                <w:rFonts w:ascii="Times New Roman"/>
                <w:spacing w:val="-1"/>
                <w:sz w:val="18"/>
              </w:rPr>
              <w:t>1,966,456,256.00</w:t>
            </w:r>
          </w:p>
        </w:tc>
      </w:tr>
      <w:tr>
        <w:trPr>
          <w:trHeight w:val="240"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楷体" w:hAnsi="楷体" w:cs="楷体" w:eastAsia="楷体" w:hint="default"/>
                <w:sz w:val="18"/>
                <w:szCs w:val="18"/>
              </w:rPr>
            </w:pPr>
            <w:r>
              <w:rPr>
                <w:rFonts w:ascii="楷体" w:hAnsi="楷体" w:cs="楷体" w:eastAsia="楷体" w:hint="default"/>
                <w:sz w:val="18"/>
                <w:szCs w:val="18"/>
              </w:rPr>
              <w:t>行权后发行在外的普通股股数</w:t>
            </w:r>
          </w:p>
        </w:tc>
        <w:tc>
          <w:tcPr>
            <w:tcW w:w="16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63" w:right="0"/>
              <w:jc w:val="left"/>
              <w:rPr>
                <w:rFonts w:ascii="Times New Roman" w:hAnsi="Times New Roman" w:cs="Times New Roman" w:eastAsia="Times New Roman" w:hint="default"/>
                <w:sz w:val="18"/>
                <w:szCs w:val="18"/>
              </w:rPr>
            </w:pPr>
            <w:r>
              <w:rPr>
                <w:rFonts w:ascii="Times New Roman"/>
                <w:sz w:val="18"/>
              </w:rPr>
              <w:t>7=1+4</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Times New Roman" w:hAnsi="Times New Roman" w:cs="Times New Roman" w:eastAsia="Times New Roman" w:hint="default"/>
                <w:sz w:val="18"/>
                <w:szCs w:val="18"/>
              </w:rPr>
            </w:pPr>
            <w:r>
              <w:rPr>
                <w:rFonts w:ascii="Times New Roman"/>
                <w:spacing w:val="-1"/>
                <w:sz w:val="18"/>
              </w:rPr>
              <w:t>751,515,811</w:t>
            </w:r>
          </w:p>
        </w:tc>
      </w:tr>
      <w:tr>
        <w:trPr>
          <w:trHeight w:val="240"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楷体" w:hAnsi="楷体" w:cs="楷体" w:eastAsia="楷体" w:hint="default"/>
                <w:sz w:val="18"/>
                <w:szCs w:val="18"/>
              </w:rPr>
            </w:pPr>
            <w:r>
              <w:rPr>
                <w:rFonts w:ascii="楷体" w:hAnsi="楷体" w:cs="楷体" w:eastAsia="楷体" w:hint="default"/>
                <w:sz w:val="18"/>
                <w:szCs w:val="18"/>
              </w:rPr>
              <w:t>每股理论除权价格</w:t>
            </w:r>
          </w:p>
        </w:tc>
        <w:tc>
          <w:tcPr>
            <w:tcW w:w="16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8=(3+6)÷7</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Times New Roman" w:hAnsi="Times New Roman" w:cs="Times New Roman" w:eastAsia="Times New Roman" w:hint="default"/>
                <w:sz w:val="18"/>
                <w:szCs w:val="18"/>
              </w:rPr>
            </w:pPr>
            <w:r>
              <w:rPr>
                <w:rFonts w:ascii="Times New Roman"/>
                <w:sz w:val="18"/>
              </w:rPr>
              <w:t>29.52</w:t>
            </w:r>
          </w:p>
        </w:tc>
      </w:tr>
      <w:tr>
        <w:trPr>
          <w:trHeight w:val="240"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调整系数</w:t>
            </w:r>
            <w:r>
              <w:rPr>
                <w:rFonts w:ascii="Microsoft JhengHei" w:hAnsi="Microsoft JhengHei" w:cs="Microsoft JhengHei" w:eastAsia="Microsoft JhengHei" w:hint="default"/>
                <w:sz w:val="18"/>
                <w:szCs w:val="18"/>
              </w:rPr>
            </w:r>
          </w:p>
        </w:tc>
        <w:tc>
          <w:tcPr>
            <w:tcW w:w="16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9=2÷8</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Times New Roman" w:hAnsi="Times New Roman" w:cs="Times New Roman" w:eastAsia="Times New Roman" w:hint="default"/>
                <w:sz w:val="18"/>
                <w:szCs w:val="18"/>
              </w:rPr>
            </w:pPr>
            <w:r>
              <w:rPr>
                <w:rFonts w:ascii="Times New Roman"/>
                <w:b/>
                <w:sz w:val="18"/>
              </w:rPr>
              <w:t>1.09</w:t>
            </w:r>
            <w:r>
              <w:rPr>
                <w:rFonts w:ascii="Times New Roman"/>
                <w:sz w:val="18"/>
              </w:rPr>
            </w:r>
          </w:p>
        </w:tc>
      </w:tr>
      <w:tr>
        <w:trPr>
          <w:trHeight w:val="240"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19" w:lineRule="exact"/>
              <w:ind w:left="107" w:right="0"/>
              <w:jc w:val="left"/>
              <w:rPr>
                <w:rFonts w:ascii="楷体" w:hAnsi="楷体" w:cs="楷体" w:eastAsia="楷体" w:hint="default"/>
                <w:sz w:val="18"/>
                <w:szCs w:val="18"/>
              </w:rPr>
            </w:pPr>
            <w:r>
              <w:rPr>
                <w:rFonts w:ascii="楷体" w:hAnsi="楷体" w:cs="楷体" w:eastAsia="楷体" w:hint="default"/>
                <w:sz w:val="18"/>
                <w:szCs w:val="18"/>
              </w:rPr>
              <w:t>因资本公积转增股本计算的</w:t>
            </w:r>
            <w:r>
              <w:rPr>
                <w:rFonts w:ascii="楷体" w:hAnsi="楷体" w:cs="楷体" w:eastAsia="楷体" w:hint="default"/>
                <w:spacing w:val="-42"/>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楷体" w:hAnsi="楷体" w:cs="楷体" w:eastAsia="楷体" w:hint="default"/>
                <w:spacing w:val="-4"/>
                <w:sz w:val="18"/>
                <w:szCs w:val="18"/>
              </w:rPr>
              <w:t>年度基本每股收益（Ⅰ）</w:t>
            </w:r>
          </w:p>
        </w:tc>
        <w:tc>
          <w:tcPr>
            <w:tcW w:w="1603" w:type="dxa"/>
            <w:gridSpan w:val="2"/>
            <w:tcBorders>
              <w:top w:val="nil" w:sz="6" w:space="0" w:color="auto"/>
              <w:left w:val="nil" w:sz="6" w:space="0" w:color="auto"/>
              <w:bottom w:val="nil" w:sz="6" w:space="0" w:color="auto"/>
              <w:right w:val="nil" w:sz="6" w:space="0" w:color="auto"/>
            </w:tcBorders>
          </w:tcPr>
          <w:p>
            <w:pPr>
              <w:pStyle w:val="TableParagraph"/>
              <w:spacing w:line="219" w:lineRule="exact"/>
              <w:ind w:left="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楷体" w:hAnsi="楷体" w:cs="楷体" w:eastAsia="楷体" w:hint="default"/>
                <w:sz w:val="18"/>
                <w:szCs w:val="18"/>
              </w:rPr>
              <w:t>表</w:t>
            </w:r>
            <w:r>
              <w:rPr>
                <w:rFonts w:ascii="Times New Roman" w:hAnsi="Times New Roman" w:cs="Times New Roman" w:eastAsia="Times New Roman" w:hint="default"/>
                <w:sz w:val="18"/>
                <w:szCs w:val="18"/>
              </w:rPr>
              <w:t>(1)</w:t>
            </w:r>
            <w:r>
              <w:rPr>
                <w:rFonts w:ascii="楷体" w:hAnsi="楷体" w:cs="楷体" w:eastAsia="楷体" w:hint="default"/>
                <w:sz w:val="18"/>
                <w:szCs w:val="18"/>
              </w:rPr>
              <w:t>中</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12</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Times New Roman" w:hAnsi="Times New Roman" w:cs="Times New Roman" w:eastAsia="Times New Roman" w:hint="default"/>
                <w:sz w:val="18"/>
                <w:szCs w:val="18"/>
              </w:rPr>
            </w:pPr>
            <w:r>
              <w:rPr>
                <w:rFonts w:ascii="Times New Roman"/>
                <w:sz w:val="18"/>
              </w:rPr>
              <w:t>0.57</w:t>
            </w:r>
          </w:p>
        </w:tc>
      </w:tr>
      <w:tr>
        <w:trPr>
          <w:trHeight w:val="240"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楷体" w:hAnsi="楷体" w:cs="楷体" w:eastAsia="楷体" w:hint="default"/>
                <w:sz w:val="18"/>
                <w:szCs w:val="18"/>
              </w:rPr>
            </w:pPr>
            <w:r>
              <w:rPr>
                <w:rFonts w:ascii="楷体" w:hAnsi="楷体" w:cs="楷体" w:eastAsia="楷体" w:hint="default"/>
                <w:sz w:val="18"/>
                <w:szCs w:val="18"/>
              </w:rPr>
              <w:t>因资本公积转增股本计算的</w:t>
            </w:r>
            <w:r>
              <w:rPr>
                <w:rFonts w:ascii="楷体" w:hAnsi="楷体" w:cs="楷体" w:eastAsia="楷体" w:hint="default"/>
                <w:spacing w:val="-42"/>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楷体" w:hAnsi="楷体" w:cs="楷体" w:eastAsia="楷体" w:hint="default"/>
                <w:spacing w:val="-4"/>
                <w:sz w:val="18"/>
                <w:szCs w:val="18"/>
              </w:rPr>
              <w:t>年度基本每股收益（Ⅱ）</w:t>
            </w:r>
          </w:p>
        </w:tc>
        <w:tc>
          <w:tcPr>
            <w:tcW w:w="1603" w:type="dxa"/>
            <w:gridSpan w:val="2"/>
            <w:tcBorders>
              <w:top w:val="nil" w:sz="6" w:space="0" w:color="auto"/>
              <w:left w:val="nil" w:sz="6" w:space="0" w:color="auto"/>
              <w:bottom w:val="nil" w:sz="6" w:space="0" w:color="auto"/>
              <w:right w:val="nil" w:sz="6" w:space="0" w:color="auto"/>
            </w:tcBorders>
          </w:tcPr>
          <w:p>
            <w:pPr>
              <w:pStyle w:val="TableParagraph"/>
              <w:spacing w:line="219" w:lineRule="exact"/>
              <w:ind w:left="6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w:t>
            </w:r>
            <w:r>
              <w:rPr>
                <w:rFonts w:ascii="楷体" w:hAnsi="楷体" w:cs="楷体" w:eastAsia="楷体" w:hint="default"/>
                <w:sz w:val="18"/>
                <w:szCs w:val="18"/>
              </w:rPr>
              <w:t>表</w:t>
            </w:r>
            <w:r>
              <w:rPr>
                <w:rFonts w:ascii="Times New Roman" w:hAnsi="Times New Roman" w:cs="Times New Roman" w:eastAsia="Times New Roman" w:hint="default"/>
                <w:sz w:val="18"/>
                <w:szCs w:val="18"/>
              </w:rPr>
              <w:t>(1)</w:t>
            </w:r>
            <w:r>
              <w:rPr>
                <w:rFonts w:ascii="楷体" w:hAnsi="楷体" w:cs="楷体" w:eastAsia="楷体" w:hint="default"/>
                <w:sz w:val="18"/>
                <w:szCs w:val="18"/>
              </w:rPr>
              <w:t>中</w:t>
            </w:r>
            <w:r>
              <w:rPr>
                <w:rFonts w:ascii="楷体" w:hAnsi="楷体" w:cs="楷体" w:eastAsia="楷体" w:hint="default"/>
                <w:spacing w:val="-54"/>
                <w:sz w:val="18"/>
                <w:szCs w:val="18"/>
              </w:rPr>
              <w:t> </w:t>
            </w:r>
            <w:r>
              <w:rPr>
                <w:rFonts w:ascii="Times New Roman" w:hAnsi="Times New Roman" w:cs="Times New Roman" w:eastAsia="Times New Roman" w:hint="default"/>
                <w:sz w:val="18"/>
                <w:szCs w:val="18"/>
              </w:rPr>
              <w:t>13</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Times New Roman" w:hAnsi="Times New Roman" w:cs="Times New Roman" w:eastAsia="Times New Roman" w:hint="default"/>
                <w:sz w:val="18"/>
                <w:szCs w:val="18"/>
              </w:rPr>
            </w:pPr>
            <w:r>
              <w:rPr>
                <w:rFonts w:ascii="Times New Roman"/>
                <w:sz w:val="18"/>
              </w:rPr>
              <w:t>0.30</w:t>
            </w:r>
          </w:p>
        </w:tc>
      </w:tr>
      <w:tr>
        <w:trPr>
          <w:trHeight w:val="244"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因配股重新计算的 </w:t>
            </w: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年度基本每股收益（Ⅰ）</w:t>
            </w:r>
            <w:r>
              <w:rPr>
                <w:rFonts w:ascii="Microsoft JhengHei" w:hAnsi="Microsoft JhengHei" w:cs="Microsoft JhengHei" w:eastAsia="Microsoft JhengHei" w:hint="default"/>
                <w:sz w:val="18"/>
                <w:szCs w:val="18"/>
              </w:rPr>
            </w:r>
          </w:p>
        </w:tc>
        <w:tc>
          <w:tcPr>
            <w:tcW w:w="16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12=10÷9</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7"/>
              <w:jc w:val="right"/>
              <w:rPr>
                <w:rFonts w:ascii="Times New Roman" w:hAnsi="Times New Roman" w:cs="Times New Roman" w:eastAsia="Times New Roman" w:hint="default"/>
                <w:sz w:val="18"/>
                <w:szCs w:val="18"/>
              </w:rPr>
            </w:pPr>
            <w:r>
              <w:rPr>
                <w:rFonts w:ascii="Times New Roman"/>
                <w:b/>
                <w:sz w:val="18"/>
              </w:rPr>
              <w:t>0.52</w:t>
            </w:r>
            <w:r>
              <w:rPr>
                <w:rFonts w:ascii="Times New Roman"/>
                <w:sz w:val="18"/>
              </w:rPr>
            </w:r>
          </w:p>
        </w:tc>
      </w:tr>
      <w:tr>
        <w:trPr>
          <w:trHeight w:val="268" w:hRule="exact"/>
        </w:trPr>
        <w:tc>
          <w:tcPr>
            <w:tcW w:w="4725" w:type="dxa"/>
            <w:gridSpan w:val="2"/>
            <w:tcBorders>
              <w:top w:val="nil" w:sz="6" w:space="0" w:color="auto"/>
              <w:left w:val="nil" w:sz="6" w:space="0" w:color="auto"/>
              <w:bottom w:val="single" w:sz="12" w:space="0" w:color="000000"/>
              <w:right w:val="nil" w:sz="6" w:space="0" w:color="auto"/>
            </w:tcBorders>
          </w:tcPr>
          <w:p>
            <w:pPr>
              <w:pStyle w:val="TableParagraph"/>
              <w:spacing w:line="230"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因配股重新计算的 </w:t>
            </w: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年度基本每股收益（Ⅱ）</w:t>
            </w:r>
            <w:r>
              <w:rPr>
                <w:rFonts w:ascii="Microsoft JhengHei" w:hAnsi="Microsoft JhengHei" w:cs="Microsoft JhengHei" w:eastAsia="Microsoft JhengHei" w:hint="default"/>
                <w:sz w:val="18"/>
                <w:szCs w:val="18"/>
              </w:rPr>
            </w:r>
          </w:p>
        </w:tc>
        <w:tc>
          <w:tcPr>
            <w:tcW w:w="1603"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6"/>
              <w:ind w:left="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13=11÷9</w:t>
            </w:r>
          </w:p>
        </w:tc>
        <w:tc>
          <w:tcPr>
            <w:tcW w:w="2305"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b/>
                <w:sz w:val="18"/>
              </w:rPr>
              <w:t>0.27</w:t>
            </w:r>
            <w:r>
              <w:rPr>
                <w:rFonts w:ascii="Times New Roman"/>
                <w:sz w:val="18"/>
              </w:rPr>
            </w:r>
          </w:p>
        </w:tc>
      </w:tr>
      <w:tr>
        <w:trPr>
          <w:trHeight w:val="576" w:hRule="exact"/>
        </w:trPr>
        <w:tc>
          <w:tcPr>
            <w:tcW w:w="47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453"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楷体" w:hAnsi="楷体" w:cs="楷体" w:eastAsia="楷体" w:hint="default"/>
                <w:sz w:val="22"/>
                <w:szCs w:val="22"/>
              </w:rPr>
              <w:t>计算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8"/>
                <w:sz w:val="22"/>
                <w:szCs w:val="22"/>
              </w:rPr>
              <w:t> </w:t>
            </w:r>
            <w:r>
              <w:rPr>
                <w:rFonts w:ascii="楷体" w:hAnsi="楷体" w:cs="楷体" w:eastAsia="楷体" w:hint="default"/>
                <w:sz w:val="22"/>
                <w:szCs w:val="22"/>
              </w:rPr>
              <w:t>年度每股收益</w:t>
            </w:r>
          </w:p>
        </w:tc>
        <w:tc>
          <w:tcPr>
            <w:tcW w:w="1603" w:type="dxa"/>
            <w:gridSpan w:val="2"/>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
        </w:tc>
      </w:tr>
      <w:tr>
        <w:trPr>
          <w:trHeight w:val="332" w:hRule="exact"/>
        </w:trPr>
        <w:tc>
          <w:tcPr>
            <w:tcW w:w="4248" w:type="dxa"/>
            <w:tcBorders>
              <w:top w:val="single" w:sz="12" w:space="0" w:color="000000"/>
              <w:left w:val="nil" w:sz="6" w:space="0" w:color="auto"/>
              <w:bottom w:val="single" w:sz="4" w:space="0" w:color="000000"/>
              <w:right w:val="nil" w:sz="6" w:space="0" w:color="auto"/>
            </w:tcBorders>
          </w:tcPr>
          <w:p>
            <w:pPr>
              <w:pStyle w:val="TableParagraph"/>
              <w:spacing w:line="267"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827" w:type="dxa"/>
            <w:gridSpan w:val="2"/>
            <w:tcBorders>
              <w:top w:val="single" w:sz="12" w:space="0" w:color="000000"/>
              <w:left w:val="nil" w:sz="6" w:space="0" w:color="auto"/>
              <w:bottom w:val="single" w:sz="4" w:space="0" w:color="000000"/>
              <w:right w:val="nil" w:sz="6" w:space="0" w:color="auto"/>
            </w:tcBorders>
          </w:tcPr>
          <w:p>
            <w:pPr/>
          </w:p>
        </w:tc>
        <w:tc>
          <w:tcPr>
            <w:tcW w:w="1253" w:type="dxa"/>
            <w:tcBorders>
              <w:top w:val="single" w:sz="12" w:space="0" w:color="000000"/>
              <w:left w:val="nil" w:sz="6" w:space="0" w:color="auto"/>
              <w:bottom w:val="single" w:sz="4" w:space="0" w:color="000000"/>
              <w:right w:val="nil" w:sz="6" w:space="0" w:color="auto"/>
            </w:tcBorders>
          </w:tcPr>
          <w:p>
            <w:pPr>
              <w:pStyle w:val="TableParagraph"/>
              <w:spacing w:line="267" w:lineRule="exact"/>
              <w:ind w:left="2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2305" w:type="dxa"/>
            <w:tcBorders>
              <w:top w:val="single" w:sz="12" w:space="0" w:color="000000"/>
              <w:left w:val="nil" w:sz="6" w:space="0" w:color="auto"/>
              <w:bottom w:val="single" w:sz="4" w:space="0" w:color="000000"/>
              <w:right w:val="nil" w:sz="6" w:space="0" w:color="auto"/>
            </w:tcBorders>
          </w:tcPr>
          <w:p>
            <w:pPr>
              <w:pStyle w:val="TableParagraph"/>
              <w:tabs>
                <w:tab w:pos="1211" w:val="left" w:leader="none"/>
              </w:tabs>
              <w:spacing w:line="267" w:lineRule="exact"/>
              <w:ind w:right="119"/>
              <w:jc w:val="righ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tab/>
              <w:t>注释</w:t>
            </w:r>
            <w:r>
              <w:rPr>
                <w:rFonts w:ascii="Microsoft JhengHei" w:hAnsi="Microsoft JhengHei" w:cs="Microsoft JhengHei" w:eastAsia="Microsoft JhengHei" w:hint="default"/>
                <w:sz w:val="18"/>
                <w:szCs w:val="18"/>
              </w:rPr>
            </w:r>
          </w:p>
        </w:tc>
      </w:tr>
      <w:tr>
        <w:trPr>
          <w:trHeight w:val="321" w:hRule="exact"/>
        </w:trPr>
        <w:tc>
          <w:tcPr>
            <w:tcW w:w="42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8"/>
                <w:szCs w:val="18"/>
              </w:rPr>
            </w:pPr>
            <w:r>
              <w:rPr>
                <w:rFonts w:ascii="楷体" w:hAnsi="楷体" w:cs="楷体" w:eastAsia="楷体" w:hint="default"/>
                <w:sz w:val="18"/>
                <w:szCs w:val="18"/>
              </w:rPr>
              <w:t>归属于母公司股东的净利润</w:t>
            </w:r>
          </w:p>
        </w:tc>
        <w:tc>
          <w:tcPr>
            <w:tcW w:w="82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0"/>
              <w:ind w:left="179" w:right="0"/>
              <w:jc w:val="left"/>
              <w:rPr>
                <w:rFonts w:ascii="Times New Roman" w:hAnsi="Times New Roman" w:cs="Times New Roman" w:eastAsia="Times New Roman" w:hint="default"/>
                <w:sz w:val="18"/>
                <w:szCs w:val="18"/>
              </w:rPr>
            </w:pPr>
            <w:r>
              <w:rPr>
                <w:rFonts w:ascii="Times New Roman"/>
                <w:sz w:val="18"/>
              </w:rPr>
              <w:t>1</w:t>
            </w:r>
          </w:p>
        </w:tc>
        <w:tc>
          <w:tcPr>
            <w:tcW w:w="1253" w:type="dxa"/>
            <w:tcBorders>
              <w:top w:val="single" w:sz="4" w:space="0" w:color="000000"/>
              <w:left w:val="nil" w:sz="6" w:space="0" w:color="auto"/>
              <w:bottom w:val="nil" w:sz="6" w:space="0" w:color="auto"/>
              <w:right w:val="nil" w:sz="6" w:space="0" w:color="auto"/>
            </w:tcBorders>
          </w:tcPr>
          <w:p>
            <w:pPr/>
          </w:p>
        </w:tc>
        <w:tc>
          <w:tcPr>
            <w:tcW w:w="230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62" w:right="0"/>
              <w:jc w:val="left"/>
              <w:rPr>
                <w:rFonts w:ascii="Times New Roman" w:hAnsi="Times New Roman" w:cs="Times New Roman" w:eastAsia="Times New Roman" w:hint="default"/>
                <w:sz w:val="18"/>
                <w:szCs w:val="18"/>
              </w:rPr>
            </w:pPr>
            <w:r>
              <w:rPr>
                <w:rFonts w:ascii="Times New Roman"/>
                <w:sz w:val="18"/>
              </w:rPr>
              <w:t>251,426,820.71</w:t>
            </w:r>
          </w:p>
        </w:tc>
      </w:tr>
      <w:tr>
        <w:trPr>
          <w:trHeight w:val="312" w:hRule="exact"/>
        </w:trPr>
        <w:tc>
          <w:tcPr>
            <w:tcW w:w="424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楷体" w:hAnsi="楷体" w:cs="楷体" w:eastAsia="楷体" w:hint="default"/>
                <w:sz w:val="18"/>
                <w:szCs w:val="18"/>
              </w:rPr>
            </w:pPr>
            <w:r>
              <w:rPr>
                <w:rFonts w:ascii="楷体" w:hAnsi="楷体" w:cs="楷体" w:eastAsia="楷体" w:hint="default"/>
                <w:sz w:val="18"/>
                <w:szCs w:val="18"/>
              </w:rPr>
              <w:t>归属于母公司的非经常性损益</w:t>
            </w:r>
          </w:p>
        </w:tc>
        <w:tc>
          <w:tcPr>
            <w:tcW w:w="8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179" w:right="0"/>
              <w:jc w:val="left"/>
              <w:rPr>
                <w:rFonts w:ascii="Times New Roman" w:hAnsi="Times New Roman" w:cs="Times New Roman" w:eastAsia="Times New Roman" w:hint="default"/>
                <w:sz w:val="18"/>
                <w:szCs w:val="18"/>
              </w:rPr>
            </w:pPr>
            <w:r>
              <w:rPr>
                <w:rFonts w:ascii="Times New Roman"/>
                <w:sz w:val="18"/>
              </w:rPr>
              <w:t>2</w:t>
            </w:r>
          </w:p>
        </w:tc>
        <w:tc>
          <w:tcPr>
            <w:tcW w:w="1253" w:type="dxa"/>
            <w:tcBorders>
              <w:top w:val="nil" w:sz="6" w:space="0" w:color="auto"/>
              <w:left w:val="nil" w:sz="6" w:space="0" w:color="auto"/>
              <w:bottom w:val="nil" w:sz="6" w:space="0" w:color="auto"/>
              <w:right w:val="nil" w:sz="6" w:space="0" w:color="auto"/>
            </w:tcBorders>
          </w:tcPr>
          <w:p>
            <w:pP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92" w:right="0"/>
              <w:jc w:val="left"/>
              <w:rPr>
                <w:rFonts w:ascii="Times New Roman" w:hAnsi="Times New Roman" w:cs="Times New Roman" w:eastAsia="Times New Roman" w:hint="default"/>
                <w:sz w:val="18"/>
                <w:szCs w:val="18"/>
              </w:rPr>
            </w:pPr>
            <w:r>
              <w:rPr>
                <w:rFonts w:ascii="Times New Roman"/>
                <w:sz w:val="18"/>
              </w:rPr>
              <w:t>-18,561,076.72</w:t>
            </w:r>
          </w:p>
        </w:tc>
      </w:tr>
      <w:tr>
        <w:trPr>
          <w:trHeight w:val="323" w:hRule="exact"/>
        </w:trPr>
        <w:tc>
          <w:tcPr>
            <w:tcW w:w="4248"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left="107" w:right="0"/>
              <w:jc w:val="left"/>
              <w:rPr>
                <w:rFonts w:ascii="楷体" w:hAnsi="楷体" w:cs="楷体" w:eastAsia="楷体" w:hint="default"/>
                <w:sz w:val="18"/>
                <w:szCs w:val="18"/>
              </w:rPr>
            </w:pPr>
            <w:r>
              <w:rPr>
                <w:rFonts w:ascii="楷体" w:hAnsi="楷体" w:cs="楷体" w:eastAsia="楷体" w:hint="default"/>
                <w:sz w:val="18"/>
                <w:szCs w:val="18"/>
              </w:rPr>
              <w:t>归属于母公司股东、扣除非经常性损益后的净利润</w:t>
            </w:r>
          </w:p>
        </w:tc>
        <w:tc>
          <w:tcPr>
            <w:tcW w:w="82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46"/>
              <w:ind w:left="179" w:right="0"/>
              <w:jc w:val="left"/>
              <w:rPr>
                <w:rFonts w:ascii="Times New Roman" w:hAnsi="Times New Roman" w:cs="Times New Roman" w:eastAsia="Times New Roman" w:hint="default"/>
                <w:sz w:val="18"/>
                <w:szCs w:val="18"/>
              </w:rPr>
            </w:pPr>
            <w:r>
              <w:rPr>
                <w:rFonts w:ascii="Times New Roman"/>
                <w:sz w:val="18"/>
              </w:rPr>
              <w:t>3=1-2</w:t>
            </w:r>
          </w:p>
        </w:tc>
        <w:tc>
          <w:tcPr>
            <w:tcW w:w="1253" w:type="dxa"/>
            <w:tcBorders>
              <w:top w:val="nil" w:sz="6" w:space="0" w:color="auto"/>
              <w:left w:val="nil" w:sz="6" w:space="0" w:color="auto"/>
              <w:bottom w:val="single" w:sz="12" w:space="0" w:color="000000"/>
              <w:right w:val="nil" w:sz="6" w:space="0" w:color="auto"/>
            </w:tcBorders>
          </w:tcPr>
          <w:p>
            <w:pPr/>
          </w:p>
        </w:tc>
        <w:tc>
          <w:tcPr>
            <w:tcW w:w="2305" w:type="dxa"/>
            <w:tcBorders>
              <w:top w:val="nil" w:sz="6" w:space="0" w:color="auto"/>
              <w:left w:val="nil" w:sz="6" w:space="0" w:color="auto"/>
              <w:bottom w:val="single" w:sz="12" w:space="0" w:color="000000"/>
              <w:right w:val="nil" w:sz="6" w:space="0" w:color="auto"/>
            </w:tcBorders>
          </w:tcPr>
          <w:p>
            <w:pPr>
              <w:pStyle w:val="TableParagraph"/>
              <w:spacing w:line="240" w:lineRule="auto" w:before="46"/>
              <w:ind w:left="462" w:right="0"/>
              <w:jc w:val="left"/>
              <w:rPr>
                <w:rFonts w:ascii="Times New Roman" w:hAnsi="Times New Roman" w:cs="Times New Roman" w:eastAsia="Times New Roman" w:hint="default"/>
                <w:sz w:val="18"/>
                <w:szCs w:val="18"/>
              </w:rPr>
            </w:pPr>
            <w:r>
              <w:rPr>
                <w:rFonts w:ascii="Times New Roman"/>
                <w:sz w:val="18"/>
              </w:rPr>
              <w:t>269,987,897.43</w:t>
            </w:r>
          </w:p>
        </w:tc>
      </w:tr>
    </w:tbl>
    <w:p>
      <w:pPr>
        <w:spacing w:after="0" w:line="240" w:lineRule="auto"/>
        <w:jc w:val="left"/>
        <w:rPr>
          <w:rFonts w:ascii="Times New Roman" w:hAnsi="Times New Roman" w:cs="Times New Roman" w:eastAsia="Times New Roman" w:hint="default"/>
          <w:sz w:val="18"/>
          <w:szCs w:val="18"/>
        </w:rPr>
        <w:sectPr>
          <w:pgSz w:w="11910" w:h="16840"/>
          <w:pgMar w:header="610" w:footer="784" w:top="1720" w:bottom="980" w:left="1280" w:right="1140"/>
        </w:sectPr>
      </w:pPr>
    </w:p>
    <w:p>
      <w:pPr>
        <w:spacing w:line="240" w:lineRule="auto" w:before="0"/>
        <w:rPr>
          <w:rFonts w:ascii="楷体" w:hAnsi="楷体" w:cs="楷体" w:eastAsia="楷体" w:hint="default"/>
          <w:sz w:val="20"/>
          <w:szCs w:val="20"/>
        </w:rPr>
      </w:pPr>
    </w:p>
    <w:p>
      <w:pPr>
        <w:spacing w:line="240" w:lineRule="auto" w:before="8"/>
        <w:rPr>
          <w:rFonts w:ascii="楷体" w:hAnsi="楷体" w:cs="楷体" w:eastAsia="楷体"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798"/>
        <w:gridCol w:w="2815"/>
        <w:gridCol w:w="1431"/>
        <w:gridCol w:w="589"/>
      </w:tblGrid>
      <w:tr>
        <w:trPr>
          <w:trHeight w:val="331" w:hRule="exact"/>
        </w:trPr>
        <w:tc>
          <w:tcPr>
            <w:tcW w:w="3798"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107" w:right="0"/>
              <w:jc w:val="left"/>
              <w:rPr>
                <w:rFonts w:ascii="楷体" w:hAnsi="楷体" w:cs="楷体" w:eastAsia="楷体" w:hint="default"/>
                <w:sz w:val="18"/>
                <w:szCs w:val="18"/>
              </w:rPr>
            </w:pPr>
            <w:r>
              <w:rPr>
                <w:rFonts w:ascii="楷体" w:hAnsi="楷体" w:cs="楷体" w:eastAsia="楷体" w:hint="default"/>
                <w:sz w:val="18"/>
                <w:szCs w:val="18"/>
              </w:rPr>
              <w:t>行权前发行在外的普通股股数</w:t>
            </w:r>
          </w:p>
        </w:tc>
        <w:tc>
          <w:tcPr>
            <w:tcW w:w="2815"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left="629" w:right="0"/>
              <w:jc w:val="left"/>
              <w:rPr>
                <w:rFonts w:ascii="Times New Roman" w:hAnsi="Times New Roman" w:cs="Times New Roman" w:eastAsia="Times New Roman" w:hint="default"/>
                <w:sz w:val="18"/>
                <w:szCs w:val="18"/>
              </w:rPr>
            </w:pPr>
            <w:r>
              <w:rPr>
                <w:rFonts w:ascii="Times New Roman"/>
                <w:sz w:val="18"/>
              </w:rPr>
              <w:t>4</w:t>
            </w:r>
          </w:p>
        </w:tc>
        <w:tc>
          <w:tcPr>
            <w:tcW w:w="1431"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128"/>
              <w:jc w:val="right"/>
              <w:rPr>
                <w:rFonts w:ascii="Times New Roman" w:hAnsi="Times New Roman" w:cs="Times New Roman" w:eastAsia="Times New Roman" w:hint="default"/>
                <w:sz w:val="18"/>
                <w:szCs w:val="18"/>
              </w:rPr>
            </w:pPr>
            <w:r>
              <w:rPr>
                <w:rFonts w:ascii="Times New Roman"/>
                <w:sz w:val="18"/>
              </w:rPr>
              <w:t>817,195,984</w:t>
            </w:r>
          </w:p>
        </w:tc>
        <w:tc>
          <w:tcPr>
            <w:tcW w:w="589"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4"/>
              <w:jc w:val="center"/>
              <w:rPr>
                <w:rFonts w:ascii="Times New Roman" w:hAnsi="Times New Roman" w:cs="Times New Roman" w:eastAsia="Times New Roman" w:hint="default"/>
                <w:sz w:val="18"/>
                <w:szCs w:val="18"/>
              </w:rPr>
            </w:pPr>
            <w:r>
              <w:rPr>
                <w:rFonts w:ascii="楷体" w:hAnsi="楷体" w:cs="楷体" w:eastAsia="楷体" w:hint="default"/>
                <w:sz w:val="18"/>
                <w:szCs w:val="18"/>
              </w:rPr>
              <w:t>注</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3</w:t>
            </w:r>
          </w:p>
        </w:tc>
      </w:tr>
      <w:tr>
        <w:trPr>
          <w:trHeight w:val="312" w:hRule="exact"/>
        </w:trPr>
        <w:tc>
          <w:tcPr>
            <w:tcW w:w="3798"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调整系数</w:t>
            </w:r>
            <w:r>
              <w:rPr>
                <w:rFonts w:ascii="Microsoft JhengHei" w:hAnsi="Microsoft JhengHei" w:cs="Microsoft JhengHei" w:eastAsia="Microsoft JhengHei" w:hint="default"/>
                <w:sz w:val="18"/>
                <w:szCs w:val="18"/>
              </w:rPr>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5"/>
              <w:ind w:left="6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楷体" w:hAnsi="楷体" w:cs="楷体" w:eastAsia="楷体" w:hint="default"/>
                <w:sz w:val="18"/>
                <w:szCs w:val="18"/>
              </w:rPr>
              <w:t>表</w:t>
            </w:r>
            <w:r>
              <w:rPr>
                <w:rFonts w:ascii="Times New Roman" w:hAnsi="Times New Roman" w:cs="Times New Roman" w:eastAsia="Times New Roman" w:hint="default"/>
                <w:sz w:val="18"/>
                <w:szCs w:val="18"/>
              </w:rPr>
              <w:t>(2)</w:t>
            </w:r>
            <w:r>
              <w:rPr>
                <w:rFonts w:ascii="楷体" w:hAnsi="楷体" w:cs="楷体" w:eastAsia="楷体" w:hint="default"/>
                <w:sz w:val="18"/>
                <w:szCs w:val="18"/>
              </w:rPr>
              <w:t>中</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9</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8"/>
              <w:jc w:val="right"/>
              <w:rPr>
                <w:rFonts w:ascii="Times New Roman" w:hAnsi="Times New Roman" w:cs="Times New Roman" w:eastAsia="Times New Roman" w:hint="default"/>
                <w:sz w:val="18"/>
                <w:szCs w:val="18"/>
              </w:rPr>
            </w:pPr>
            <w:r>
              <w:rPr>
                <w:rFonts w:ascii="Times New Roman"/>
                <w:b/>
                <w:sz w:val="18"/>
              </w:rPr>
              <w:t>1.09</w:t>
            </w:r>
            <w:r>
              <w:rPr>
                <w:rFonts w:ascii="Times New Roman"/>
                <w:sz w:val="18"/>
              </w:rPr>
            </w:r>
          </w:p>
        </w:tc>
        <w:tc>
          <w:tcPr>
            <w:tcW w:w="589" w:type="dxa"/>
            <w:tcBorders>
              <w:top w:val="nil" w:sz="6" w:space="0" w:color="auto"/>
              <w:left w:val="nil" w:sz="6" w:space="0" w:color="auto"/>
              <w:bottom w:val="nil" w:sz="6" w:space="0" w:color="auto"/>
              <w:right w:val="nil" w:sz="6" w:space="0" w:color="auto"/>
            </w:tcBorders>
          </w:tcPr>
          <w:p>
            <w:pPr/>
          </w:p>
        </w:tc>
      </w:tr>
      <w:tr>
        <w:trPr>
          <w:trHeight w:val="311" w:hRule="exact"/>
        </w:trPr>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楷体" w:hAnsi="楷体" w:cs="楷体" w:eastAsia="楷体" w:hint="default"/>
                <w:sz w:val="18"/>
                <w:szCs w:val="18"/>
              </w:rPr>
            </w:pPr>
            <w:r>
              <w:rPr>
                <w:rFonts w:ascii="楷体" w:hAnsi="楷体" w:cs="楷体" w:eastAsia="楷体" w:hint="default"/>
                <w:sz w:val="18"/>
                <w:szCs w:val="18"/>
              </w:rPr>
              <w:t>配股股数</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29" w:right="0"/>
              <w:jc w:val="left"/>
              <w:rPr>
                <w:rFonts w:ascii="Times New Roman" w:hAnsi="Times New Roman" w:cs="Times New Roman" w:eastAsia="Times New Roman" w:hint="default"/>
                <w:sz w:val="18"/>
                <w:szCs w:val="18"/>
              </w:rPr>
            </w:pPr>
            <w:r>
              <w:rPr>
                <w:rFonts w:ascii="Times New Roman"/>
                <w:sz w:val="18"/>
              </w:rPr>
              <w:t>6</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8"/>
              <w:jc w:val="right"/>
              <w:rPr>
                <w:rFonts w:ascii="Times New Roman" w:hAnsi="Times New Roman" w:cs="Times New Roman" w:eastAsia="Times New Roman" w:hint="default"/>
                <w:sz w:val="18"/>
                <w:szCs w:val="18"/>
              </w:rPr>
            </w:pPr>
            <w:r>
              <w:rPr>
                <w:rFonts w:ascii="Times New Roman"/>
                <w:sz w:val="18"/>
              </w:rPr>
              <w:t>159,774,570</w:t>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
              <w:jc w:val="center"/>
              <w:rPr>
                <w:rFonts w:ascii="Times New Roman" w:hAnsi="Times New Roman" w:cs="Times New Roman" w:eastAsia="Times New Roman" w:hint="default"/>
                <w:sz w:val="18"/>
                <w:szCs w:val="18"/>
              </w:rPr>
            </w:pPr>
            <w:r>
              <w:rPr>
                <w:rFonts w:ascii="楷体" w:hAnsi="楷体" w:cs="楷体" w:eastAsia="楷体" w:hint="default"/>
                <w:sz w:val="18"/>
                <w:szCs w:val="18"/>
              </w:rPr>
              <w:t>注</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4</w:t>
            </w:r>
          </w:p>
        </w:tc>
      </w:tr>
      <w:tr>
        <w:trPr>
          <w:trHeight w:val="311" w:hRule="exact"/>
        </w:trPr>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楷体" w:hAnsi="楷体" w:cs="楷体" w:eastAsia="楷体" w:hint="default"/>
                <w:sz w:val="18"/>
                <w:szCs w:val="18"/>
              </w:rPr>
            </w:pPr>
            <w:r>
              <w:rPr>
                <w:rFonts w:ascii="楷体" w:hAnsi="楷体" w:cs="楷体" w:eastAsia="楷体" w:hint="default"/>
                <w:sz w:val="18"/>
                <w:szCs w:val="18"/>
              </w:rPr>
              <w:t>配股下一月份起至报告期期末的月份数</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30" w:right="0"/>
              <w:jc w:val="left"/>
              <w:rPr>
                <w:rFonts w:ascii="Times New Roman" w:hAnsi="Times New Roman" w:cs="Times New Roman" w:eastAsia="Times New Roman" w:hint="default"/>
                <w:sz w:val="18"/>
                <w:szCs w:val="18"/>
              </w:rPr>
            </w:pPr>
            <w:r>
              <w:rPr>
                <w:rFonts w:ascii="Times New Roman"/>
                <w:sz w:val="18"/>
              </w:rPr>
              <w:t>7</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8"/>
              <w:jc w:val="right"/>
              <w:rPr>
                <w:rFonts w:ascii="Times New Roman" w:hAnsi="Times New Roman" w:cs="Times New Roman" w:eastAsia="Times New Roman" w:hint="default"/>
                <w:sz w:val="18"/>
                <w:szCs w:val="18"/>
              </w:rPr>
            </w:pPr>
            <w:r>
              <w:rPr>
                <w:rFonts w:ascii="Times New Roman"/>
                <w:sz w:val="18"/>
              </w:rPr>
              <w:t>7.00</w:t>
            </w:r>
          </w:p>
        </w:tc>
        <w:tc>
          <w:tcPr>
            <w:tcW w:w="589" w:type="dxa"/>
            <w:tcBorders>
              <w:top w:val="nil" w:sz="6" w:space="0" w:color="auto"/>
              <w:left w:val="nil" w:sz="6" w:space="0" w:color="auto"/>
              <w:bottom w:val="nil" w:sz="6" w:space="0" w:color="auto"/>
              <w:right w:val="nil" w:sz="6" w:space="0" w:color="auto"/>
            </w:tcBorders>
          </w:tcPr>
          <w:p>
            <w:pPr/>
          </w:p>
        </w:tc>
      </w:tr>
      <w:tr>
        <w:trPr>
          <w:trHeight w:val="312" w:hRule="exact"/>
        </w:trPr>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楷体" w:hAnsi="楷体" w:cs="楷体" w:eastAsia="楷体" w:hint="default"/>
                <w:sz w:val="18"/>
                <w:szCs w:val="18"/>
              </w:rPr>
            </w:pPr>
            <w:r>
              <w:rPr>
                <w:rFonts w:ascii="楷体" w:hAnsi="楷体" w:cs="楷体" w:eastAsia="楷体" w:hint="default"/>
                <w:sz w:val="18"/>
                <w:szCs w:val="18"/>
              </w:rPr>
              <w:t>报告期月份数</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30" w:right="0"/>
              <w:jc w:val="left"/>
              <w:rPr>
                <w:rFonts w:ascii="Times New Roman" w:hAnsi="Times New Roman" w:cs="Times New Roman" w:eastAsia="Times New Roman" w:hint="default"/>
                <w:sz w:val="18"/>
                <w:szCs w:val="18"/>
              </w:rPr>
            </w:pPr>
            <w:r>
              <w:rPr>
                <w:rFonts w:ascii="Times New Roman"/>
                <w:sz w:val="18"/>
              </w:rPr>
              <w:t>8</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8"/>
              <w:jc w:val="right"/>
              <w:rPr>
                <w:rFonts w:ascii="Times New Roman" w:hAnsi="Times New Roman" w:cs="Times New Roman" w:eastAsia="Times New Roman" w:hint="default"/>
                <w:sz w:val="18"/>
                <w:szCs w:val="18"/>
              </w:rPr>
            </w:pPr>
            <w:r>
              <w:rPr>
                <w:rFonts w:ascii="Times New Roman"/>
                <w:sz w:val="18"/>
              </w:rPr>
              <w:t>12.00</w:t>
            </w:r>
          </w:p>
        </w:tc>
        <w:tc>
          <w:tcPr>
            <w:tcW w:w="589" w:type="dxa"/>
            <w:tcBorders>
              <w:top w:val="nil" w:sz="6" w:space="0" w:color="auto"/>
              <w:left w:val="nil" w:sz="6" w:space="0" w:color="auto"/>
              <w:bottom w:val="nil" w:sz="6" w:space="0" w:color="auto"/>
              <w:right w:val="nil" w:sz="6" w:space="0" w:color="auto"/>
            </w:tcBorders>
          </w:tcPr>
          <w:p>
            <w:pPr/>
          </w:p>
        </w:tc>
      </w:tr>
      <w:tr>
        <w:trPr>
          <w:trHeight w:val="312" w:hRule="exact"/>
        </w:trPr>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楷体" w:hAnsi="楷体" w:cs="楷体" w:eastAsia="楷体" w:hint="default"/>
                <w:sz w:val="18"/>
                <w:szCs w:val="18"/>
              </w:rPr>
            </w:pPr>
            <w:r>
              <w:rPr>
                <w:rFonts w:ascii="楷体" w:hAnsi="楷体" w:cs="楷体" w:eastAsia="楷体" w:hint="default"/>
                <w:sz w:val="18"/>
                <w:szCs w:val="18"/>
              </w:rPr>
              <w:t>发行在外的普通股加权平均数</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9=4×5×(8-7)÷8+(4+6)×7÷8</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7"/>
              <w:jc w:val="right"/>
              <w:rPr>
                <w:rFonts w:ascii="Times New Roman" w:hAnsi="Times New Roman" w:cs="Times New Roman" w:eastAsia="Times New Roman" w:hint="default"/>
                <w:sz w:val="18"/>
                <w:szCs w:val="18"/>
              </w:rPr>
            </w:pPr>
            <w:r>
              <w:rPr>
                <w:rFonts w:ascii="Times New Roman"/>
                <w:spacing w:val="-1"/>
                <w:sz w:val="18"/>
              </w:rPr>
              <w:t>940,884,322.04</w:t>
            </w:r>
          </w:p>
        </w:tc>
        <w:tc>
          <w:tcPr>
            <w:tcW w:w="589" w:type="dxa"/>
            <w:tcBorders>
              <w:top w:val="nil" w:sz="6" w:space="0" w:color="auto"/>
              <w:left w:val="nil" w:sz="6" w:space="0" w:color="auto"/>
              <w:bottom w:val="nil" w:sz="6" w:space="0" w:color="auto"/>
              <w:right w:val="nil" w:sz="6" w:space="0" w:color="auto"/>
            </w:tcBorders>
          </w:tcPr>
          <w:p>
            <w:pPr/>
          </w:p>
        </w:tc>
      </w:tr>
      <w:tr>
        <w:trPr>
          <w:trHeight w:val="314" w:hRule="exact"/>
        </w:trPr>
        <w:tc>
          <w:tcPr>
            <w:tcW w:w="3798" w:type="dxa"/>
            <w:tcBorders>
              <w:top w:val="nil" w:sz="6" w:space="0" w:color="auto"/>
              <w:left w:val="nil" w:sz="6" w:space="0" w:color="auto"/>
              <w:bottom w:val="nil" w:sz="6" w:space="0" w:color="auto"/>
              <w:right w:val="nil" w:sz="6" w:space="0" w:color="auto"/>
            </w:tcBorders>
          </w:tcPr>
          <w:p>
            <w:pPr>
              <w:pStyle w:val="TableParagraph"/>
              <w:spacing w:line="263" w:lineRule="exact"/>
              <w:ind w:left="10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2008 </w:t>
            </w:r>
            <w:r>
              <w:rPr>
                <w:rFonts w:ascii="Microsoft JhengHei" w:hAnsi="Microsoft JhengHei" w:cs="Microsoft JhengHei" w:eastAsia="Microsoft JhengHei" w:hint="default"/>
                <w:b/>
                <w:bCs/>
                <w:sz w:val="18"/>
                <w:szCs w:val="18"/>
              </w:rPr>
              <w:t>年度基本每股收益（Ⅰ）</w:t>
            </w:r>
            <w:r>
              <w:rPr>
                <w:rFonts w:ascii="Microsoft JhengHei" w:hAnsi="Microsoft JhengHei" w:cs="Microsoft JhengHei" w:eastAsia="Microsoft JhengHei" w:hint="default"/>
                <w:sz w:val="18"/>
                <w:szCs w:val="18"/>
              </w:rPr>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10=1÷9</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8"/>
              <w:jc w:val="right"/>
              <w:rPr>
                <w:rFonts w:ascii="Times New Roman" w:hAnsi="Times New Roman" w:cs="Times New Roman" w:eastAsia="Times New Roman" w:hint="default"/>
                <w:sz w:val="18"/>
                <w:szCs w:val="18"/>
              </w:rPr>
            </w:pPr>
            <w:r>
              <w:rPr>
                <w:rFonts w:ascii="Times New Roman"/>
                <w:b/>
                <w:sz w:val="18"/>
              </w:rPr>
              <w:t>0.27</w:t>
            </w:r>
            <w:r>
              <w:rPr>
                <w:rFonts w:ascii="Times New Roman"/>
                <w:sz w:val="18"/>
              </w:rPr>
            </w:r>
          </w:p>
        </w:tc>
        <w:tc>
          <w:tcPr>
            <w:tcW w:w="589" w:type="dxa"/>
            <w:tcBorders>
              <w:top w:val="nil" w:sz="6" w:space="0" w:color="auto"/>
              <w:left w:val="nil" w:sz="6" w:space="0" w:color="auto"/>
              <w:bottom w:val="nil" w:sz="6" w:space="0" w:color="auto"/>
              <w:right w:val="nil" w:sz="6" w:space="0" w:color="auto"/>
            </w:tcBorders>
          </w:tcPr>
          <w:p>
            <w:pPr/>
          </w:p>
        </w:tc>
      </w:tr>
      <w:tr>
        <w:trPr>
          <w:trHeight w:val="321" w:hRule="exact"/>
        </w:trPr>
        <w:tc>
          <w:tcPr>
            <w:tcW w:w="3798" w:type="dxa"/>
            <w:tcBorders>
              <w:top w:val="nil" w:sz="6" w:space="0" w:color="auto"/>
              <w:left w:val="nil" w:sz="6" w:space="0" w:color="auto"/>
              <w:bottom w:val="single" w:sz="12" w:space="0" w:color="000000"/>
              <w:right w:val="nil" w:sz="6" w:space="0" w:color="auto"/>
            </w:tcBorders>
          </w:tcPr>
          <w:p>
            <w:pPr>
              <w:pStyle w:val="TableParagraph"/>
              <w:spacing w:line="261" w:lineRule="exact"/>
              <w:ind w:left="10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2008 </w:t>
            </w:r>
            <w:r>
              <w:rPr>
                <w:rFonts w:ascii="Microsoft JhengHei" w:hAnsi="Microsoft JhengHei" w:cs="Microsoft JhengHei" w:eastAsia="Microsoft JhengHei" w:hint="default"/>
                <w:b/>
                <w:bCs/>
                <w:sz w:val="18"/>
                <w:szCs w:val="18"/>
              </w:rPr>
              <w:t>年度基本每股收益（Ⅱ）</w:t>
            </w:r>
            <w:r>
              <w:rPr>
                <w:rFonts w:ascii="Microsoft JhengHei" w:hAnsi="Microsoft JhengHei" w:cs="Microsoft JhengHei" w:eastAsia="Microsoft JhengHei" w:hint="default"/>
                <w:sz w:val="18"/>
                <w:szCs w:val="18"/>
              </w:rPr>
            </w:r>
          </w:p>
        </w:tc>
        <w:tc>
          <w:tcPr>
            <w:tcW w:w="2815"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left="6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11=3÷9</w:t>
            </w:r>
          </w:p>
        </w:tc>
        <w:tc>
          <w:tcPr>
            <w:tcW w:w="1431"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128"/>
              <w:jc w:val="right"/>
              <w:rPr>
                <w:rFonts w:ascii="Times New Roman" w:hAnsi="Times New Roman" w:cs="Times New Roman" w:eastAsia="Times New Roman" w:hint="default"/>
                <w:sz w:val="18"/>
                <w:szCs w:val="18"/>
              </w:rPr>
            </w:pPr>
            <w:r>
              <w:rPr>
                <w:rFonts w:ascii="Times New Roman"/>
                <w:b/>
                <w:sz w:val="18"/>
              </w:rPr>
              <w:t>0.29</w:t>
            </w:r>
            <w:r>
              <w:rPr>
                <w:rFonts w:ascii="Times New Roman"/>
                <w:sz w:val="18"/>
              </w:rPr>
            </w:r>
          </w:p>
        </w:tc>
        <w:tc>
          <w:tcPr>
            <w:tcW w:w="589" w:type="dxa"/>
            <w:tcBorders>
              <w:top w:val="nil" w:sz="6" w:space="0" w:color="auto"/>
              <w:left w:val="nil" w:sz="6" w:space="0" w:color="auto"/>
              <w:bottom w:val="single" w:sz="12" w:space="0" w:color="000000"/>
              <w:right w:val="nil" w:sz="6" w:space="0" w:color="auto"/>
            </w:tcBorders>
          </w:tcPr>
          <w:p>
            <w:pPr/>
          </w:p>
        </w:tc>
      </w:tr>
    </w:tbl>
    <w:p>
      <w:pPr>
        <w:spacing w:line="307" w:lineRule="auto" w:before="79"/>
        <w:ind w:left="138" w:right="0" w:firstLine="440"/>
        <w:jc w:val="left"/>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58"/>
          <w:sz w:val="22"/>
          <w:szCs w:val="22"/>
        </w:rPr>
        <w:t> </w:t>
      </w:r>
      <w:r>
        <w:rPr>
          <w:rFonts w:ascii="Times New Roman" w:hAnsi="Times New Roman" w:cs="Times New Roman" w:eastAsia="Times New Roman" w:hint="default"/>
          <w:spacing w:val="-3"/>
          <w:sz w:val="22"/>
          <w:szCs w:val="22"/>
        </w:rPr>
        <w:t>3</w:t>
      </w:r>
      <w:r>
        <w:rPr>
          <w:rFonts w:ascii="楷体" w:hAnsi="楷体" w:cs="楷体" w:eastAsia="楷体" w:hint="default"/>
          <w:spacing w:val="-3"/>
          <w:sz w:val="22"/>
          <w:szCs w:val="22"/>
        </w:rPr>
        <w:t>：</w:t>
      </w:r>
      <w:r>
        <w:rPr>
          <w:rFonts w:ascii="Times New Roman" w:hAnsi="Times New Roman" w:cs="Times New Roman" w:eastAsia="Times New Roman" w:hint="default"/>
          <w:spacing w:val="-3"/>
          <w:sz w:val="22"/>
          <w:szCs w:val="22"/>
        </w:rPr>
        <w:t>2008</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年期初，公司股份总数为</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628,612,295</w:t>
      </w:r>
      <w:r>
        <w:rPr>
          <w:rFonts w:ascii="Times New Roman" w:hAnsi="Times New Roman" w:cs="Times New Roman" w:eastAsia="Times New Roman" w:hint="default"/>
          <w:spacing w:val="-5"/>
          <w:sz w:val="22"/>
          <w:szCs w:val="22"/>
        </w:rPr>
        <w:t> </w:t>
      </w:r>
      <w:r>
        <w:rPr>
          <w:rFonts w:ascii="楷体" w:hAnsi="楷体" w:cs="楷体" w:eastAsia="楷体" w:hint="default"/>
          <w:spacing w:val="-4"/>
          <w:sz w:val="22"/>
          <w:szCs w:val="22"/>
        </w:rPr>
        <w:t>股。按照</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年资本公积转增资本的比例</w:t>
      </w:r>
      <w:r>
        <w:rPr>
          <w:rFonts w:ascii="楷体" w:hAnsi="楷体" w:cs="楷体" w:eastAsia="楷体" w:hint="default"/>
          <w:w w:val="99"/>
          <w:sz w:val="22"/>
          <w:szCs w:val="22"/>
        </w:rPr>
        <w:t> </w:t>
      </w:r>
      <w:r>
        <w:rPr>
          <w:rFonts w:ascii="楷体" w:hAnsi="楷体" w:cs="楷体" w:eastAsia="楷体" w:hint="default"/>
          <w:sz w:val="22"/>
          <w:szCs w:val="22"/>
        </w:rPr>
        <w:t>重新计算期初股数为</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817,195,984</w:t>
      </w:r>
      <w:r>
        <w:rPr>
          <w:rFonts w:ascii="Times New Roman" w:hAnsi="Times New Roman" w:cs="Times New Roman" w:eastAsia="Times New Roman" w:hint="default"/>
          <w:spacing w:val="-6"/>
          <w:sz w:val="22"/>
          <w:szCs w:val="22"/>
        </w:rPr>
        <w:t> </w:t>
      </w:r>
      <w:r>
        <w:rPr>
          <w:rFonts w:ascii="楷体" w:hAnsi="楷体" w:cs="楷体" w:eastAsia="楷体" w:hint="default"/>
          <w:sz w:val="22"/>
          <w:szCs w:val="22"/>
        </w:rPr>
        <w:t>股。</w:t>
      </w:r>
    </w:p>
    <w:p>
      <w:pPr>
        <w:spacing w:before="95"/>
        <w:ind w:left="578" w:right="0" w:firstLine="0"/>
        <w:jc w:val="left"/>
        <w:rPr>
          <w:rFonts w:ascii="楷体" w:hAnsi="楷体" w:cs="楷体" w:eastAsia="楷体" w:hint="default"/>
          <w:sz w:val="22"/>
          <w:szCs w:val="22"/>
        </w:rPr>
      </w:pPr>
      <w:r>
        <w:rPr>
          <w:rFonts w:ascii="楷体" w:hAnsi="楷体" w:cs="楷体" w:eastAsia="楷体" w:hint="default"/>
          <w:sz w:val="22"/>
          <w:szCs w:val="22"/>
        </w:rPr>
        <w:t>注</w:t>
      </w:r>
      <w:r>
        <w:rPr>
          <w:rFonts w:ascii="楷体" w:hAnsi="楷体" w:cs="楷体" w:eastAsia="楷体" w:hint="default"/>
          <w:spacing w:val="-56"/>
          <w:sz w:val="22"/>
          <w:szCs w:val="22"/>
        </w:rPr>
        <w:t> </w:t>
      </w:r>
      <w:r>
        <w:rPr>
          <w:rFonts w:ascii="Times New Roman" w:hAnsi="Times New Roman" w:cs="Times New Roman" w:eastAsia="Times New Roman" w:hint="default"/>
          <w:spacing w:val="-3"/>
          <w:sz w:val="22"/>
          <w:szCs w:val="22"/>
        </w:rPr>
        <w:t>4</w:t>
      </w:r>
      <w:r>
        <w:rPr>
          <w:rFonts w:ascii="楷体" w:hAnsi="楷体" w:cs="楷体" w:eastAsia="楷体" w:hint="default"/>
          <w:spacing w:val="-3"/>
          <w:sz w:val="22"/>
          <w:szCs w:val="22"/>
        </w:rPr>
        <w:t>：</w:t>
      </w:r>
      <w:r>
        <w:rPr>
          <w:rFonts w:ascii="Times New Roman" w:hAnsi="Times New Roman" w:cs="Times New Roman" w:eastAsia="Times New Roman" w:hint="default"/>
          <w:spacing w:val="-3"/>
          <w:sz w:val="22"/>
          <w:szCs w:val="22"/>
        </w:rPr>
        <w:t>2008 </w:t>
      </w:r>
      <w:r>
        <w:rPr>
          <w:rFonts w:ascii="楷体" w:hAnsi="楷体" w:cs="楷体" w:eastAsia="楷体" w:hint="default"/>
          <w:sz w:val="22"/>
          <w:szCs w:val="22"/>
        </w:rPr>
        <w:t>年</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月</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日，公司对原股东配股</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122,903,516</w:t>
      </w:r>
      <w:r>
        <w:rPr>
          <w:rFonts w:ascii="Times New Roman" w:hAnsi="Times New Roman" w:cs="Times New Roman" w:eastAsia="Times New Roman" w:hint="default"/>
          <w:spacing w:val="-3"/>
          <w:sz w:val="22"/>
          <w:szCs w:val="22"/>
        </w:rPr>
        <w:t> </w:t>
      </w:r>
      <w:r>
        <w:rPr>
          <w:rFonts w:ascii="楷体" w:hAnsi="楷体" w:cs="楷体" w:eastAsia="楷体" w:hint="default"/>
          <w:spacing w:val="-4"/>
          <w:sz w:val="22"/>
          <w:szCs w:val="22"/>
        </w:rPr>
        <w:t>股，按照</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年</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月</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日资本公</w:t>
      </w:r>
    </w:p>
    <w:p>
      <w:pPr>
        <w:spacing w:line="379" w:lineRule="auto" w:before="85"/>
        <w:ind w:left="578" w:right="3606" w:hanging="441"/>
        <w:jc w:val="left"/>
        <w:rPr>
          <w:rFonts w:ascii="楷体" w:hAnsi="楷体" w:cs="楷体" w:eastAsia="楷体" w:hint="default"/>
          <w:sz w:val="22"/>
          <w:szCs w:val="22"/>
        </w:rPr>
      </w:pPr>
      <w:r>
        <w:rPr>
          <w:rFonts w:ascii="楷体" w:hAnsi="楷体" w:cs="楷体" w:eastAsia="楷体" w:hint="default"/>
          <w:sz w:val="22"/>
          <w:szCs w:val="22"/>
        </w:rPr>
        <w:t>积转增资本的比例重新计算配股股数为</w:t>
      </w:r>
      <w:r>
        <w:rPr>
          <w:rFonts w:ascii="楷体" w:hAnsi="楷体" w:cs="楷体" w:eastAsia="楷体" w:hint="default"/>
          <w:spacing w:val="-54"/>
          <w:sz w:val="22"/>
          <w:szCs w:val="22"/>
        </w:rPr>
        <w:t> </w:t>
      </w:r>
      <w:r>
        <w:rPr>
          <w:rFonts w:ascii="Times New Roman" w:hAnsi="Times New Roman" w:cs="Times New Roman" w:eastAsia="Times New Roman" w:hint="default"/>
          <w:sz w:val="22"/>
          <w:szCs w:val="22"/>
        </w:rPr>
        <w:t>159,774,570</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股</w:t>
      </w:r>
      <w:r>
        <w:rPr>
          <w:rFonts w:ascii="楷体" w:hAnsi="楷体" w:cs="楷体" w:eastAsia="楷体" w:hint="default"/>
          <w:w w:val="99"/>
          <w:sz w:val="22"/>
          <w:szCs w:val="22"/>
        </w:rPr>
        <w:t> </w:t>
      </w:r>
      <w:r>
        <w:rPr>
          <w:rFonts w:ascii="楷体" w:hAnsi="楷体" w:cs="楷体" w:eastAsia="楷体" w:hint="default"/>
          <w:sz w:val="22"/>
          <w:szCs w:val="22"/>
        </w:rPr>
        <w:t>本公司不存在稀释性潜在普通股影响每股收益的计算。</w:t>
      </w:r>
      <w:r>
        <w:rPr>
          <w:rFonts w:ascii="楷体" w:hAnsi="楷体" w:cs="楷体" w:eastAsia="楷体" w:hint="default"/>
          <w:w w:val="99"/>
          <w:sz w:val="22"/>
          <w:szCs w:val="22"/>
        </w:rPr>
        <w:t> </w:t>
      </w:r>
      <w:r>
        <w:rPr>
          <w:rFonts w:ascii="Times New Roman" w:hAnsi="Times New Roman" w:cs="Times New Roman" w:eastAsia="Times New Roman" w:hint="default"/>
          <w:b/>
          <w:bCs/>
          <w:sz w:val="22"/>
          <w:szCs w:val="22"/>
        </w:rPr>
        <w:t>52.  </w:t>
      </w:r>
      <w:r>
        <w:rPr>
          <w:rFonts w:ascii="Times New Roman" w:hAnsi="Times New Roman" w:cs="Times New Roman" w:eastAsia="Times New Roman" w:hint="default"/>
          <w:b/>
          <w:bCs/>
          <w:spacing w:val="24"/>
          <w:sz w:val="22"/>
          <w:szCs w:val="22"/>
        </w:rPr>
        <w:t> </w:t>
      </w:r>
      <w:r>
        <w:rPr>
          <w:rFonts w:ascii="楷体" w:hAnsi="楷体" w:cs="楷体" w:eastAsia="楷体" w:hint="default"/>
          <w:sz w:val="22"/>
          <w:szCs w:val="22"/>
        </w:rPr>
        <w:t>现金流量表</w:t>
      </w:r>
    </w:p>
    <w:p>
      <w:pPr>
        <w:spacing w:before="22"/>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列示于现金流量表的现金和现金等价物包括：</w:t>
      </w:r>
    </w:p>
    <w:p>
      <w:pPr>
        <w:tabs>
          <w:tab w:pos="5806" w:val="left" w:leader="none"/>
          <w:tab w:pos="7989" w:val="left" w:leader="none"/>
        </w:tabs>
        <w:spacing w:before="110"/>
        <w:ind w:left="524" w:right="0" w:firstLine="0"/>
        <w:jc w:val="left"/>
        <w:rPr>
          <w:rFonts w:ascii="Microsoft JhengHei" w:hAnsi="Microsoft JhengHei" w:cs="Microsoft JhengHei" w:eastAsia="Microsoft JhengHei" w:hint="default"/>
          <w:sz w:val="18"/>
          <w:szCs w:val="18"/>
        </w:rPr>
      </w:pPr>
      <w:r>
        <w:rPr/>
        <w:pict>
          <v:group style="position:absolute;margin-left:84.839996pt;margin-top:8.105552pt;width:431.9pt;height:.1pt;mso-position-horizontal-relative:page;mso-position-vertical-relative:paragraph;z-index:-897736" coordorigin="1697,162" coordsize="8638,2">
            <v:shape style="position:absolute;left:1697;top:162;width:8638;height:2" coordorigin="1697,162" coordsize="8638,0" path="m1697,162l10334,162e" filled="false" stroked="true" strokeweight="1.5pt" strokecolor="#000000">
              <v:path arrowok="t"/>
            </v:shape>
            <w10:wrap type="none"/>
          </v:group>
        </w:pict>
      </w:r>
      <w:r>
        <w:rPr>
          <w:rFonts w:ascii="Microsoft JhengHei" w:hAnsi="Microsoft JhengHei" w:cs="Microsoft JhengHei" w:eastAsia="Microsoft JhengHei" w:hint="default"/>
          <w:b/>
          <w:bCs/>
          <w:sz w:val="18"/>
          <w:szCs w:val="18"/>
        </w:rPr>
        <w:t>项目</w:t>
        <w:tab/>
        <w:t>本年金额</w:t>
        <w:tab/>
        <w:t>上年金额</w:t>
      </w:r>
      <w:r>
        <w:rPr>
          <w:rFonts w:ascii="Microsoft JhengHei" w:hAnsi="Microsoft JhengHei" w:cs="Microsoft JhengHei" w:eastAsia="Microsoft JhengHei" w:hint="default"/>
          <w:sz w:val="18"/>
          <w:szCs w:val="18"/>
        </w:rPr>
      </w:r>
    </w:p>
    <w:p>
      <w:pPr>
        <w:spacing w:line="240" w:lineRule="auto" w:before="7"/>
        <w:rPr>
          <w:rFonts w:ascii="Microsoft JhengHei" w:hAnsi="Microsoft JhengHei" w:cs="Microsoft JhengHei" w:eastAsia="Microsoft JhengHei" w:hint="default"/>
          <w:b/>
          <w:bCs/>
          <w:sz w:val="2"/>
          <w:szCs w:val="2"/>
        </w:rPr>
      </w:pPr>
    </w:p>
    <w:tbl>
      <w:tblPr>
        <w:tblW w:w="0" w:type="auto"/>
        <w:jc w:val="left"/>
        <w:tblInd w:w="416" w:type="dxa"/>
        <w:tblLayout w:type="fixed"/>
        <w:tblCellMar>
          <w:top w:w="0" w:type="dxa"/>
          <w:left w:w="0" w:type="dxa"/>
          <w:bottom w:w="0" w:type="dxa"/>
          <w:right w:w="0" w:type="dxa"/>
        </w:tblCellMar>
        <w:tblLook w:val="01E0"/>
      </w:tblPr>
      <w:tblGrid>
        <w:gridCol w:w="4131"/>
        <w:gridCol w:w="2685"/>
        <w:gridCol w:w="1822"/>
      </w:tblGrid>
      <w:tr>
        <w:trPr>
          <w:trHeight w:val="287" w:hRule="exact"/>
        </w:trPr>
        <w:tc>
          <w:tcPr>
            <w:tcW w:w="413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现金</w:t>
            </w:r>
          </w:p>
        </w:tc>
        <w:tc>
          <w:tcPr>
            <w:tcW w:w="268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60"/>
              <w:jc w:val="right"/>
              <w:rPr>
                <w:rFonts w:ascii="Times New Roman" w:hAnsi="Times New Roman" w:cs="Times New Roman" w:eastAsia="Times New Roman" w:hint="default"/>
                <w:sz w:val="18"/>
                <w:szCs w:val="18"/>
              </w:rPr>
            </w:pPr>
            <w:r>
              <w:rPr>
                <w:rFonts w:ascii="Times New Roman"/>
                <w:spacing w:val="-1"/>
                <w:sz w:val="18"/>
              </w:rPr>
              <w:t>3,241,319,108.47</w:t>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2,906,518,008.44</w:t>
            </w:r>
          </w:p>
        </w:tc>
      </w:tr>
      <w:tr>
        <w:trPr>
          <w:trHeight w:val="283" w:hRule="exact"/>
        </w:trPr>
        <w:tc>
          <w:tcPr>
            <w:tcW w:w="413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其中：库存现金</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17,029,602.39</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14,183,053.96</w:t>
            </w:r>
          </w:p>
        </w:tc>
      </w:tr>
      <w:tr>
        <w:trPr>
          <w:trHeight w:val="283" w:hRule="exact"/>
        </w:trPr>
        <w:tc>
          <w:tcPr>
            <w:tcW w:w="4131"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楷体" w:hAnsi="楷体" w:cs="楷体" w:eastAsia="楷体" w:hint="default"/>
                <w:sz w:val="18"/>
                <w:szCs w:val="18"/>
              </w:rPr>
            </w:pPr>
            <w:r>
              <w:rPr>
                <w:rFonts w:ascii="楷体" w:hAnsi="楷体" w:cs="楷体" w:eastAsia="楷体" w:hint="default"/>
                <w:sz w:val="18"/>
                <w:szCs w:val="18"/>
              </w:rPr>
              <w:t>可随时用于支付的银行存款</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3,062,961,367.06</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2,604,321,885.37</w:t>
            </w:r>
          </w:p>
        </w:tc>
      </w:tr>
      <w:tr>
        <w:trPr>
          <w:trHeight w:val="283" w:hRule="exact"/>
        </w:trPr>
        <w:tc>
          <w:tcPr>
            <w:tcW w:w="4131"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楷体" w:hAnsi="楷体" w:cs="楷体" w:eastAsia="楷体" w:hint="default"/>
                <w:sz w:val="18"/>
                <w:szCs w:val="18"/>
              </w:rPr>
            </w:pPr>
            <w:r>
              <w:rPr>
                <w:rFonts w:ascii="楷体" w:hAnsi="楷体" w:cs="楷体" w:eastAsia="楷体" w:hint="default"/>
                <w:sz w:val="18"/>
                <w:szCs w:val="18"/>
              </w:rPr>
              <w:t>可随时用于支付的其他货币资金</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8"/>
              <w:jc w:val="right"/>
              <w:rPr>
                <w:rFonts w:ascii="Times New Roman" w:hAnsi="Times New Roman" w:cs="Times New Roman" w:eastAsia="Times New Roman" w:hint="default"/>
                <w:sz w:val="18"/>
                <w:szCs w:val="18"/>
              </w:rPr>
            </w:pPr>
            <w:r>
              <w:rPr>
                <w:rFonts w:ascii="Times New Roman"/>
                <w:spacing w:val="-1"/>
                <w:sz w:val="18"/>
              </w:rPr>
              <w:t>161,328,139.02</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288,013,069.11</w:t>
            </w:r>
          </w:p>
        </w:tc>
      </w:tr>
      <w:tr>
        <w:trPr>
          <w:trHeight w:val="283" w:hRule="exact"/>
        </w:trPr>
        <w:tc>
          <w:tcPr>
            <w:tcW w:w="413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现金等价物</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49" w:hRule="exact"/>
        </w:trPr>
        <w:tc>
          <w:tcPr>
            <w:tcW w:w="4131"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期末现金和现金等价物余额</w:t>
            </w:r>
            <w:r>
              <w:rPr>
                <w:rFonts w:ascii="Microsoft JhengHei" w:hAnsi="Microsoft JhengHei" w:cs="Microsoft JhengHei" w:eastAsia="Microsoft JhengHei" w:hint="default"/>
                <w:sz w:val="18"/>
                <w:szCs w:val="18"/>
              </w:rPr>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b/>
                <w:spacing w:val="-1"/>
                <w:sz w:val="18"/>
              </w:rPr>
              <w:t>3,241,319,108.47</w:t>
            </w:r>
            <w:r>
              <w:rPr>
                <w:rFonts w:ascii="Times New Roman"/>
                <w:spacing w:val="-1"/>
                <w:sz w:val="18"/>
              </w:rPr>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2,906,518,008.44</w:t>
            </w:r>
            <w:r>
              <w:rPr>
                <w:rFonts w:ascii="Times New Roman"/>
                <w:spacing w:val="-1"/>
                <w:sz w:val="18"/>
              </w:rPr>
            </w:r>
          </w:p>
        </w:tc>
      </w:tr>
    </w:tbl>
    <w:p>
      <w:pPr>
        <w:spacing w:line="173" w:lineRule="exact" w:before="0"/>
        <w:ind w:left="524" w:right="2246" w:firstLine="0"/>
        <w:jc w:val="left"/>
        <w:rPr>
          <w:rFonts w:ascii="楷体" w:hAnsi="楷体" w:cs="楷体" w:eastAsia="楷体" w:hint="default"/>
          <w:sz w:val="18"/>
          <w:szCs w:val="18"/>
        </w:rPr>
      </w:pPr>
      <w:r>
        <w:rPr>
          <w:rFonts w:ascii="楷体" w:hAnsi="楷体" w:cs="楷体" w:eastAsia="楷体" w:hint="default"/>
          <w:sz w:val="18"/>
          <w:szCs w:val="18"/>
        </w:rPr>
        <w:t>其中：母公司或集团内子公司使用受限制的现金和</w:t>
      </w:r>
    </w:p>
    <w:p>
      <w:pPr>
        <w:tabs>
          <w:tab w:pos="6455" w:val="left" w:leader="none"/>
          <w:tab w:pos="8637" w:val="left" w:leader="none"/>
        </w:tabs>
        <w:spacing w:line="247" w:lineRule="exact" w:before="0"/>
        <w:ind w:left="524" w:right="0" w:firstLine="0"/>
        <w:jc w:val="left"/>
        <w:rPr>
          <w:rFonts w:ascii="Times New Roman" w:hAnsi="Times New Roman" w:cs="Times New Roman" w:eastAsia="Times New Roman" w:hint="default"/>
          <w:sz w:val="18"/>
          <w:szCs w:val="18"/>
        </w:rPr>
      </w:pPr>
      <w:r>
        <w:rPr>
          <w:rFonts w:ascii="楷体" w:hAnsi="楷体" w:cs="楷体" w:eastAsia="楷体" w:hint="default"/>
          <w:position w:val="-9"/>
          <w:sz w:val="18"/>
          <w:szCs w:val="18"/>
        </w:rPr>
        <w:t>现金等价物</w:t>
        <w:tab/>
      </w:r>
      <w:r>
        <w:rPr>
          <w:rFonts w:ascii="Times New Roman" w:hAnsi="Times New Roman" w:cs="Times New Roman" w:eastAsia="Times New Roman" w:hint="default"/>
          <w:sz w:val="18"/>
          <w:szCs w:val="18"/>
        </w:rPr>
        <w:t>0.00</w:t>
        <w:tab/>
        <w:t>0.00</w:t>
      </w:r>
    </w:p>
    <w:p>
      <w:pPr>
        <w:spacing w:line="30" w:lineRule="exact"/>
        <w:ind w:left="387"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4.5pt;height:1.5pt;mso-position-horizontal-relative:char;mso-position-vertical-relative:line" coordorigin="0,0" coordsize="8690,30">
            <v:group style="position:absolute;left:15;top:15;width:4193;height:2" coordorigin="15,15" coordsize="4193,2">
              <v:shape style="position:absolute;left:15;top:15;width:4193;height:2" coordorigin="15,15" coordsize="4193,0" path="m15,15l4208,15e" filled="false" stroked="true" strokeweight="1.5pt" strokecolor="#000000">
                <v:path arrowok="t"/>
              </v:shape>
            </v:group>
            <v:group style="position:absolute;left:4193;top:15;width:2300;height:2" coordorigin="4193,15" coordsize="2300,2">
              <v:shape style="position:absolute;left:4193;top:15;width:2300;height:2" coordorigin="4193,15" coordsize="2300,0" path="m4193,15l6493,15e" filled="false" stroked="true" strokeweight="1.5pt" strokecolor="#000000">
                <v:path arrowok="t"/>
              </v:shape>
            </v:group>
            <v:group style="position:absolute;left:6478;top:15;width:30;height:2" coordorigin="6478,15" coordsize="30,2">
              <v:shape style="position:absolute;left:6478;top:15;width:30;height:2" coordorigin="6478,15" coordsize="30,0" path="m6478,15l6508,15e" filled="false" stroked="true" strokeweight="1.5pt" strokecolor="#000000">
                <v:path arrowok="t"/>
              </v:shape>
            </v:group>
            <v:group style="position:absolute;left:6508;top:15;width:2166;height:2" coordorigin="6508,15" coordsize="2166,2">
              <v:shape style="position:absolute;left:6508;top:15;width:2166;height:2" coordorigin="6508,15" coordsize="2166,0" path="m6508,15l8674,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before="109"/>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6"/>
          <w:sz w:val="22"/>
          <w:szCs w:val="22"/>
        </w:rPr>
        <w:t> </w:t>
      </w:r>
      <w:r>
        <w:rPr>
          <w:rFonts w:ascii="楷体" w:hAnsi="楷体" w:cs="楷体" w:eastAsia="楷体" w:hint="default"/>
          <w:sz w:val="22"/>
          <w:szCs w:val="22"/>
        </w:rPr>
        <w:t>收到</w:t>
      </w:r>
      <w:r>
        <w:rPr>
          <w:rFonts w:ascii="Times New Roman" w:hAnsi="Times New Roman" w:cs="Times New Roman" w:eastAsia="Times New Roman" w:hint="default"/>
          <w:sz w:val="22"/>
          <w:szCs w:val="22"/>
        </w:rPr>
        <w:t>/</w:t>
      </w:r>
      <w:r>
        <w:rPr>
          <w:rFonts w:ascii="楷体" w:hAnsi="楷体" w:cs="楷体" w:eastAsia="楷体" w:hint="default"/>
          <w:sz w:val="22"/>
          <w:szCs w:val="22"/>
        </w:rPr>
        <w:t>支付的其他与经营</w:t>
      </w:r>
      <w:r>
        <w:rPr>
          <w:rFonts w:ascii="Times New Roman" w:hAnsi="Times New Roman" w:cs="Times New Roman" w:eastAsia="Times New Roman" w:hint="default"/>
          <w:sz w:val="22"/>
          <w:szCs w:val="22"/>
        </w:rPr>
        <w:t>/</w:t>
      </w:r>
      <w:r>
        <w:rPr>
          <w:rFonts w:ascii="楷体" w:hAnsi="楷体" w:cs="楷体" w:eastAsia="楷体" w:hint="default"/>
          <w:sz w:val="22"/>
          <w:szCs w:val="22"/>
        </w:rPr>
        <w:t>投资</w:t>
      </w:r>
      <w:r>
        <w:rPr>
          <w:rFonts w:ascii="Times New Roman" w:hAnsi="Times New Roman" w:cs="Times New Roman" w:eastAsia="Times New Roman" w:hint="default"/>
          <w:sz w:val="22"/>
          <w:szCs w:val="22"/>
        </w:rPr>
        <w:t>/</w:t>
      </w:r>
      <w:r>
        <w:rPr>
          <w:rFonts w:ascii="楷体" w:hAnsi="楷体" w:cs="楷体" w:eastAsia="楷体" w:hint="default"/>
          <w:sz w:val="22"/>
          <w:szCs w:val="22"/>
        </w:rPr>
        <w:t>筹资活动有关的现金</w:t>
      </w:r>
    </w:p>
    <w:p>
      <w:pPr>
        <w:spacing w:before="163"/>
        <w:ind w:left="688" w:right="5118" w:firstLine="0"/>
        <w:jc w:val="center"/>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收到的其他与经营活动有关的现金</w:t>
      </w:r>
    </w:p>
    <w:p>
      <w:pPr>
        <w:spacing w:line="240" w:lineRule="auto" w:before="5"/>
        <w:rPr>
          <w:rFonts w:ascii="楷体" w:hAnsi="楷体" w:cs="楷体" w:eastAsia="楷体" w:hint="default"/>
          <w:sz w:val="12"/>
          <w:szCs w:val="12"/>
        </w:rPr>
      </w:pPr>
    </w:p>
    <w:tbl>
      <w:tblPr>
        <w:tblW w:w="0" w:type="auto"/>
        <w:jc w:val="left"/>
        <w:tblInd w:w="416" w:type="dxa"/>
        <w:tblLayout w:type="fixed"/>
        <w:tblCellMar>
          <w:top w:w="0" w:type="dxa"/>
          <w:left w:w="0" w:type="dxa"/>
          <w:bottom w:w="0" w:type="dxa"/>
          <w:right w:w="0" w:type="dxa"/>
        </w:tblCellMar>
        <w:tblLook w:val="01E0"/>
      </w:tblPr>
      <w:tblGrid>
        <w:gridCol w:w="3118"/>
        <w:gridCol w:w="3765"/>
        <w:gridCol w:w="1754"/>
      </w:tblGrid>
      <w:tr>
        <w:trPr>
          <w:trHeight w:val="303" w:hRule="exact"/>
        </w:trPr>
        <w:tc>
          <w:tcPr>
            <w:tcW w:w="311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76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2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5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3118"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往来款</w:t>
            </w:r>
          </w:p>
        </w:tc>
        <w:tc>
          <w:tcPr>
            <w:tcW w:w="37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110" w:right="0"/>
              <w:jc w:val="left"/>
              <w:rPr>
                <w:rFonts w:ascii="Times New Roman" w:hAnsi="Times New Roman" w:cs="Times New Roman" w:eastAsia="Times New Roman" w:hint="default"/>
                <w:sz w:val="18"/>
                <w:szCs w:val="18"/>
              </w:rPr>
            </w:pPr>
            <w:r>
              <w:rPr>
                <w:rFonts w:ascii="Times New Roman"/>
                <w:sz w:val="18"/>
              </w:rPr>
              <w:t>363,334,450.57</w:t>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637,276,208.95</w:t>
            </w:r>
          </w:p>
        </w:tc>
      </w:tr>
      <w:tr>
        <w:trPr>
          <w:trHeight w:val="283"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保证金</w:t>
            </w:r>
          </w:p>
        </w:tc>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110" w:right="0"/>
              <w:jc w:val="left"/>
              <w:rPr>
                <w:rFonts w:ascii="Times New Roman" w:hAnsi="Times New Roman" w:cs="Times New Roman" w:eastAsia="Times New Roman" w:hint="default"/>
                <w:sz w:val="18"/>
                <w:szCs w:val="18"/>
              </w:rPr>
            </w:pPr>
            <w:r>
              <w:rPr>
                <w:rFonts w:ascii="Times New Roman"/>
                <w:sz w:val="18"/>
              </w:rPr>
              <w:t>215,002,059.07</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105,937,589.01</w:t>
            </w:r>
          </w:p>
        </w:tc>
      </w:tr>
      <w:tr>
        <w:trPr>
          <w:trHeight w:val="283"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备用金</w:t>
            </w:r>
          </w:p>
        </w:tc>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199" w:right="0"/>
              <w:jc w:val="left"/>
              <w:rPr>
                <w:rFonts w:ascii="Times New Roman" w:hAnsi="Times New Roman" w:cs="Times New Roman" w:eastAsia="Times New Roman" w:hint="default"/>
                <w:sz w:val="18"/>
                <w:szCs w:val="18"/>
              </w:rPr>
            </w:pPr>
            <w:r>
              <w:rPr>
                <w:rFonts w:ascii="Times New Roman"/>
                <w:sz w:val="18"/>
              </w:rPr>
              <w:t>29,410,484.00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利息收入</w:t>
            </w:r>
          </w:p>
        </w:tc>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199" w:right="0"/>
              <w:jc w:val="left"/>
              <w:rPr>
                <w:rFonts w:ascii="Times New Roman" w:hAnsi="Times New Roman" w:cs="Times New Roman" w:eastAsia="Times New Roman" w:hint="default"/>
                <w:sz w:val="18"/>
                <w:szCs w:val="18"/>
              </w:rPr>
            </w:pPr>
            <w:r>
              <w:rPr>
                <w:rFonts w:ascii="Times New Roman"/>
                <w:sz w:val="18"/>
              </w:rPr>
              <w:t>40,906,412.69</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21,095,947.37</w:t>
            </w:r>
          </w:p>
        </w:tc>
      </w:tr>
      <w:tr>
        <w:trPr>
          <w:trHeight w:val="283"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各项补贴款</w:t>
            </w:r>
          </w:p>
        </w:tc>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99" w:right="0"/>
              <w:jc w:val="left"/>
              <w:rPr>
                <w:rFonts w:ascii="Times New Roman" w:hAnsi="Times New Roman" w:cs="Times New Roman" w:eastAsia="Times New Roman" w:hint="default"/>
                <w:sz w:val="18"/>
                <w:szCs w:val="18"/>
              </w:rPr>
            </w:pPr>
            <w:r>
              <w:rPr>
                <w:rFonts w:ascii="Times New Roman"/>
                <w:sz w:val="18"/>
              </w:rPr>
              <w:t>46,436,344.73</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58,987,910.83</w:t>
            </w:r>
          </w:p>
        </w:tc>
      </w:tr>
      <w:tr>
        <w:trPr>
          <w:trHeight w:val="289" w:hRule="exact"/>
        </w:trPr>
        <w:tc>
          <w:tcPr>
            <w:tcW w:w="3118"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376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2199" w:right="0"/>
              <w:jc w:val="left"/>
              <w:rPr>
                <w:rFonts w:ascii="Times New Roman" w:hAnsi="Times New Roman" w:cs="Times New Roman" w:eastAsia="Times New Roman" w:hint="default"/>
                <w:sz w:val="18"/>
                <w:szCs w:val="18"/>
              </w:rPr>
            </w:pPr>
            <w:r>
              <w:rPr>
                <w:rFonts w:ascii="Times New Roman"/>
                <w:sz w:val="18"/>
              </w:rPr>
              <w:t>99,169,220.89</w:t>
            </w: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87,476,225.89</w:t>
            </w:r>
          </w:p>
        </w:tc>
      </w:tr>
      <w:tr>
        <w:trPr>
          <w:trHeight w:val="303" w:hRule="exact"/>
        </w:trPr>
        <w:tc>
          <w:tcPr>
            <w:tcW w:w="3118"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7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110" w:right="0"/>
              <w:jc w:val="left"/>
              <w:rPr>
                <w:rFonts w:ascii="Times New Roman" w:hAnsi="Times New Roman" w:cs="Times New Roman" w:eastAsia="Times New Roman" w:hint="default"/>
                <w:sz w:val="18"/>
                <w:szCs w:val="18"/>
              </w:rPr>
            </w:pPr>
            <w:r>
              <w:rPr>
                <w:rFonts w:ascii="Times New Roman"/>
                <w:b/>
                <w:sz w:val="18"/>
              </w:rPr>
              <w:t>794,258,971.95</w:t>
            </w:r>
            <w:r>
              <w:rPr>
                <w:rFonts w:ascii="Times New Roman"/>
                <w:sz w:val="18"/>
              </w:rPr>
            </w:r>
          </w:p>
        </w:tc>
        <w:tc>
          <w:tcPr>
            <w:tcW w:w="17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910,773,882.05</w:t>
            </w:r>
            <w:r>
              <w:rPr>
                <w:rFonts w:ascii="Times New Roman"/>
                <w:spacing w:val="-1"/>
                <w:sz w:val="18"/>
              </w:rPr>
            </w:r>
          </w:p>
        </w:tc>
      </w:tr>
      <w:tr>
        <w:trPr>
          <w:trHeight w:val="576" w:hRule="exact"/>
        </w:trPr>
        <w:tc>
          <w:tcPr>
            <w:tcW w:w="86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9"/>
              <w:ind w:left="289"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支付的其他与经营活动有关的现金</w:t>
            </w:r>
          </w:p>
        </w:tc>
      </w:tr>
      <w:tr>
        <w:trPr>
          <w:trHeight w:val="303" w:hRule="exact"/>
        </w:trPr>
        <w:tc>
          <w:tcPr>
            <w:tcW w:w="311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76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1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5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3118"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期间费用</w:t>
            </w:r>
          </w:p>
        </w:tc>
        <w:tc>
          <w:tcPr>
            <w:tcW w:w="37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110" w:right="0"/>
              <w:jc w:val="left"/>
              <w:rPr>
                <w:rFonts w:ascii="Times New Roman" w:hAnsi="Times New Roman" w:cs="Times New Roman" w:eastAsia="Times New Roman" w:hint="default"/>
                <w:sz w:val="18"/>
                <w:szCs w:val="18"/>
              </w:rPr>
            </w:pPr>
            <w:r>
              <w:rPr>
                <w:rFonts w:ascii="Times New Roman"/>
                <w:sz w:val="18"/>
              </w:rPr>
              <w:t>647,149,254.12</w:t>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601,667,745.51</w:t>
            </w:r>
          </w:p>
        </w:tc>
      </w:tr>
      <w:tr>
        <w:trPr>
          <w:trHeight w:val="283"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往来款</w:t>
            </w:r>
          </w:p>
        </w:tc>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110" w:right="0"/>
              <w:jc w:val="left"/>
              <w:rPr>
                <w:rFonts w:ascii="Times New Roman" w:hAnsi="Times New Roman" w:cs="Times New Roman" w:eastAsia="Times New Roman" w:hint="default"/>
                <w:sz w:val="18"/>
                <w:szCs w:val="18"/>
              </w:rPr>
            </w:pPr>
            <w:r>
              <w:rPr>
                <w:rFonts w:ascii="Times New Roman"/>
                <w:sz w:val="18"/>
              </w:rPr>
              <w:t>420,897,812.69</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699,750,989.13</w:t>
            </w:r>
          </w:p>
        </w:tc>
      </w:tr>
      <w:tr>
        <w:trPr>
          <w:trHeight w:val="283"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保证金</w:t>
            </w:r>
          </w:p>
        </w:tc>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110" w:right="0"/>
              <w:jc w:val="left"/>
              <w:rPr>
                <w:rFonts w:ascii="Times New Roman" w:hAnsi="Times New Roman" w:cs="Times New Roman" w:eastAsia="Times New Roman" w:hint="default"/>
                <w:sz w:val="18"/>
                <w:szCs w:val="18"/>
              </w:rPr>
            </w:pPr>
            <w:r>
              <w:rPr>
                <w:rFonts w:ascii="Times New Roman"/>
                <w:sz w:val="18"/>
              </w:rPr>
              <w:t>248,955,217.29</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192,310,953.13</w:t>
            </w:r>
          </w:p>
        </w:tc>
      </w:tr>
      <w:tr>
        <w:trPr>
          <w:trHeight w:val="299" w:hRule="exact"/>
        </w:trPr>
        <w:tc>
          <w:tcPr>
            <w:tcW w:w="3118" w:type="dxa"/>
            <w:tcBorders>
              <w:top w:val="nil" w:sz="6" w:space="0" w:color="auto"/>
              <w:left w:val="nil" w:sz="6" w:space="0" w:color="auto"/>
              <w:bottom w:val="single" w:sz="12"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备用金</w:t>
            </w:r>
          </w:p>
        </w:tc>
        <w:tc>
          <w:tcPr>
            <w:tcW w:w="3765"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2110" w:right="0"/>
              <w:jc w:val="left"/>
              <w:rPr>
                <w:rFonts w:ascii="Times New Roman" w:hAnsi="Times New Roman" w:cs="Times New Roman" w:eastAsia="Times New Roman" w:hint="default"/>
                <w:sz w:val="18"/>
                <w:szCs w:val="18"/>
              </w:rPr>
            </w:pPr>
            <w:r>
              <w:rPr>
                <w:rFonts w:ascii="Times New Roman"/>
                <w:sz w:val="18"/>
              </w:rPr>
              <w:t>129,908,996.07</w:t>
            </w:r>
          </w:p>
        </w:tc>
        <w:tc>
          <w:tcPr>
            <w:tcW w:w="175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41,141,716.03</w:t>
            </w:r>
          </w:p>
        </w:tc>
      </w:tr>
    </w:tbl>
    <w:p>
      <w:pPr>
        <w:spacing w:after="0" w:line="240" w:lineRule="auto"/>
        <w:jc w:val="right"/>
        <w:rPr>
          <w:rFonts w:ascii="Times New Roman" w:hAnsi="Times New Roman" w:cs="Times New Roman" w:eastAsia="Times New Roman" w:hint="default"/>
          <w:sz w:val="18"/>
          <w:szCs w:val="18"/>
        </w:rPr>
        <w:sectPr>
          <w:headerReference w:type="default" r:id="rId44"/>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416" w:type="dxa"/>
        <w:tblLayout w:type="fixed"/>
        <w:tblCellMar>
          <w:top w:w="0" w:type="dxa"/>
          <w:left w:w="0" w:type="dxa"/>
          <w:bottom w:w="0" w:type="dxa"/>
          <w:right w:w="0" w:type="dxa"/>
        </w:tblCellMar>
        <w:tblLook w:val="01E0"/>
      </w:tblPr>
      <w:tblGrid>
        <w:gridCol w:w="4580"/>
        <w:gridCol w:w="2506"/>
        <w:gridCol w:w="1551"/>
      </w:tblGrid>
      <w:tr>
        <w:trPr>
          <w:trHeight w:val="302" w:hRule="exact"/>
        </w:trPr>
        <w:tc>
          <w:tcPr>
            <w:tcW w:w="458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2506" w:type="dxa"/>
            <w:tcBorders>
              <w:top w:val="single" w:sz="12" w:space="0" w:color="000000"/>
              <w:left w:val="nil" w:sz="6" w:space="0" w:color="auto"/>
              <w:bottom w:val="single" w:sz="4" w:space="0" w:color="000000"/>
              <w:right w:val="nil" w:sz="6" w:space="0" w:color="auto"/>
            </w:tcBorders>
          </w:tcPr>
          <w:p>
            <w:pPr>
              <w:pStyle w:val="TableParagraph"/>
              <w:spacing w:line="240" w:lineRule="auto" w:before="32"/>
              <w:ind w:left="648" w:right="0"/>
              <w:jc w:val="left"/>
              <w:rPr>
                <w:rFonts w:ascii="Times New Roman" w:hAnsi="Times New Roman" w:cs="Times New Roman" w:eastAsia="Times New Roman" w:hint="default"/>
                <w:sz w:val="18"/>
                <w:szCs w:val="18"/>
              </w:rPr>
            </w:pPr>
            <w:r>
              <w:rPr>
                <w:rFonts w:ascii="Times New Roman"/>
                <w:sz w:val="18"/>
              </w:rPr>
              <w:t>180,046,678.49</w:t>
            </w:r>
          </w:p>
        </w:tc>
        <w:tc>
          <w:tcPr>
            <w:tcW w:w="1551" w:type="dxa"/>
            <w:tcBorders>
              <w:top w:val="single" w:sz="12" w:space="0" w:color="000000"/>
              <w:left w:val="nil" w:sz="6" w:space="0" w:color="auto"/>
              <w:bottom w:val="single" w:sz="4"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155,943,413.26</w:t>
            </w:r>
          </w:p>
        </w:tc>
      </w:tr>
      <w:tr>
        <w:trPr>
          <w:trHeight w:val="303" w:hRule="exact"/>
        </w:trPr>
        <w:tc>
          <w:tcPr>
            <w:tcW w:w="4580"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5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512" w:right="0"/>
              <w:jc w:val="left"/>
              <w:rPr>
                <w:rFonts w:ascii="Times New Roman" w:hAnsi="Times New Roman" w:cs="Times New Roman" w:eastAsia="Times New Roman" w:hint="default"/>
                <w:sz w:val="18"/>
                <w:szCs w:val="18"/>
              </w:rPr>
            </w:pPr>
            <w:r>
              <w:rPr>
                <w:rFonts w:ascii="Times New Roman"/>
                <w:b/>
                <w:sz w:val="18"/>
              </w:rPr>
              <w:t>1,626,957,958.66</w:t>
            </w:r>
            <w:r>
              <w:rPr>
                <w:rFonts w:ascii="Times New Roman"/>
                <w:sz w:val="18"/>
              </w:rPr>
            </w:r>
          </w:p>
        </w:tc>
        <w:tc>
          <w:tcPr>
            <w:tcW w:w="15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1,690,814,817.06</w:t>
            </w:r>
            <w:r>
              <w:rPr>
                <w:rFonts w:ascii="Times New Roman"/>
                <w:spacing w:val="-1"/>
                <w:sz w:val="18"/>
              </w:rPr>
            </w:r>
          </w:p>
        </w:tc>
      </w:tr>
      <w:tr>
        <w:trPr>
          <w:trHeight w:val="576" w:hRule="exact"/>
        </w:trPr>
        <w:tc>
          <w:tcPr>
            <w:tcW w:w="4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89"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收到的其他与投资活动有关的现金</w:t>
            </w:r>
          </w:p>
        </w:tc>
        <w:tc>
          <w:tcPr>
            <w:tcW w:w="2506" w:type="dxa"/>
            <w:tcBorders>
              <w:top w:val="single" w:sz="12" w:space="0" w:color="000000"/>
              <w:left w:val="nil" w:sz="6" w:space="0" w:color="auto"/>
              <w:bottom w:val="single" w:sz="12" w:space="0" w:color="000000"/>
              <w:right w:val="nil" w:sz="6" w:space="0" w:color="auto"/>
            </w:tcBorders>
          </w:tcPr>
          <w:p>
            <w:pPr/>
          </w:p>
        </w:tc>
        <w:tc>
          <w:tcPr>
            <w:tcW w:w="1551"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58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0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5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58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新合并子公司的期初余额</w:t>
            </w:r>
          </w:p>
        </w:tc>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456" w:right="0"/>
              <w:jc w:val="left"/>
              <w:rPr>
                <w:rFonts w:ascii="Times New Roman" w:hAnsi="Times New Roman" w:cs="Times New Roman" w:eastAsia="Times New Roman" w:hint="default"/>
                <w:sz w:val="18"/>
                <w:szCs w:val="18"/>
              </w:rPr>
            </w:pPr>
            <w:r>
              <w:rPr>
                <w:rFonts w:ascii="Times New Roman"/>
                <w:sz w:val="18"/>
              </w:rPr>
              <w:t>0.00</w:t>
            </w: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38,803,852.91</w:t>
            </w:r>
          </w:p>
        </w:tc>
      </w:tr>
      <w:tr>
        <w:trPr>
          <w:trHeight w:val="289" w:hRule="exact"/>
        </w:trPr>
        <w:tc>
          <w:tcPr>
            <w:tcW w:w="4580"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250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975" w:right="0"/>
              <w:jc w:val="left"/>
              <w:rPr>
                <w:rFonts w:ascii="Times New Roman" w:hAnsi="Times New Roman" w:cs="Times New Roman" w:eastAsia="Times New Roman" w:hint="default"/>
                <w:sz w:val="18"/>
                <w:szCs w:val="18"/>
              </w:rPr>
            </w:pPr>
            <w:r>
              <w:rPr>
                <w:rFonts w:ascii="Times New Roman"/>
                <w:sz w:val="18"/>
              </w:rPr>
              <w:t>117,211.59</w:t>
            </w:r>
          </w:p>
        </w:tc>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5,427,255.64</w:t>
            </w:r>
          </w:p>
        </w:tc>
      </w:tr>
      <w:tr>
        <w:trPr>
          <w:trHeight w:val="303" w:hRule="exact"/>
        </w:trPr>
        <w:tc>
          <w:tcPr>
            <w:tcW w:w="4580"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5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981" w:right="0"/>
              <w:jc w:val="left"/>
              <w:rPr>
                <w:rFonts w:ascii="Times New Roman" w:hAnsi="Times New Roman" w:cs="Times New Roman" w:eastAsia="Times New Roman" w:hint="default"/>
                <w:sz w:val="18"/>
                <w:szCs w:val="18"/>
              </w:rPr>
            </w:pPr>
            <w:r>
              <w:rPr>
                <w:rFonts w:ascii="Times New Roman"/>
                <w:b/>
                <w:spacing w:val="-3"/>
                <w:sz w:val="18"/>
              </w:rPr>
              <w:t>117,211.59</w:t>
            </w:r>
            <w:r>
              <w:rPr>
                <w:rFonts w:ascii="Times New Roman"/>
                <w:spacing w:val="-3"/>
                <w:sz w:val="18"/>
              </w:rPr>
            </w:r>
          </w:p>
        </w:tc>
        <w:tc>
          <w:tcPr>
            <w:tcW w:w="15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44,231,108.55</w:t>
            </w:r>
            <w:r>
              <w:rPr>
                <w:rFonts w:ascii="Times New Roman"/>
                <w:spacing w:val="-1"/>
                <w:sz w:val="18"/>
              </w:rPr>
            </w:r>
          </w:p>
        </w:tc>
      </w:tr>
      <w:tr>
        <w:trPr>
          <w:trHeight w:val="576" w:hRule="exact"/>
        </w:trPr>
        <w:tc>
          <w:tcPr>
            <w:tcW w:w="4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89"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支付的其他与投资活动有关的现金</w:t>
            </w:r>
          </w:p>
        </w:tc>
        <w:tc>
          <w:tcPr>
            <w:tcW w:w="2506" w:type="dxa"/>
            <w:tcBorders>
              <w:top w:val="single" w:sz="12" w:space="0" w:color="000000"/>
              <w:left w:val="nil" w:sz="6" w:space="0" w:color="auto"/>
              <w:bottom w:val="single" w:sz="12" w:space="0" w:color="000000"/>
              <w:right w:val="nil" w:sz="6" w:space="0" w:color="auto"/>
            </w:tcBorders>
          </w:tcPr>
          <w:p>
            <w:pPr/>
          </w:p>
        </w:tc>
        <w:tc>
          <w:tcPr>
            <w:tcW w:w="1551"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58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0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5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58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佳木斯同方水务有限公司</w:t>
            </w:r>
          </w:p>
        </w:tc>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648" w:right="0"/>
              <w:jc w:val="left"/>
              <w:rPr>
                <w:rFonts w:ascii="Times New Roman" w:hAnsi="Times New Roman" w:cs="Times New Roman" w:eastAsia="Times New Roman" w:hint="default"/>
                <w:sz w:val="18"/>
                <w:szCs w:val="18"/>
              </w:rPr>
            </w:pPr>
            <w:r>
              <w:rPr>
                <w:rFonts w:ascii="Times New Roman"/>
                <w:sz w:val="18"/>
              </w:rPr>
              <w:t>100,000,000.00</w:t>
            </w: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同方（哈尔滨）水务有限公司</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36" w:right="0"/>
              <w:jc w:val="left"/>
              <w:rPr>
                <w:rFonts w:ascii="Times New Roman" w:hAnsi="Times New Roman" w:cs="Times New Roman" w:eastAsia="Times New Roman" w:hint="default"/>
                <w:sz w:val="18"/>
                <w:szCs w:val="18"/>
              </w:rPr>
            </w:pPr>
            <w:r>
              <w:rPr>
                <w:rFonts w:ascii="Times New Roman"/>
                <w:sz w:val="18"/>
              </w:rPr>
              <w:t>92,140,992.00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74,504,000.00</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惠州市同方水务有限公司</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36" w:right="0"/>
              <w:jc w:val="left"/>
              <w:rPr>
                <w:rFonts w:ascii="Times New Roman" w:hAnsi="Times New Roman" w:cs="Times New Roman" w:eastAsia="Times New Roman" w:hint="default"/>
                <w:sz w:val="18"/>
                <w:szCs w:val="18"/>
              </w:rPr>
            </w:pPr>
            <w:r>
              <w:rPr>
                <w:rFonts w:ascii="Times New Roman"/>
                <w:sz w:val="18"/>
              </w:rPr>
              <w:t>36,000,000.00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哈尔滨同方平义水务有限公司</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36" w:right="0"/>
              <w:jc w:val="left"/>
              <w:rPr>
                <w:rFonts w:ascii="Times New Roman" w:hAnsi="Times New Roman" w:cs="Times New Roman" w:eastAsia="Times New Roman" w:hint="default"/>
                <w:sz w:val="18"/>
                <w:szCs w:val="18"/>
              </w:rPr>
            </w:pPr>
            <w:r>
              <w:rPr>
                <w:rFonts w:ascii="Times New Roman"/>
                <w:sz w:val="18"/>
              </w:rPr>
              <w:t>20,000,000.00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出售子公司无锡同方创业园有限公司货币资金余额</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36" w:right="0"/>
              <w:jc w:val="left"/>
              <w:rPr>
                <w:rFonts w:ascii="Times New Roman" w:hAnsi="Times New Roman" w:cs="Times New Roman" w:eastAsia="Times New Roman" w:hint="default"/>
                <w:sz w:val="18"/>
                <w:szCs w:val="18"/>
              </w:rPr>
            </w:pPr>
            <w:r>
              <w:rPr>
                <w:rFonts w:ascii="Times New Roman"/>
                <w:sz w:val="18"/>
              </w:rPr>
              <w:t>15,170,232.82</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往来款</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36" w:right="0"/>
              <w:jc w:val="left"/>
              <w:rPr>
                <w:rFonts w:ascii="Times New Roman" w:hAnsi="Times New Roman" w:cs="Times New Roman" w:eastAsia="Times New Roman" w:hint="default"/>
                <w:sz w:val="18"/>
                <w:szCs w:val="18"/>
              </w:rPr>
            </w:pPr>
            <w:r>
              <w:rPr>
                <w:rFonts w:ascii="Times New Roman"/>
                <w:sz w:val="18"/>
              </w:rPr>
              <w:t>23,474,969.65</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本年不再纳入合并范围的子公司货币资金余额</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48" w:right="0"/>
              <w:jc w:val="left"/>
              <w:rPr>
                <w:rFonts w:ascii="Times New Roman" w:hAnsi="Times New Roman" w:cs="Times New Roman" w:eastAsia="Times New Roman" w:hint="default"/>
                <w:sz w:val="18"/>
                <w:szCs w:val="18"/>
              </w:rPr>
            </w:pPr>
            <w:r>
              <w:rPr>
                <w:rFonts w:ascii="Times New Roman"/>
                <w:sz w:val="18"/>
              </w:rPr>
              <w:t>297,913,070.80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1,657,658.40</w:t>
            </w:r>
          </w:p>
        </w:tc>
      </w:tr>
      <w:tr>
        <w:trPr>
          <w:trHeight w:val="236"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付电视购物项目款</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56" w:right="0"/>
              <w:jc w:val="left"/>
              <w:rPr>
                <w:rFonts w:ascii="Times New Roman" w:hAnsi="Times New Roman" w:cs="Times New Roman" w:eastAsia="Times New Roman" w:hint="default"/>
                <w:sz w:val="18"/>
                <w:szCs w:val="18"/>
              </w:rPr>
            </w:pPr>
            <w:r>
              <w:rPr>
                <w:rFonts w:ascii="Times New Roman"/>
                <w:sz w:val="18"/>
              </w:rPr>
              <w:t>0.00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16,820,540.00</w:t>
            </w:r>
          </w:p>
        </w:tc>
      </w:tr>
      <w:tr>
        <w:trPr>
          <w:trHeight w:val="464"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00" w:lineRule="exact" w:before="47"/>
              <w:ind w:left="108" w:right="506"/>
              <w:jc w:val="left"/>
              <w:rPr>
                <w:rFonts w:ascii="楷体" w:hAnsi="楷体" w:cs="楷体" w:eastAsia="楷体" w:hint="default"/>
                <w:sz w:val="18"/>
                <w:szCs w:val="18"/>
              </w:rPr>
            </w:pPr>
            <w:r>
              <w:rPr>
                <w:rFonts w:ascii="楷体" w:hAnsi="楷体" w:cs="楷体" w:eastAsia="楷体" w:hint="default"/>
                <w:sz w:val="18"/>
                <w:szCs w:val="18"/>
              </w:rPr>
              <w:t>收购同方威视控股子公司北京华力兴科技发展有限</w:t>
            </w:r>
            <w:r>
              <w:rPr>
                <w:rFonts w:ascii="楷体" w:hAnsi="楷体" w:cs="楷体" w:eastAsia="楷体" w:hint="default"/>
                <w:spacing w:val="-87"/>
                <w:sz w:val="18"/>
                <w:szCs w:val="18"/>
              </w:rPr>
              <w:t> </w:t>
            </w:r>
            <w:r>
              <w:rPr>
                <w:rFonts w:ascii="楷体" w:hAnsi="楷体" w:cs="楷体" w:eastAsia="楷体" w:hint="default"/>
                <w:spacing w:val="-87"/>
                <w:sz w:val="18"/>
                <w:szCs w:val="18"/>
              </w:rPr>
            </w:r>
            <w:r>
              <w:rPr>
                <w:rFonts w:ascii="楷体" w:hAnsi="楷体" w:cs="楷体" w:eastAsia="楷体" w:hint="default"/>
                <w:sz w:val="18"/>
                <w:szCs w:val="18"/>
              </w:rPr>
              <w:t>责任公司股权时收购相关资产的款项</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456" w:right="0"/>
              <w:jc w:val="left"/>
              <w:rPr>
                <w:rFonts w:ascii="Times New Roman" w:hAnsi="Times New Roman" w:cs="Times New Roman" w:eastAsia="Times New Roman" w:hint="default"/>
                <w:sz w:val="18"/>
                <w:szCs w:val="18"/>
              </w:rPr>
            </w:pPr>
            <w:r>
              <w:rPr>
                <w:rFonts w:ascii="Times New Roman"/>
                <w:sz w:val="18"/>
              </w:rPr>
              <w:t>0.00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99"/>
              <w:jc w:val="right"/>
              <w:rPr>
                <w:rFonts w:ascii="Times New Roman" w:hAnsi="Times New Roman" w:cs="Times New Roman" w:eastAsia="Times New Roman" w:hint="default"/>
                <w:sz w:val="18"/>
                <w:szCs w:val="18"/>
              </w:rPr>
            </w:pPr>
            <w:r>
              <w:rPr>
                <w:rFonts w:ascii="Times New Roman"/>
                <w:spacing w:val="-1"/>
                <w:sz w:val="18"/>
              </w:rPr>
              <w:t>14,461,660.00</w:t>
            </w:r>
          </w:p>
        </w:tc>
      </w:tr>
      <w:tr>
        <w:trPr>
          <w:trHeight w:val="272" w:hRule="exact"/>
        </w:trPr>
        <w:tc>
          <w:tcPr>
            <w:tcW w:w="4580" w:type="dxa"/>
            <w:tcBorders>
              <w:top w:val="nil" w:sz="6" w:space="0" w:color="auto"/>
              <w:left w:val="nil" w:sz="6" w:space="0" w:color="auto"/>
              <w:bottom w:val="single" w:sz="4" w:space="0" w:color="000000"/>
              <w:right w:val="nil" w:sz="6" w:space="0" w:color="auto"/>
            </w:tcBorders>
          </w:tcPr>
          <w:p>
            <w:pPr>
              <w:pStyle w:val="TableParagraph"/>
              <w:spacing w:line="211" w:lineRule="exact"/>
              <w:ind w:left="108" w:right="0"/>
              <w:jc w:val="left"/>
              <w:rPr>
                <w:rFonts w:ascii="楷体" w:hAnsi="楷体" w:cs="楷体" w:eastAsia="楷体" w:hint="default"/>
                <w:sz w:val="18"/>
                <w:szCs w:val="18"/>
              </w:rPr>
            </w:pPr>
            <w:r>
              <w:rPr>
                <w:rFonts w:ascii="楷体" w:hAnsi="楷体" w:cs="楷体" w:eastAsia="楷体" w:hint="default"/>
                <w:sz w:val="18"/>
                <w:szCs w:val="18"/>
              </w:rPr>
              <w:t>付北京亚仕同方科技有限公司项目款</w:t>
            </w:r>
          </w:p>
        </w:tc>
        <w:tc>
          <w:tcPr>
            <w:tcW w:w="2506"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left="1456" w:right="0"/>
              <w:jc w:val="left"/>
              <w:rPr>
                <w:rFonts w:ascii="Times New Roman" w:hAnsi="Times New Roman" w:cs="Times New Roman" w:eastAsia="Times New Roman" w:hint="default"/>
                <w:sz w:val="18"/>
                <w:szCs w:val="18"/>
              </w:rPr>
            </w:pPr>
            <w:r>
              <w:rPr>
                <w:rFonts w:ascii="Times New Roman"/>
                <w:sz w:val="18"/>
              </w:rPr>
              <w:t>0.00</w:t>
            </w:r>
          </w:p>
        </w:tc>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18"/>
                <w:szCs w:val="18"/>
              </w:rPr>
            </w:pPr>
            <w:r>
              <w:rPr>
                <w:rFonts w:ascii="Times New Roman"/>
                <w:spacing w:val="-1"/>
                <w:sz w:val="18"/>
              </w:rPr>
              <w:t>5,750,000.00</w:t>
            </w:r>
          </w:p>
        </w:tc>
      </w:tr>
      <w:tr>
        <w:trPr>
          <w:trHeight w:val="304" w:hRule="exact"/>
        </w:trPr>
        <w:tc>
          <w:tcPr>
            <w:tcW w:w="4580"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5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647" w:right="0"/>
              <w:jc w:val="left"/>
              <w:rPr>
                <w:rFonts w:ascii="Times New Roman" w:hAnsi="Times New Roman" w:cs="Times New Roman" w:eastAsia="Times New Roman" w:hint="default"/>
                <w:sz w:val="18"/>
                <w:szCs w:val="18"/>
              </w:rPr>
            </w:pPr>
            <w:r>
              <w:rPr>
                <w:rFonts w:ascii="Times New Roman"/>
                <w:b/>
                <w:sz w:val="18"/>
              </w:rPr>
              <w:t>584,699,265.27</w:t>
            </w:r>
            <w:r>
              <w:rPr>
                <w:rFonts w:ascii="Times New Roman"/>
                <w:sz w:val="18"/>
              </w:rPr>
            </w:r>
          </w:p>
        </w:tc>
        <w:tc>
          <w:tcPr>
            <w:tcW w:w="15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133,193,858.40</w:t>
            </w:r>
            <w:r>
              <w:rPr>
                <w:rFonts w:ascii="Times New Roman"/>
                <w:spacing w:val="-1"/>
                <w:sz w:val="18"/>
              </w:rPr>
            </w:r>
          </w:p>
        </w:tc>
      </w:tr>
      <w:tr>
        <w:trPr>
          <w:trHeight w:val="576" w:hRule="exact"/>
        </w:trPr>
        <w:tc>
          <w:tcPr>
            <w:tcW w:w="4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89"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收到的其他与筹资活动有关的现金</w:t>
            </w:r>
          </w:p>
        </w:tc>
        <w:tc>
          <w:tcPr>
            <w:tcW w:w="2506" w:type="dxa"/>
            <w:tcBorders>
              <w:top w:val="single" w:sz="12" w:space="0" w:color="000000"/>
              <w:left w:val="nil" w:sz="6" w:space="0" w:color="auto"/>
              <w:bottom w:val="single" w:sz="12" w:space="0" w:color="000000"/>
              <w:right w:val="nil" w:sz="6" w:space="0" w:color="auto"/>
            </w:tcBorders>
          </w:tcPr>
          <w:p>
            <w:pPr/>
          </w:p>
        </w:tc>
        <w:tc>
          <w:tcPr>
            <w:tcW w:w="1551"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458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0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5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8" w:hRule="exact"/>
        </w:trPr>
        <w:tc>
          <w:tcPr>
            <w:tcW w:w="458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专项拨付款</w:t>
            </w:r>
          </w:p>
        </w:tc>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736" w:right="0"/>
              <w:jc w:val="left"/>
              <w:rPr>
                <w:rFonts w:ascii="Times New Roman" w:hAnsi="Times New Roman" w:cs="Times New Roman" w:eastAsia="Times New Roman" w:hint="default"/>
                <w:sz w:val="18"/>
                <w:szCs w:val="18"/>
              </w:rPr>
            </w:pPr>
            <w:r>
              <w:rPr>
                <w:rFonts w:ascii="Times New Roman"/>
                <w:sz w:val="18"/>
              </w:rPr>
              <w:t>34,372,600.00</w:t>
            </w: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22,313,000.00</w:t>
            </w:r>
          </w:p>
        </w:tc>
      </w:tr>
      <w:tr>
        <w:trPr>
          <w:trHeight w:val="288" w:hRule="exact"/>
        </w:trPr>
        <w:tc>
          <w:tcPr>
            <w:tcW w:w="4580"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往来款</w:t>
            </w:r>
          </w:p>
        </w:tc>
        <w:tc>
          <w:tcPr>
            <w:tcW w:w="250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826" w:right="0"/>
              <w:jc w:val="left"/>
              <w:rPr>
                <w:rFonts w:ascii="Times New Roman" w:hAnsi="Times New Roman" w:cs="Times New Roman" w:eastAsia="Times New Roman" w:hint="default"/>
                <w:sz w:val="18"/>
                <w:szCs w:val="18"/>
              </w:rPr>
            </w:pPr>
            <w:r>
              <w:rPr>
                <w:rFonts w:ascii="Times New Roman"/>
                <w:sz w:val="18"/>
              </w:rPr>
              <w:t>8,442,850.69</w:t>
            </w:r>
          </w:p>
        </w:tc>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321,950.21</w:t>
            </w:r>
          </w:p>
        </w:tc>
      </w:tr>
      <w:tr>
        <w:trPr>
          <w:trHeight w:val="304" w:hRule="exact"/>
        </w:trPr>
        <w:tc>
          <w:tcPr>
            <w:tcW w:w="4580"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5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736" w:right="0"/>
              <w:jc w:val="left"/>
              <w:rPr>
                <w:rFonts w:ascii="Times New Roman" w:hAnsi="Times New Roman" w:cs="Times New Roman" w:eastAsia="Times New Roman" w:hint="default"/>
                <w:sz w:val="18"/>
                <w:szCs w:val="18"/>
              </w:rPr>
            </w:pPr>
            <w:r>
              <w:rPr>
                <w:rFonts w:ascii="Times New Roman"/>
                <w:b/>
                <w:sz w:val="18"/>
              </w:rPr>
              <w:t>42,815,450.69</w:t>
            </w:r>
            <w:r>
              <w:rPr>
                <w:rFonts w:ascii="Times New Roman"/>
                <w:sz w:val="18"/>
              </w:rPr>
            </w:r>
          </w:p>
        </w:tc>
        <w:tc>
          <w:tcPr>
            <w:tcW w:w="15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22,634,950.21</w:t>
            </w:r>
            <w:r>
              <w:rPr>
                <w:rFonts w:ascii="Times New Roman"/>
                <w:spacing w:val="-1"/>
                <w:sz w:val="18"/>
              </w:rPr>
            </w:r>
          </w:p>
        </w:tc>
      </w:tr>
      <w:tr>
        <w:trPr>
          <w:trHeight w:val="576" w:hRule="exact"/>
        </w:trPr>
        <w:tc>
          <w:tcPr>
            <w:tcW w:w="4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89"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支付的其他与筹资活动有关的现金</w:t>
            </w:r>
          </w:p>
        </w:tc>
        <w:tc>
          <w:tcPr>
            <w:tcW w:w="2506" w:type="dxa"/>
            <w:tcBorders>
              <w:top w:val="single" w:sz="12" w:space="0" w:color="000000"/>
              <w:left w:val="nil" w:sz="6" w:space="0" w:color="auto"/>
              <w:bottom w:val="single" w:sz="12" w:space="0" w:color="000000"/>
              <w:right w:val="nil" w:sz="6" w:space="0" w:color="auto"/>
            </w:tcBorders>
          </w:tcPr>
          <w:p>
            <w:pPr/>
          </w:p>
        </w:tc>
        <w:tc>
          <w:tcPr>
            <w:tcW w:w="1551"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458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0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5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8" w:hRule="exact"/>
        </w:trPr>
        <w:tc>
          <w:tcPr>
            <w:tcW w:w="458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募集费用</w:t>
            </w:r>
          </w:p>
        </w:tc>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736" w:right="0"/>
              <w:jc w:val="left"/>
              <w:rPr>
                <w:rFonts w:ascii="Times New Roman" w:hAnsi="Times New Roman" w:cs="Times New Roman" w:eastAsia="Times New Roman" w:hint="default"/>
                <w:sz w:val="18"/>
                <w:szCs w:val="18"/>
              </w:rPr>
            </w:pPr>
            <w:r>
              <w:rPr>
                <w:rFonts w:ascii="Times New Roman"/>
                <w:sz w:val="18"/>
              </w:rPr>
              <w:t>15,949,694.51</w:t>
            </w: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3,208,000.00</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回购股款</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6" w:right="0"/>
              <w:jc w:val="left"/>
              <w:rPr>
                <w:rFonts w:ascii="Times New Roman" w:hAnsi="Times New Roman" w:cs="Times New Roman" w:eastAsia="Times New Roman" w:hint="default"/>
                <w:sz w:val="18"/>
                <w:szCs w:val="18"/>
              </w:rPr>
            </w:pPr>
            <w:r>
              <w:rPr>
                <w:rFonts w:ascii="Times New Roman"/>
                <w:sz w:val="18"/>
              </w:rPr>
              <w:t>1,700,000.00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捐赠支出</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36" w:right="0"/>
              <w:jc w:val="left"/>
              <w:rPr>
                <w:rFonts w:ascii="Times New Roman" w:hAnsi="Times New Roman" w:cs="Times New Roman" w:eastAsia="Times New Roman" w:hint="default"/>
                <w:sz w:val="18"/>
                <w:szCs w:val="18"/>
              </w:rPr>
            </w:pPr>
            <w:r>
              <w:rPr>
                <w:rFonts w:ascii="Times New Roman"/>
                <w:sz w:val="18"/>
              </w:rPr>
              <w:t>46,315,774.23</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付中国电子信息产业集团公司拨改贷资金</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26" w:right="0"/>
              <w:jc w:val="left"/>
              <w:rPr>
                <w:rFonts w:ascii="Times New Roman" w:hAnsi="Times New Roman" w:cs="Times New Roman" w:eastAsia="Times New Roman" w:hint="default"/>
                <w:sz w:val="18"/>
                <w:szCs w:val="18"/>
              </w:rPr>
            </w:pPr>
            <w:r>
              <w:rPr>
                <w:rFonts w:ascii="Times New Roman"/>
                <w:sz w:val="18"/>
              </w:rPr>
              <w:t>1,000,000.00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转出资金</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56" w:right="0"/>
              <w:jc w:val="left"/>
              <w:rPr>
                <w:rFonts w:ascii="Times New Roman" w:hAnsi="Times New Roman" w:cs="Times New Roman" w:eastAsia="Times New Roman" w:hint="default"/>
                <w:sz w:val="18"/>
                <w:szCs w:val="18"/>
              </w:rPr>
            </w:pPr>
            <w:r>
              <w:rPr>
                <w:rFonts w:ascii="Times New Roman"/>
                <w:sz w:val="18"/>
              </w:rPr>
              <w:t>0.00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2,907,557.41</w:t>
            </w:r>
          </w:p>
        </w:tc>
      </w:tr>
      <w:tr>
        <w:trPr>
          <w:trHeight w:val="289" w:hRule="exact"/>
        </w:trPr>
        <w:tc>
          <w:tcPr>
            <w:tcW w:w="4580"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250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456" w:right="0"/>
              <w:jc w:val="left"/>
              <w:rPr>
                <w:rFonts w:ascii="Times New Roman" w:hAnsi="Times New Roman" w:cs="Times New Roman" w:eastAsia="Times New Roman" w:hint="default"/>
                <w:sz w:val="18"/>
                <w:szCs w:val="18"/>
              </w:rPr>
            </w:pPr>
            <w:r>
              <w:rPr>
                <w:rFonts w:ascii="Times New Roman"/>
                <w:sz w:val="18"/>
              </w:rPr>
              <w:t>0.00</w:t>
            </w:r>
          </w:p>
        </w:tc>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13,162.50</w:t>
            </w:r>
          </w:p>
        </w:tc>
      </w:tr>
      <w:tr>
        <w:trPr>
          <w:trHeight w:val="303" w:hRule="exact"/>
        </w:trPr>
        <w:tc>
          <w:tcPr>
            <w:tcW w:w="4580"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5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736" w:right="0"/>
              <w:jc w:val="left"/>
              <w:rPr>
                <w:rFonts w:ascii="Times New Roman" w:hAnsi="Times New Roman" w:cs="Times New Roman" w:eastAsia="Times New Roman" w:hint="default"/>
                <w:sz w:val="18"/>
                <w:szCs w:val="18"/>
              </w:rPr>
            </w:pPr>
            <w:r>
              <w:rPr>
                <w:rFonts w:ascii="Times New Roman"/>
                <w:b/>
                <w:sz w:val="18"/>
              </w:rPr>
              <w:t>64,965,468.74</w:t>
            </w:r>
            <w:r>
              <w:rPr>
                <w:rFonts w:ascii="Times New Roman"/>
                <w:sz w:val="18"/>
              </w:rPr>
            </w:r>
          </w:p>
        </w:tc>
        <w:tc>
          <w:tcPr>
            <w:tcW w:w="15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6,128,719.91</w:t>
            </w:r>
            <w:r>
              <w:rPr>
                <w:rFonts w:ascii="Times New Roman"/>
                <w:spacing w:val="-1"/>
                <w:sz w:val="18"/>
              </w:rPr>
            </w:r>
          </w:p>
        </w:tc>
      </w:tr>
      <w:tr>
        <w:trPr>
          <w:trHeight w:val="576" w:hRule="exact"/>
        </w:trPr>
        <w:tc>
          <w:tcPr>
            <w:tcW w:w="45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合并现金流量表补充资料</w:t>
            </w:r>
          </w:p>
        </w:tc>
        <w:tc>
          <w:tcPr>
            <w:tcW w:w="2506" w:type="dxa"/>
            <w:tcBorders>
              <w:top w:val="single" w:sz="12" w:space="0" w:color="000000"/>
              <w:left w:val="nil" w:sz="6" w:space="0" w:color="auto"/>
              <w:bottom w:val="single" w:sz="12" w:space="0" w:color="000000"/>
              <w:right w:val="nil" w:sz="6" w:space="0" w:color="auto"/>
            </w:tcBorders>
          </w:tcPr>
          <w:p>
            <w:pPr/>
          </w:p>
        </w:tc>
        <w:tc>
          <w:tcPr>
            <w:tcW w:w="1551"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58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0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1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5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580"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2506" w:type="dxa"/>
            <w:tcBorders>
              <w:top w:val="single" w:sz="4" w:space="0" w:color="000000"/>
              <w:left w:val="nil" w:sz="6" w:space="0" w:color="auto"/>
              <w:bottom w:val="nil" w:sz="6" w:space="0" w:color="auto"/>
              <w:right w:val="nil" w:sz="6" w:space="0" w:color="auto"/>
            </w:tcBorders>
          </w:tcPr>
          <w:p>
            <w:pPr/>
          </w:p>
        </w:tc>
        <w:tc>
          <w:tcPr>
            <w:tcW w:w="1551" w:type="dxa"/>
            <w:tcBorders>
              <w:top w:val="single" w:sz="4" w:space="0" w:color="000000"/>
              <w:left w:val="nil" w:sz="6" w:space="0" w:color="auto"/>
              <w:bottom w:val="nil" w:sz="6" w:space="0" w:color="auto"/>
              <w:right w:val="nil" w:sz="6" w:space="0" w:color="auto"/>
            </w:tcBorders>
          </w:tcPr>
          <w:p>
            <w:pP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净利润</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8"/>
              <w:jc w:val="right"/>
              <w:rPr>
                <w:rFonts w:ascii="Times New Roman" w:hAnsi="Times New Roman" w:cs="Times New Roman" w:eastAsia="Times New Roman" w:hint="default"/>
                <w:sz w:val="18"/>
                <w:szCs w:val="18"/>
              </w:rPr>
            </w:pPr>
            <w:r>
              <w:rPr>
                <w:rFonts w:ascii="Times New Roman"/>
                <w:spacing w:val="-1"/>
                <w:sz w:val="18"/>
              </w:rPr>
              <w:t>397,223,946.17</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637,180,354.57</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加：资产减值准备</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8"/>
              <w:jc w:val="right"/>
              <w:rPr>
                <w:rFonts w:ascii="Times New Roman" w:hAnsi="Times New Roman" w:cs="Times New Roman" w:eastAsia="Times New Roman" w:hint="default"/>
                <w:sz w:val="18"/>
                <w:szCs w:val="18"/>
              </w:rPr>
            </w:pPr>
            <w:r>
              <w:rPr>
                <w:rFonts w:ascii="Times New Roman"/>
                <w:spacing w:val="-1"/>
                <w:sz w:val="18"/>
              </w:rPr>
              <w:t>143,621,148.22</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102,672,617.20</w:t>
            </w:r>
          </w:p>
        </w:tc>
      </w:tr>
      <w:tr>
        <w:trPr>
          <w:trHeight w:val="283" w:hRule="exact"/>
        </w:trPr>
        <w:tc>
          <w:tcPr>
            <w:tcW w:w="4580" w:type="dxa"/>
            <w:tcBorders>
              <w:top w:val="nil" w:sz="6" w:space="0" w:color="auto"/>
              <w:left w:val="nil" w:sz="6" w:space="0" w:color="auto"/>
              <w:bottom w:val="nil" w:sz="6" w:space="0" w:color="auto"/>
              <w:right w:val="nil" w:sz="6" w:space="0" w:color="auto"/>
            </w:tcBorders>
          </w:tcPr>
          <w:p>
            <w:pPr>
              <w:pStyle w:val="TableParagraph"/>
              <w:spacing w:line="227" w:lineRule="exact"/>
              <w:ind w:left="468" w:right="0"/>
              <w:jc w:val="left"/>
              <w:rPr>
                <w:rFonts w:ascii="楷体" w:hAnsi="楷体" w:cs="楷体" w:eastAsia="楷体" w:hint="default"/>
                <w:sz w:val="18"/>
                <w:szCs w:val="18"/>
              </w:rPr>
            </w:pPr>
            <w:r>
              <w:rPr>
                <w:rFonts w:ascii="楷体" w:hAnsi="楷体" w:cs="楷体" w:eastAsia="楷体" w:hint="default"/>
                <w:sz w:val="18"/>
                <w:szCs w:val="18"/>
              </w:rPr>
              <w:t>固定资产折旧</w:t>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8"/>
              <w:jc w:val="right"/>
              <w:rPr>
                <w:rFonts w:ascii="Times New Roman" w:hAnsi="Times New Roman" w:cs="Times New Roman" w:eastAsia="Times New Roman" w:hint="default"/>
                <w:sz w:val="18"/>
                <w:szCs w:val="18"/>
              </w:rPr>
            </w:pPr>
            <w:r>
              <w:rPr>
                <w:rFonts w:ascii="Times New Roman"/>
                <w:spacing w:val="-1"/>
                <w:sz w:val="18"/>
              </w:rPr>
              <w:t>186,792,940.37</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168,781,826.87</w:t>
            </w:r>
          </w:p>
        </w:tc>
      </w:tr>
      <w:tr>
        <w:trPr>
          <w:trHeight w:val="299" w:hRule="exact"/>
        </w:trPr>
        <w:tc>
          <w:tcPr>
            <w:tcW w:w="4580" w:type="dxa"/>
            <w:tcBorders>
              <w:top w:val="nil" w:sz="6" w:space="0" w:color="auto"/>
              <w:left w:val="nil" w:sz="6" w:space="0" w:color="auto"/>
              <w:bottom w:val="single" w:sz="12" w:space="0" w:color="000000"/>
              <w:right w:val="nil" w:sz="6" w:space="0" w:color="auto"/>
            </w:tcBorders>
          </w:tcPr>
          <w:p>
            <w:pPr>
              <w:pStyle w:val="TableParagraph"/>
              <w:spacing w:line="226" w:lineRule="exact"/>
              <w:ind w:left="468" w:right="0"/>
              <w:jc w:val="left"/>
              <w:rPr>
                <w:rFonts w:ascii="楷体" w:hAnsi="楷体" w:cs="楷体" w:eastAsia="楷体" w:hint="default"/>
                <w:sz w:val="18"/>
                <w:szCs w:val="18"/>
              </w:rPr>
            </w:pPr>
            <w:r>
              <w:rPr>
                <w:rFonts w:ascii="楷体" w:hAnsi="楷体" w:cs="楷体" w:eastAsia="楷体" w:hint="default"/>
                <w:sz w:val="18"/>
                <w:szCs w:val="18"/>
              </w:rPr>
              <w:t>无形资产摊销</w:t>
            </w:r>
          </w:p>
        </w:tc>
        <w:tc>
          <w:tcPr>
            <w:tcW w:w="2506"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189"/>
              <w:jc w:val="right"/>
              <w:rPr>
                <w:rFonts w:ascii="Times New Roman" w:hAnsi="Times New Roman" w:cs="Times New Roman" w:eastAsia="Times New Roman" w:hint="default"/>
                <w:sz w:val="18"/>
                <w:szCs w:val="18"/>
              </w:rPr>
            </w:pPr>
            <w:r>
              <w:rPr>
                <w:rFonts w:ascii="Times New Roman"/>
                <w:spacing w:val="-1"/>
                <w:sz w:val="18"/>
              </w:rPr>
              <w:t>71,677,994.29</w:t>
            </w:r>
          </w:p>
        </w:tc>
        <w:tc>
          <w:tcPr>
            <w:tcW w:w="1551"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53,305,566.83</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line="300" w:lineRule="exact" w:before="0"/>
        <w:ind w:left="524" w:right="2246" w:firstLine="0"/>
        <w:jc w:val="left"/>
        <w:rPr>
          <w:rFonts w:ascii="Microsoft JhengHei" w:hAnsi="Microsoft JhengHei" w:cs="Microsoft JhengHei" w:eastAsia="Microsoft JhengHei" w:hint="default"/>
          <w:sz w:val="18"/>
          <w:szCs w:val="18"/>
        </w:rPr>
      </w:pPr>
      <w:r>
        <w:rPr/>
        <w:pict>
          <v:shape style="position:absolute;margin-left:84.120003pt;margin-top:-193.318329pt;width:433pt;height:311.55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83"/>
                    <w:gridCol w:w="1617"/>
                    <w:gridCol w:w="1559"/>
                  </w:tblGrid>
                  <w:tr>
                    <w:trPr>
                      <w:trHeight w:val="242"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186" w:lineRule="exact"/>
                          <w:ind w:left="482" w:right="0"/>
                          <w:jc w:val="left"/>
                          <w:rPr>
                            <w:rFonts w:ascii="楷体" w:hAnsi="楷体" w:cs="楷体" w:eastAsia="楷体" w:hint="default"/>
                            <w:sz w:val="18"/>
                            <w:szCs w:val="18"/>
                          </w:rPr>
                        </w:pPr>
                        <w:r>
                          <w:rPr>
                            <w:rFonts w:ascii="楷体" w:hAnsi="楷体" w:cs="楷体" w:eastAsia="楷体" w:hint="default"/>
                            <w:sz w:val="18"/>
                            <w:szCs w:val="18"/>
                          </w:rPr>
                          <w:t>长期待摊费用摊销</w:t>
                        </w:r>
                      </w:p>
                    </w:tc>
                    <w:tc>
                      <w:tcPr>
                        <w:tcW w:w="1617" w:type="dxa"/>
                        <w:tcBorders>
                          <w:top w:val="nil" w:sz="6" w:space="0" w:color="auto"/>
                          <w:left w:val="nil" w:sz="6" w:space="0" w:color="auto"/>
                          <w:bottom w:val="nil" w:sz="6" w:space="0" w:color="auto"/>
                          <w:right w:val="nil" w:sz="6" w:space="0" w:color="auto"/>
                        </w:tcBorders>
                      </w:tcPr>
                      <w:p>
                        <w:pPr>
                          <w:pStyle w:val="TableParagraph"/>
                          <w:spacing w:line="199" w:lineRule="exact"/>
                          <w:ind w:right="189"/>
                          <w:jc w:val="right"/>
                          <w:rPr>
                            <w:rFonts w:ascii="Times New Roman" w:hAnsi="Times New Roman" w:cs="Times New Roman" w:eastAsia="Times New Roman" w:hint="default"/>
                            <w:sz w:val="18"/>
                            <w:szCs w:val="18"/>
                          </w:rPr>
                        </w:pPr>
                        <w:r>
                          <w:rPr>
                            <w:rFonts w:ascii="Times New Roman"/>
                            <w:spacing w:val="-1"/>
                            <w:sz w:val="18"/>
                          </w:rPr>
                          <w:t>1,087,843.14</w:t>
                        </w:r>
                      </w:p>
                    </w:tc>
                    <w:tc>
                      <w:tcPr>
                        <w:tcW w:w="1559" w:type="dxa"/>
                        <w:tcBorders>
                          <w:top w:val="nil" w:sz="6" w:space="0" w:color="auto"/>
                          <w:left w:val="nil" w:sz="6" w:space="0" w:color="auto"/>
                          <w:bottom w:val="nil" w:sz="6" w:space="0" w:color="auto"/>
                          <w:right w:val="nil" w:sz="6" w:space="0" w:color="auto"/>
                        </w:tcBorders>
                      </w:tcPr>
                      <w:p>
                        <w:pPr>
                          <w:pStyle w:val="TableParagraph"/>
                          <w:spacing w:line="199" w:lineRule="exact"/>
                          <w:ind w:right="106"/>
                          <w:jc w:val="right"/>
                          <w:rPr>
                            <w:rFonts w:ascii="Times New Roman" w:hAnsi="Times New Roman" w:cs="Times New Roman" w:eastAsia="Times New Roman" w:hint="default"/>
                            <w:sz w:val="18"/>
                            <w:szCs w:val="18"/>
                          </w:rPr>
                        </w:pPr>
                        <w:r>
                          <w:rPr>
                            <w:rFonts w:ascii="Times New Roman"/>
                            <w:spacing w:val="-1"/>
                            <w:sz w:val="18"/>
                          </w:rPr>
                          <w:t>10,535,783.30</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6" w:lineRule="exact"/>
                          <w:ind w:left="562" w:right="0"/>
                          <w:jc w:val="left"/>
                          <w:rPr>
                            <w:rFonts w:ascii="楷体" w:hAnsi="楷体" w:cs="楷体" w:eastAsia="楷体" w:hint="default"/>
                            <w:sz w:val="18"/>
                            <w:szCs w:val="18"/>
                          </w:rPr>
                        </w:pPr>
                        <w:r>
                          <w:rPr>
                            <w:rFonts w:ascii="楷体" w:hAnsi="楷体" w:cs="楷体" w:eastAsia="楷体" w:hint="default"/>
                            <w:spacing w:val="-4"/>
                            <w:sz w:val="18"/>
                            <w:szCs w:val="18"/>
                          </w:rPr>
                          <w:t>处置固定资产、无形资产和其他长期资产的损失（减：收益）</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9"/>
                          <w:jc w:val="right"/>
                          <w:rPr>
                            <w:rFonts w:ascii="Times New Roman" w:hAnsi="Times New Roman" w:cs="Times New Roman" w:eastAsia="Times New Roman" w:hint="default"/>
                            <w:sz w:val="18"/>
                            <w:szCs w:val="18"/>
                          </w:rPr>
                        </w:pPr>
                        <w:r>
                          <w:rPr>
                            <w:rFonts w:ascii="Times New Roman"/>
                            <w:spacing w:val="-1"/>
                            <w:sz w:val="18"/>
                          </w:rPr>
                          <w:t>-9,629,439.99</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25,229,159.66</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固定资产报废损失（减：收益）</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9"/>
                          <w:jc w:val="right"/>
                          <w:rPr>
                            <w:rFonts w:ascii="Times New Roman" w:hAnsi="Times New Roman" w:cs="Times New Roman" w:eastAsia="Times New Roman" w:hint="default"/>
                            <w:sz w:val="18"/>
                            <w:szCs w:val="18"/>
                          </w:rPr>
                        </w:pPr>
                        <w:r>
                          <w:rPr>
                            <w:rFonts w:ascii="Times New Roman"/>
                            <w:sz w:val="18"/>
                          </w:rPr>
                          <w:t>150,222.75</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-31,115.35</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公允价值变动损益（减：收益）</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9"/>
                          <w:jc w:val="right"/>
                          <w:rPr>
                            <w:rFonts w:ascii="Times New Roman" w:hAnsi="Times New Roman" w:cs="Times New Roman" w:eastAsia="Times New Roman" w:hint="default"/>
                            <w:sz w:val="18"/>
                            <w:szCs w:val="18"/>
                          </w:rPr>
                        </w:pPr>
                        <w:r>
                          <w:rPr>
                            <w:rFonts w:ascii="Times New Roman"/>
                            <w:spacing w:val="-1"/>
                            <w:sz w:val="18"/>
                          </w:rPr>
                          <w:t>15,001,857.17</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-26,603,384.92</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财务费用（减：收益）</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7"/>
                          <w:jc w:val="right"/>
                          <w:rPr>
                            <w:rFonts w:ascii="Times New Roman" w:hAnsi="Times New Roman" w:cs="Times New Roman" w:eastAsia="Times New Roman" w:hint="default"/>
                            <w:sz w:val="18"/>
                            <w:szCs w:val="18"/>
                          </w:rPr>
                        </w:pPr>
                        <w:r>
                          <w:rPr>
                            <w:rFonts w:ascii="Times New Roman"/>
                            <w:spacing w:val="-1"/>
                            <w:sz w:val="18"/>
                          </w:rPr>
                          <w:t>256,364,451.31</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202,991,802.93</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投资损失（减：收益）</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7"/>
                          <w:jc w:val="right"/>
                          <w:rPr>
                            <w:rFonts w:ascii="Times New Roman" w:hAnsi="Times New Roman" w:cs="Times New Roman" w:eastAsia="Times New Roman" w:hint="default"/>
                            <w:sz w:val="18"/>
                            <w:szCs w:val="18"/>
                          </w:rPr>
                        </w:pPr>
                        <w:r>
                          <w:rPr>
                            <w:rFonts w:ascii="Times New Roman"/>
                            <w:spacing w:val="-1"/>
                            <w:sz w:val="18"/>
                          </w:rPr>
                          <w:t>158,774,016.07</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-189,103,553.27</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6" w:lineRule="exact"/>
                          <w:ind w:left="482" w:right="0"/>
                          <w:jc w:val="left"/>
                          <w:rPr>
                            <w:rFonts w:ascii="楷体" w:hAnsi="楷体" w:cs="楷体" w:eastAsia="楷体" w:hint="default"/>
                            <w:sz w:val="18"/>
                            <w:szCs w:val="18"/>
                          </w:rPr>
                        </w:pPr>
                        <w:r>
                          <w:rPr>
                            <w:rFonts w:ascii="楷体" w:hAnsi="楷体" w:cs="楷体" w:eastAsia="楷体" w:hint="default"/>
                            <w:sz w:val="18"/>
                            <w:szCs w:val="18"/>
                          </w:rPr>
                          <w:t>递延所得税资产的减少（减：增加）</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9"/>
                          <w:jc w:val="right"/>
                          <w:rPr>
                            <w:rFonts w:ascii="Times New Roman" w:hAnsi="Times New Roman" w:cs="Times New Roman" w:eastAsia="Times New Roman" w:hint="default"/>
                            <w:sz w:val="18"/>
                            <w:szCs w:val="18"/>
                          </w:rPr>
                        </w:pPr>
                        <w:r>
                          <w:rPr>
                            <w:rFonts w:ascii="Times New Roman"/>
                            <w:spacing w:val="-1"/>
                            <w:sz w:val="18"/>
                          </w:rPr>
                          <w:t>-7,280,184.04</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-31,533,516.55</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递延所得税负债的增加（减：减少）</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9"/>
                          <w:jc w:val="right"/>
                          <w:rPr>
                            <w:rFonts w:ascii="Times New Roman" w:hAnsi="Times New Roman" w:cs="Times New Roman" w:eastAsia="Times New Roman" w:hint="default"/>
                            <w:sz w:val="18"/>
                            <w:szCs w:val="18"/>
                          </w:rPr>
                        </w:pPr>
                        <w:r>
                          <w:rPr>
                            <w:rFonts w:ascii="Times New Roman"/>
                            <w:spacing w:val="-1"/>
                            <w:sz w:val="18"/>
                          </w:rPr>
                          <w:t>-6,889,905.21</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-6,287,401.99</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存货的减少（减：增加）</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7"/>
                          <w:jc w:val="right"/>
                          <w:rPr>
                            <w:rFonts w:ascii="Times New Roman" w:hAnsi="Times New Roman" w:cs="Times New Roman" w:eastAsia="Times New Roman" w:hint="default"/>
                            <w:sz w:val="18"/>
                            <w:szCs w:val="18"/>
                          </w:rPr>
                        </w:pPr>
                        <w:r>
                          <w:rPr>
                            <w:rFonts w:ascii="Times New Roman"/>
                            <w:spacing w:val="-1"/>
                            <w:sz w:val="18"/>
                          </w:rPr>
                          <w:t>-463,091,295.64</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-845,392,772.17</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经营性应收项目的减少（减：增加）</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7"/>
                          <w:jc w:val="right"/>
                          <w:rPr>
                            <w:rFonts w:ascii="Times New Roman" w:hAnsi="Times New Roman" w:cs="Times New Roman" w:eastAsia="Times New Roman" w:hint="default"/>
                            <w:sz w:val="18"/>
                            <w:szCs w:val="18"/>
                          </w:rPr>
                        </w:pPr>
                        <w:r>
                          <w:rPr>
                            <w:rFonts w:ascii="Times New Roman"/>
                            <w:spacing w:val="-1"/>
                            <w:sz w:val="18"/>
                          </w:rPr>
                          <w:t>-836,998,529.45</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-998,876,991.63</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经营性应付项目的增加（减：减少）</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7"/>
                          <w:jc w:val="right"/>
                          <w:rPr>
                            <w:rFonts w:ascii="Times New Roman" w:hAnsi="Times New Roman" w:cs="Times New Roman" w:eastAsia="Times New Roman" w:hint="default"/>
                            <w:sz w:val="18"/>
                            <w:szCs w:val="18"/>
                          </w:rPr>
                        </w:pPr>
                        <w:r>
                          <w:rPr>
                            <w:rFonts w:ascii="Times New Roman"/>
                            <w:spacing w:val="-1"/>
                            <w:sz w:val="18"/>
                          </w:rPr>
                          <w:t>135,557,373.44</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1,133,854,030.51</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预计负债的增加（减：减少）</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7"/>
                          <w:jc w:val="right"/>
                          <w:rPr>
                            <w:rFonts w:ascii="Times New Roman" w:hAnsi="Times New Roman" w:cs="Times New Roman" w:eastAsia="Times New Roman" w:hint="default"/>
                            <w:sz w:val="18"/>
                            <w:szCs w:val="18"/>
                          </w:rPr>
                        </w:pPr>
                        <w:r>
                          <w:rPr>
                            <w:rFonts w:ascii="Times New Roman"/>
                            <w:spacing w:val="-1"/>
                            <w:sz w:val="18"/>
                          </w:rPr>
                          <w:t>-18,822,109.04</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1,364,885.16</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6" w:lineRule="exact"/>
                          <w:ind w:left="482" w:right="0"/>
                          <w:jc w:val="left"/>
                          <w:rPr>
                            <w:rFonts w:ascii="楷体" w:hAnsi="楷体" w:cs="楷体" w:eastAsia="楷体" w:hint="default"/>
                            <w:sz w:val="18"/>
                            <w:szCs w:val="18"/>
                          </w:rPr>
                        </w:pPr>
                        <w:r>
                          <w:rPr>
                            <w:rFonts w:ascii="楷体" w:hAnsi="楷体" w:cs="楷体" w:eastAsia="楷体" w:hint="default"/>
                            <w:sz w:val="18"/>
                            <w:szCs w:val="18"/>
                          </w:rPr>
                          <w:t>开办费摊销</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9"/>
                          <w:jc w:val="right"/>
                          <w:rPr>
                            <w:rFonts w:ascii="Times New Roman" w:hAnsi="Times New Roman" w:cs="Times New Roman" w:eastAsia="Times New Roman" w:hint="default"/>
                            <w:sz w:val="18"/>
                            <w:szCs w:val="18"/>
                          </w:rPr>
                        </w:pPr>
                        <w:r>
                          <w:rPr>
                            <w:rFonts w:ascii="Times New Roman"/>
                            <w:spacing w:val="-1"/>
                            <w:sz w:val="18"/>
                          </w:rPr>
                          <w:t>24,035,662.44</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r>
                  <w:tr>
                    <w:trPr>
                      <w:trHeight w:val="425"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经营活动产生的现金流量净额</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9"/>
                          <w:jc w:val="right"/>
                          <w:rPr>
                            <w:rFonts w:ascii="Times New Roman" w:hAnsi="Times New Roman" w:cs="Times New Roman" w:eastAsia="Times New Roman" w:hint="default"/>
                            <w:sz w:val="18"/>
                            <w:szCs w:val="18"/>
                          </w:rPr>
                        </w:pPr>
                        <w:r>
                          <w:rPr>
                            <w:rFonts w:ascii="Times New Roman"/>
                            <w:spacing w:val="-1"/>
                            <w:sz w:val="18"/>
                          </w:rPr>
                          <w:t>47,575,992.00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238,087,291.15</w:t>
                        </w:r>
                      </w:p>
                    </w:tc>
                  </w:tr>
                  <w:tr>
                    <w:trPr>
                      <w:trHeight w:val="425"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82" w:right="0"/>
                          <w:jc w:val="left"/>
                          <w:rPr>
                            <w:rFonts w:ascii="楷体" w:hAnsi="楷体" w:cs="楷体" w:eastAsia="楷体" w:hint="default"/>
                            <w:sz w:val="18"/>
                            <w:szCs w:val="18"/>
                          </w:rPr>
                        </w:pPr>
                        <w:r>
                          <w:rPr>
                            <w:rFonts w:ascii="楷体" w:hAnsi="楷体" w:cs="楷体" w:eastAsia="楷体" w:hint="default"/>
                            <w:sz w:val="18"/>
                            <w:szCs w:val="18"/>
                          </w:rPr>
                          <w:t>债务转为资本</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楷体" w:hAnsi="楷体" w:cs="楷体" w:eastAsia="楷体" w:hint="default"/>
                            <w:sz w:val="13"/>
                            <w:szCs w:val="13"/>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楷体" w:hAnsi="楷体" w:cs="楷体" w:eastAsia="楷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一年内到期的可转换公司债</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r>
                  <w:tr>
                    <w:trPr>
                      <w:trHeight w:val="236"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楷体" w:hAnsi="楷体" w:cs="楷体" w:eastAsia="楷体" w:hint="default"/>
                            <w:sz w:val="18"/>
                            <w:szCs w:val="18"/>
                          </w:rPr>
                        </w:pPr>
                        <w:r>
                          <w:rPr>
                            <w:rFonts w:ascii="楷体" w:hAnsi="楷体" w:cs="楷体" w:eastAsia="楷体" w:hint="default"/>
                            <w:sz w:val="18"/>
                            <w:szCs w:val="18"/>
                          </w:rPr>
                          <w:t>融资租入固定资产</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r>
                  <w:tr>
                    <w:trPr>
                      <w:trHeight w:val="329"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93" w:lineRule="exact"/>
                          <w:ind w:left="12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617"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1" w:right="0"/>
                          <w:jc w:val="left"/>
                          <w:rPr>
                            <w:rFonts w:ascii="楷体" w:hAnsi="楷体" w:cs="楷体" w:eastAsia="楷体" w:hint="default"/>
                            <w:sz w:val="18"/>
                            <w:szCs w:val="18"/>
                          </w:rPr>
                        </w:pPr>
                        <w:r>
                          <w:rPr>
                            <w:rFonts w:ascii="楷体" w:hAnsi="楷体" w:cs="楷体" w:eastAsia="楷体" w:hint="default"/>
                            <w:sz w:val="18"/>
                            <w:szCs w:val="18"/>
                          </w:rPr>
                          <w:t>现金的期末余额</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9"/>
                          <w:jc w:val="right"/>
                          <w:rPr>
                            <w:rFonts w:ascii="Times New Roman" w:hAnsi="Times New Roman" w:cs="Times New Roman" w:eastAsia="Times New Roman" w:hint="default"/>
                            <w:sz w:val="18"/>
                            <w:szCs w:val="18"/>
                          </w:rPr>
                        </w:pPr>
                        <w:r>
                          <w:rPr>
                            <w:rFonts w:ascii="Times New Roman"/>
                            <w:spacing w:val="-1"/>
                            <w:sz w:val="18"/>
                          </w:rPr>
                          <w:t>3,241,319,108.47</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2,906,518,008.44</w:t>
                        </w:r>
                      </w:p>
                    </w:tc>
                  </w:tr>
                  <w:tr>
                    <w:trPr>
                      <w:trHeight w:val="283"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27" w:lineRule="exact"/>
                          <w:ind w:left="481" w:right="0"/>
                          <w:jc w:val="left"/>
                          <w:rPr>
                            <w:rFonts w:ascii="楷体" w:hAnsi="楷体" w:cs="楷体" w:eastAsia="楷体" w:hint="default"/>
                            <w:sz w:val="18"/>
                            <w:szCs w:val="18"/>
                          </w:rPr>
                        </w:pPr>
                        <w:r>
                          <w:rPr>
                            <w:rFonts w:ascii="楷体" w:hAnsi="楷体" w:cs="楷体" w:eastAsia="楷体" w:hint="default"/>
                            <w:sz w:val="18"/>
                            <w:szCs w:val="18"/>
                          </w:rPr>
                          <w:t>减：现金的期初余额</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9"/>
                          <w:jc w:val="right"/>
                          <w:rPr>
                            <w:rFonts w:ascii="Times New Roman" w:hAnsi="Times New Roman" w:cs="Times New Roman" w:eastAsia="Times New Roman" w:hint="default"/>
                            <w:sz w:val="18"/>
                            <w:szCs w:val="18"/>
                          </w:rPr>
                        </w:pPr>
                        <w:r>
                          <w:rPr>
                            <w:rFonts w:ascii="Times New Roman"/>
                            <w:spacing w:val="-1"/>
                            <w:sz w:val="18"/>
                          </w:rPr>
                          <w:t>2,906,518,008.44</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1,944,770,734.62</w:t>
                        </w:r>
                      </w:p>
                    </w:tc>
                  </w:tr>
                  <w:tr>
                    <w:trPr>
                      <w:trHeight w:val="300" w:hRule="exact"/>
                    </w:trPr>
                    <w:tc>
                      <w:tcPr>
                        <w:tcW w:w="5483" w:type="dxa"/>
                        <w:tcBorders>
                          <w:top w:val="nil" w:sz="6" w:space="0" w:color="auto"/>
                          <w:left w:val="nil" w:sz="6" w:space="0" w:color="auto"/>
                          <w:bottom w:val="single" w:sz="12" w:space="0" w:color="000000"/>
                          <w:right w:val="nil" w:sz="6" w:space="0" w:color="auto"/>
                        </w:tcBorders>
                      </w:tcPr>
                      <w:p>
                        <w:pPr>
                          <w:pStyle w:val="TableParagraph"/>
                          <w:spacing w:line="227" w:lineRule="exact"/>
                          <w:ind w:left="121" w:right="0"/>
                          <w:jc w:val="left"/>
                          <w:rPr>
                            <w:rFonts w:ascii="楷体" w:hAnsi="楷体" w:cs="楷体" w:eastAsia="楷体" w:hint="default"/>
                            <w:sz w:val="18"/>
                            <w:szCs w:val="18"/>
                          </w:rPr>
                        </w:pPr>
                        <w:r>
                          <w:rPr>
                            <w:rFonts w:ascii="楷体" w:hAnsi="楷体" w:cs="楷体" w:eastAsia="楷体" w:hint="default"/>
                            <w:sz w:val="18"/>
                            <w:szCs w:val="18"/>
                          </w:rPr>
                          <w:t>现金及现金等价物净增加额</w:t>
                        </w:r>
                      </w:p>
                    </w:tc>
                    <w:tc>
                      <w:tcPr>
                        <w:tcW w:w="1617"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88"/>
                          <w:jc w:val="right"/>
                          <w:rPr>
                            <w:rFonts w:ascii="Times New Roman" w:hAnsi="Times New Roman" w:cs="Times New Roman" w:eastAsia="Times New Roman" w:hint="default"/>
                            <w:sz w:val="18"/>
                            <w:szCs w:val="18"/>
                          </w:rPr>
                        </w:pPr>
                        <w:r>
                          <w:rPr>
                            <w:rFonts w:ascii="Times New Roman"/>
                            <w:spacing w:val="-1"/>
                            <w:sz w:val="18"/>
                          </w:rPr>
                          <w:t>334,801,100.03</w:t>
                        </w:r>
                      </w:p>
                    </w:tc>
                    <w:tc>
                      <w:tcPr>
                        <w:tcW w:w="1559"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961,747,273.82</w:t>
                        </w:r>
                      </w:p>
                    </w:tc>
                  </w:tr>
                </w:tbl>
                <w:p>
                  <w:pPr/>
                </w:p>
              </w:txbxContent>
            </v:textbox>
            <w10:wrap type="none"/>
          </v:shape>
        </w:pict>
      </w: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20"/>
          <w:szCs w:val="20"/>
        </w:rPr>
      </w:pPr>
    </w:p>
    <w:p>
      <w:pPr>
        <w:pStyle w:val="Heading3"/>
        <w:spacing w:line="367" w:lineRule="exact"/>
        <w:ind w:left="620" w:right="2246"/>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八、</w:t>
      </w:r>
      <w:r>
        <w:rPr>
          <w:rFonts w:ascii="Microsoft JhengHei" w:hAnsi="Microsoft JhengHei" w:cs="Microsoft JhengHei" w:eastAsia="Microsoft JhengHei" w:hint="default"/>
          <w:spacing w:val="10"/>
        </w:rPr>
        <w:t> </w:t>
      </w:r>
      <w:r>
        <w:rPr>
          <w:rFonts w:ascii="Microsoft JhengHei" w:hAnsi="Microsoft JhengHei" w:cs="Microsoft JhengHei" w:eastAsia="Microsoft JhengHei" w:hint="default"/>
        </w:rPr>
        <w:t>母公司财务报表主要项目注释</w:t>
      </w:r>
      <w:r>
        <w:rPr>
          <w:rFonts w:ascii="Microsoft JhengHei" w:hAnsi="Microsoft JhengHei" w:cs="Microsoft JhengHei" w:eastAsia="Microsoft JhengHei" w:hint="default"/>
          <w:b w:val="0"/>
          <w:bCs w:val="0"/>
        </w:rPr>
      </w:r>
    </w:p>
    <w:p>
      <w:pPr>
        <w:tabs>
          <w:tab w:pos="1045" w:val="left" w:leader="none"/>
        </w:tabs>
        <w:spacing w:before="142"/>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1.</w:t>
        <w:tab/>
      </w:r>
      <w:r>
        <w:rPr>
          <w:rFonts w:ascii="楷体" w:hAnsi="楷体" w:cs="楷体" w:eastAsia="楷体" w:hint="default"/>
          <w:sz w:val="22"/>
          <w:szCs w:val="22"/>
        </w:rPr>
        <w:t>应收账款</w:t>
      </w:r>
    </w:p>
    <w:p>
      <w:pPr>
        <w:spacing w:before="163"/>
        <w:ind w:left="592"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应收账款账龄</w:t>
      </w:r>
    </w:p>
    <w:p>
      <w:pPr>
        <w:tabs>
          <w:tab w:pos="6811" w:val="left" w:leader="none"/>
        </w:tabs>
        <w:spacing w:before="109"/>
        <w:ind w:left="3056" w:right="0" w:firstLine="0"/>
        <w:jc w:val="left"/>
        <w:rPr>
          <w:rFonts w:ascii="Microsoft JhengHei" w:hAnsi="Microsoft JhengHei" w:cs="Microsoft JhengHei" w:eastAsia="Microsoft JhengHei" w:hint="default"/>
          <w:sz w:val="18"/>
          <w:szCs w:val="18"/>
        </w:rPr>
      </w:pPr>
      <w:r>
        <w:rPr/>
        <w:pict>
          <v:group style="position:absolute;margin-left:85.199997pt;margin-top:8.055531pt;width:431.55pt;height:.1pt;mso-position-horizontal-relative:page;mso-position-vertical-relative:paragraph;z-index:-897664" coordorigin="1704,161" coordsize="8631,2">
            <v:shape style="position:absolute;left:1704;top:161;width:8631;height:2" coordorigin="1704,161" coordsize="8631,0" path="m1704,161l10334,161e" filled="false" stroked="true" strokeweight="1.5pt" strokecolor="#000000">
              <v:path arrowok="t"/>
            </v:shape>
            <w10:wrap type="none"/>
          </v:group>
        </w:pict>
      </w:r>
      <w:r>
        <w:rPr/>
        <w:pict>
          <v:shape style="position:absolute;margin-left:84.839996pt;margin-top:17.690855pt;width:431.9pt;height:122.2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3"/>
                    <w:gridCol w:w="1544"/>
                    <w:gridCol w:w="972"/>
                    <w:gridCol w:w="1341"/>
                    <w:gridCol w:w="1442"/>
                    <w:gridCol w:w="993"/>
                    <w:gridCol w:w="1332"/>
                  </w:tblGrid>
                  <w:tr>
                    <w:trPr>
                      <w:trHeight w:val="403" w:hRule="exact"/>
                    </w:trPr>
                    <w:tc>
                      <w:tcPr>
                        <w:tcW w:w="1013"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4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7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0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9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r>
                  <w:tr>
                    <w:trPr>
                      <w:trHeight w:val="287" w:hRule="exact"/>
                    </w:trPr>
                    <w:tc>
                      <w:tcPr>
                        <w:tcW w:w="1013" w:type="dxa"/>
                        <w:tcBorders>
                          <w:top w:val="single" w:sz="4" w:space="0" w:color="000000"/>
                          <w:left w:val="nil" w:sz="6" w:space="0" w:color="auto"/>
                          <w:bottom w:val="nil" w:sz="6" w:space="0" w:color="auto"/>
                          <w:right w:val="nil" w:sz="6" w:space="0" w:color="auto"/>
                        </w:tcBorders>
                      </w:tcPr>
                      <w:p>
                        <w:pPr>
                          <w:pStyle w:val="TableParagraph"/>
                          <w:spacing w:line="239"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85"/>
                          <w:jc w:val="right"/>
                          <w:rPr>
                            <w:rFonts w:ascii="Times New Roman" w:hAnsi="Times New Roman" w:cs="Times New Roman" w:eastAsia="Times New Roman" w:hint="default"/>
                            <w:sz w:val="18"/>
                            <w:szCs w:val="18"/>
                          </w:rPr>
                        </w:pPr>
                        <w:r>
                          <w:rPr>
                            <w:rFonts w:ascii="Times New Roman"/>
                            <w:spacing w:val="-1"/>
                            <w:sz w:val="18"/>
                          </w:rPr>
                          <w:t>452,002,738.42</w:t>
                        </w:r>
                      </w:p>
                    </w:tc>
                    <w:tc>
                      <w:tcPr>
                        <w:tcW w:w="97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55.12%</w:t>
                        </w:r>
                      </w:p>
                    </w:tc>
                    <w:tc>
                      <w:tcPr>
                        <w:tcW w:w="134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pacing w:val="-1"/>
                            <w:sz w:val="18"/>
                          </w:rPr>
                          <w:t>3,038,766.92</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07"/>
                          <w:jc w:val="right"/>
                          <w:rPr>
                            <w:rFonts w:ascii="Times New Roman" w:hAnsi="Times New Roman" w:cs="Times New Roman" w:eastAsia="Times New Roman" w:hint="default"/>
                            <w:sz w:val="18"/>
                            <w:szCs w:val="18"/>
                          </w:rPr>
                        </w:pPr>
                        <w:r>
                          <w:rPr>
                            <w:rFonts w:ascii="Times New Roman"/>
                            <w:spacing w:val="-1"/>
                            <w:sz w:val="18"/>
                          </w:rPr>
                          <w:t>336,025,559.23</w:t>
                        </w:r>
                      </w:p>
                    </w:tc>
                    <w:tc>
                      <w:tcPr>
                        <w:tcW w:w="99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46.61%</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3,181,074.61</w:t>
                        </w:r>
                      </w:p>
                    </w:tc>
                  </w:tr>
                  <w:tr>
                    <w:trPr>
                      <w:trHeight w:val="283"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7"/>
                          <w:jc w:val="right"/>
                          <w:rPr>
                            <w:rFonts w:ascii="Times New Roman" w:hAnsi="Times New Roman" w:cs="Times New Roman" w:eastAsia="Times New Roman" w:hint="default"/>
                            <w:sz w:val="18"/>
                            <w:szCs w:val="18"/>
                          </w:rPr>
                        </w:pPr>
                        <w:r>
                          <w:rPr>
                            <w:rFonts w:ascii="Times New Roman"/>
                            <w:spacing w:val="-1"/>
                            <w:sz w:val="18"/>
                          </w:rPr>
                          <w:t>64,340,945.89</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7.84%</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2,838,117.17</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7"/>
                          <w:jc w:val="right"/>
                          <w:rPr>
                            <w:rFonts w:ascii="Times New Roman" w:hAnsi="Times New Roman" w:cs="Times New Roman" w:eastAsia="Times New Roman" w:hint="default"/>
                            <w:sz w:val="18"/>
                            <w:szCs w:val="18"/>
                          </w:rPr>
                        </w:pPr>
                        <w:r>
                          <w:rPr>
                            <w:rFonts w:ascii="Times New Roman"/>
                            <w:spacing w:val="-1"/>
                            <w:sz w:val="18"/>
                          </w:rPr>
                          <w:t>114,866,287.99</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15.93%</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5,461,219.73</w:t>
                        </w:r>
                      </w:p>
                    </w:tc>
                  </w:tr>
                  <w:tr>
                    <w:trPr>
                      <w:trHeight w:val="283"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7"/>
                          <w:jc w:val="right"/>
                          <w:rPr>
                            <w:rFonts w:ascii="Times New Roman" w:hAnsi="Times New Roman" w:cs="Times New Roman" w:eastAsia="Times New Roman" w:hint="default"/>
                            <w:sz w:val="18"/>
                            <w:szCs w:val="18"/>
                          </w:rPr>
                        </w:pPr>
                        <w:r>
                          <w:rPr>
                            <w:rFonts w:ascii="Times New Roman"/>
                            <w:spacing w:val="-1"/>
                            <w:sz w:val="18"/>
                          </w:rPr>
                          <w:t>60,535,985.82</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7.38%</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8,388,980.79</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8"/>
                          <w:jc w:val="right"/>
                          <w:rPr>
                            <w:rFonts w:ascii="Times New Roman" w:hAnsi="Times New Roman" w:cs="Times New Roman" w:eastAsia="Times New Roman" w:hint="default"/>
                            <w:sz w:val="18"/>
                            <w:szCs w:val="18"/>
                          </w:rPr>
                        </w:pPr>
                        <w:r>
                          <w:rPr>
                            <w:rFonts w:ascii="Times New Roman"/>
                            <w:spacing w:val="-1"/>
                            <w:sz w:val="18"/>
                          </w:rPr>
                          <w:t>40,557,230.53</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5.63%</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5,299,242.97</w:t>
                        </w:r>
                      </w:p>
                    </w:tc>
                  </w:tr>
                  <w:tr>
                    <w:trPr>
                      <w:trHeight w:val="283"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7"/>
                          <w:jc w:val="right"/>
                          <w:rPr>
                            <w:rFonts w:ascii="Times New Roman" w:hAnsi="Times New Roman" w:cs="Times New Roman" w:eastAsia="Times New Roman" w:hint="default"/>
                            <w:sz w:val="18"/>
                            <w:szCs w:val="18"/>
                          </w:rPr>
                        </w:pPr>
                        <w:r>
                          <w:rPr>
                            <w:rFonts w:ascii="Times New Roman"/>
                            <w:spacing w:val="-1"/>
                            <w:sz w:val="18"/>
                          </w:rPr>
                          <w:t>28,905,512.17</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3.52%</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7,640,803.55</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8"/>
                          <w:jc w:val="right"/>
                          <w:rPr>
                            <w:rFonts w:ascii="Times New Roman" w:hAnsi="Times New Roman" w:cs="Times New Roman" w:eastAsia="Times New Roman" w:hint="default"/>
                            <w:sz w:val="18"/>
                            <w:szCs w:val="18"/>
                          </w:rPr>
                        </w:pPr>
                        <w:r>
                          <w:rPr>
                            <w:rFonts w:ascii="Times New Roman"/>
                            <w:spacing w:val="-1"/>
                            <w:sz w:val="18"/>
                          </w:rPr>
                          <w:t>69,828,976.33</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9.69%</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16,765,310.71</w:t>
                        </w:r>
                      </w:p>
                    </w:tc>
                  </w:tr>
                  <w:tr>
                    <w:trPr>
                      <w:trHeight w:val="283"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7"/>
                          <w:jc w:val="right"/>
                          <w:rPr>
                            <w:rFonts w:ascii="Times New Roman" w:hAnsi="Times New Roman" w:cs="Times New Roman" w:eastAsia="Times New Roman" w:hint="default"/>
                            <w:sz w:val="18"/>
                            <w:szCs w:val="18"/>
                          </w:rPr>
                        </w:pPr>
                        <w:r>
                          <w:rPr>
                            <w:rFonts w:ascii="Times New Roman"/>
                            <w:spacing w:val="-1"/>
                            <w:sz w:val="18"/>
                          </w:rPr>
                          <w:t>64,095,856.37</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7.81%</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pacing w:val="-1"/>
                            <w:sz w:val="18"/>
                          </w:rPr>
                          <w:t>25,493,226.72</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8"/>
                          <w:jc w:val="right"/>
                          <w:rPr>
                            <w:rFonts w:ascii="Times New Roman" w:hAnsi="Times New Roman" w:cs="Times New Roman" w:eastAsia="Times New Roman" w:hint="default"/>
                            <w:sz w:val="18"/>
                            <w:szCs w:val="18"/>
                          </w:rPr>
                        </w:pPr>
                        <w:r>
                          <w:rPr>
                            <w:rFonts w:ascii="Times New Roman"/>
                            <w:spacing w:val="-1"/>
                            <w:sz w:val="18"/>
                          </w:rPr>
                          <w:t>67,952,831.08</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pacing w:val="-1"/>
                            <w:sz w:val="18"/>
                          </w:rPr>
                          <w:t>9.42%</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34,121,325.76</w:t>
                        </w:r>
                      </w:p>
                    </w:tc>
                  </w:tr>
                  <w:tr>
                    <w:trPr>
                      <w:trHeight w:val="289" w:hRule="exact"/>
                    </w:trPr>
                    <w:tc>
                      <w:tcPr>
                        <w:tcW w:w="1013"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年以上</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85"/>
                          <w:jc w:val="right"/>
                          <w:rPr>
                            <w:rFonts w:ascii="Times New Roman" w:hAnsi="Times New Roman" w:cs="Times New Roman" w:eastAsia="Times New Roman" w:hint="default"/>
                            <w:sz w:val="18"/>
                            <w:szCs w:val="18"/>
                          </w:rPr>
                        </w:pPr>
                        <w:r>
                          <w:rPr>
                            <w:rFonts w:ascii="Times New Roman"/>
                            <w:spacing w:val="-1"/>
                            <w:sz w:val="18"/>
                          </w:rPr>
                          <w:t>150,309,592.44</w:t>
                        </w:r>
                      </w:p>
                    </w:tc>
                    <w:tc>
                      <w:tcPr>
                        <w:tcW w:w="97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18.33%</w:t>
                        </w:r>
                      </w:p>
                    </w:tc>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147,480,180.21</w:t>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08"/>
                          <w:jc w:val="right"/>
                          <w:rPr>
                            <w:rFonts w:ascii="Times New Roman" w:hAnsi="Times New Roman" w:cs="Times New Roman" w:eastAsia="Times New Roman" w:hint="default"/>
                            <w:sz w:val="18"/>
                            <w:szCs w:val="18"/>
                          </w:rPr>
                        </w:pPr>
                        <w:r>
                          <w:rPr>
                            <w:rFonts w:ascii="Times New Roman"/>
                            <w:spacing w:val="-1"/>
                            <w:sz w:val="18"/>
                          </w:rPr>
                          <w:t>91,705,274.34</w:t>
                        </w:r>
                      </w:p>
                    </w:tc>
                    <w:tc>
                      <w:tcPr>
                        <w:tcW w:w="99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12.72%</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90,710,021.03</w:t>
                        </w:r>
                      </w:p>
                    </w:tc>
                  </w:tr>
                  <w:tr>
                    <w:trPr>
                      <w:trHeight w:val="303" w:hRule="exact"/>
                    </w:trPr>
                    <w:tc>
                      <w:tcPr>
                        <w:tcW w:w="1013"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85"/>
                          <w:jc w:val="right"/>
                          <w:rPr>
                            <w:rFonts w:ascii="Times New Roman" w:hAnsi="Times New Roman" w:cs="Times New Roman" w:eastAsia="Times New Roman" w:hint="default"/>
                            <w:sz w:val="18"/>
                            <w:szCs w:val="18"/>
                          </w:rPr>
                        </w:pPr>
                        <w:r>
                          <w:rPr>
                            <w:rFonts w:ascii="Times New Roman"/>
                            <w:b/>
                            <w:spacing w:val="-1"/>
                            <w:sz w:val="18"/>
                          </w:rPr>
                          <w:t>820,190,631.11</w:t>
                        </w:r>
                        <w:r>
                          <w:rPr>
                            <w:rFonts w:ascii="Times New Roman"/>
                            <w:spacing w:val="-1"/>
                            <w:sz w:val="18"/>
                          </w:rPr>
                        </w:r>
                      </w:p>
                    </w:tc>
                    <w:tc>
                      <w:tcPr>
                        <w:tcW w:w="9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4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pacing w:val="-1"/>
                            <w:sz w:val="18"/>
                          </w:rPr>
                          <w:t>194,880,075.36</w:t>
                        </w:r>
                        <w:r>
                          <w:rPr>
                            <w:rFonts w:ascii="Times New Roman"/>
                            <w:spacing w:val="-1"/>
                            <w:sz w:val="18"/>
                          </w:rPr>
                        </w:r>
                      </w:p>
                    </w:tc>
                    <w:tc>
                      <w:tcPr>
                        <w:tcW w:w="144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07"/>
                          <w:jc w:val="right"/>
                          <w:rPr>
                            <w:rFonts w:ascii="Times New Roman" w:hAnsi="Times New Roman" w:cs="Times New Roman" w:eastAsia="Times New Roman" w:hint="default"/>
                            <w:sz w:val="18"/>
                            <w:szCs w:val="18"/>
                          </w:rPr>
                        </w:pPr>
                        <w:r>
                          <w:rPr>
                            <w:rFonts w:ascii="Times New Roman"/>
                            <w:b/>
                            <w:spacing w:val="-1"/>
                            <w:sz w:val="18"/>
                          </w:rPr>
                          <w:t>720,936,159.50</w:t>
                        </w:r>
                        <w:r>
                          <w:rPr>
                            <w:rFonts w:ascii="Times New Roman"/>
                            <w:spacing w:val="-1"/>
                            <w:sz w:val="18"/>
                          </w:rPr>
                        </w:r>
                      </w:p>
                    </w:tc>
                    <w:tc>
                      <w:tcPr>
                        <w:tcW w:w="99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3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155,538,194.81</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54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76pt;height:.5pt;mso-position-horizontal-relative:char;mso-position-vertical-relative:line" coordorigin="0,0" coordsize="7520,10">
            <v:group style="position:absolute;left:5;top:5;width:7510;height:2" coordorigin="5,5" coordsize="7510,2">
              <v:shape style="position:absolute;left:5;top:5;width:7510;height:2" coordorigin="5,5" coordsize="7510,0" path="m5,5l751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5"/>
          <w:szCs w:val="15"/>
        </w:rPr>
      </w:pPr>
    </w:p>
    <w:p>
      <w:pPr>
        <w:spacing w:before="31"/>
        <w:ind w:left="591"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应收账款风险分类</w:t>
      </w:r>
    </w:p>
    <w:p>
      <w:pPr>
        <w:spacing w:line="240" w:lineRule="auto" w:before="3"/>
        <w:rPr>
          <w:rFonts w:ascii="楷体" w:hAnsi="楷体" w:cs="楷体" w:eastAsia="楷体" w:hint="default"/>
          <w:sz w:val="11"/>
          <w:szCs w:val="11"/>
        </w:rPr>
      </w:pPr>
    </w:p>
    <w:p>
      <w:pPr>
        <w:spacing w:line="30" w:lineRule="exact"/>
        <w:ind w:left="409"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tabs>
          <w:tab w:pos="5343" w:val="left" w:leader="none"/>
        </w:tabs>
        <w:spacing w:line="168" w:lineRule="exact" w:before="0"/>
        <w:ind w:left="2047" w:right="0" w:firstLine="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年末金额</w:t>
        <w:tab/>
        <w:t>年初金额</w:t>
      </w:r>
      <w:r>
        <w:rPr>
          <w:rFonts w:ascii="Microsoft JhengHei" w:hAnsi="Microsoft JhengHei" w:cs="Microsoft JhengHei" w:eastAsia="Microsoft JhengHei" w:hint="default"/>
          <w:sz w:val="16"/>
          <w:szCs w:val="16"/>
        </w:rPr>
      </w:r>
    </w:p>
    <w:p>
      <w:pPr>
        <w:spacing w:line="146" w:lineRule="exact" w:before="0"/>
        <w:ind w:left="524" w:right="6555" w:firstLine="0"/>
        <w:jc w:val="left"/>
        <w:rPr>
          <w:rFonts w:ascii="Microsoft JhengHei" w:hAnsi="Microsoft JhengHei" w:cs="Microsoft JhengHei" w:eastAsia="Microsoft JhengHei" w:hint="default"/>
          <w:sz w:val="16"/>
          <w:szCs w:val="16"/>
        </w:rPr>
      </w:pPr>
      <w:r>
        <w:rPr/>
        <w:pict>
          <v:group style="position:absolute;margin-left:187.080002pt;margin-top:6.007267pt;width:329.65pt;height:.1pt;mso-position-horizontal-relative:page;mso-position-vertical-relative:paragraph;z-index:3808" coordorigin="3742,120" coordsize="6593,2">
            <v:shape style="position:absolute;left:3742;top:120;width:6593;height:2" coordorigin="3742,120" coordsize="6593,0" path="m3742,120l10334,120e" filled="false" stroked="true" strokeweight=".48pt" strokecolor="#000000">
              <v:path arrowok="t"/>
            </v:shape>
            <w10:wrap type="none"/>
          </v:group>
        </w:pict>
      </w: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p>
      <w:pPr>
        <w:tabs>
          <w:tab w:pos="3075" w:val="left" w:leader="none"/>
          <w:tab w:pos="3784" w:val="left" w:leader="none"/>
          <w:tab w:pos="5343" w:val="left" w:leader="none"/>
          <w:tab w:pos="6372" w:val="left" w:leader="none"/>
          <w:tab w:pos="7401" w:val="left" w:leader="none"/>
        </w:tabs>
        <w:spacing w:line="220" w:lineRule="exact" w:before="0"/>
        <w:ind w:left="2045" w:right="0" w:firstLine="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比例</w:t>
        <w:tab/>
        <w:t>坏账准备金额</w:t>
        <w:tab/>
        <w:t>金额</w:t>
        <w:tab/>
        <w:t>比例</w:t>
        <w:tab/>
        <w:t>金额</w:t>
      </w:r>
      <w:r>
        <w:rPr>
          <w:rFonts w:ascii="Microsoft JhengHei" w:hAnsi="Microsoft JhengHei" w:cs="Microsoft JhengHei" w:eastAsia="Microsoft JhengHei" w:hint="default"/>
          <w:sz w:val="16"/>
          <w:szCs w:val="16"/>
        </w:rPr>
      </w:r>
    </w:p>
    <w:p>
      <w:pPr>
        <w:spacing w:line="240" w:lineRule="auto" w:before="12"/>
        <w:rPr>
          <w:rFonts w:ascii="Microsoft JhengHei" w:hAnsi="Microsoft JhengHei" w:cs="Microsoft JhengHei" w:eastAsia="Microsoft JhengHei" w:hint="default"/>
          <w:b/>
          <w:bCs/>
          <w:sz w:val="2"/>
          <w:szCs w:val="2"/>
        </w:rPr>
      </w:pPr>
    </w:p>
    <w:tbl>
      <w:tblPr>
        <w:tblW w:w="0" w:type="auto"/>
        <w:jc w:val="left"/>
        <w:tblInd w:w="416" w:type="dxa"/>
        <w:tblLayout w:type="fixed"/>
        <w:tblCellMar>
          <w:top w:w="0" w:type="dxa"/>
          <w:left w:w="0" w:type="dxa"/>
          <w:bottom w:w="0" w:type="dxa"/>
          <w:right w:w="0" w:type="dxa"/>
        </w:tblCellMar>
        <w:tblLook w:val="01E0"/>
      </w:tblPr>
      <w:tblGrid>
        <w:gridCol w:w="3291"/>
        <w:gridCol w:w="832"/>
        <w:gridCol w:w="1237"/>
        <w:gridCol w:w="1229"/>
        <w:gridCol w:w="829"/>
        <w:gridCol w:w="1219"/>
      </w:tblGrid>
      <w:tr>
        <w:trPr>
          <w:trHeight w:val="377" w:hRule="exact"/>
        </w:trPr>
        <w:tc>
          <w:tcPr>
            <w:tcW w:w="3291" w:type="dxa"/>
            <w:tcBorders>
              <w:top w:val="single" w:sz="4" w:space="0" w:color="000000"/>
              <w:left w:val="nil" w:sz="6" w:space="0" w:color="auto"/>
              <w:bottom w:val="nil" w:sz="6" w:space="0" w:color="auto"/>
              <w:right w:val="nil" w:sz="6" w:space="0" w:color="auto"/>
            </w:tcBorders>
          </w:tcPr>
          <w:p>
            <w:pPr>
              <w:pStyle w:val="TableParagraph"/>
              <w:tabs>
                <w:tab w:pos="2151" w:val="left" w:leader="none"/>
              </w:tabs>
              <w:spacing w:line="240" w:lineRule="auto" w:before="13"/>
              <w:ind w:right="108"/>
              <w:jc w:val="right"/>
              <w:rPr>
                <w:rFonts w:ascii="Times New Roman" w:hAnsi="Times New Roman" w:cs="Times New Roman" w:eastAsia="Times New Roman" w:hint="default"/>
                <w:sz w:val="16"/>
                <w:szCs w:val="16"/>
              </w:rPr>
            </w:pPr>
            <w:r>
              <w:rPr>
                <w:rFonts w:ascii="楷体" w:hAnsi="楷体" w:cs="楷体" w:eastAsia="楷体" w:hint="default"/>
                <w:w w:val="95"/>
                <w:sz w:val="16"/>
                <w:szCs w:val="16"/>
              </w:rPr>
              <w:t>单项金额重大的应收账款</w:t>
              <w:tab/>
            </w:r>
            <w:r>
              <w:rPr>
                <w:rFonts w:ascii="Times New Roman" w:hAnsi="Times New Roman" w:cs="Times New Roman" w:eastAsia="Times New Roman" w:hint="default"/>
                <w:spacing w:val="-1"/>
                <w:sz w:val="16"/>
                <w:szCs w:val="16"/>
              </w:rPr>
              <w:t>95,191,514.77</w:t>
            </w:r>
          </w:p>
        </w:tc>
        <w:tc>
          <w:tcPr>
            <w:tcW w:w="83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6"/>
                <w:szCs w:val="16"/>
              </w:rPr>
            </w:pPr>
            <w:r>
              <w:rPr>
                <w:rFonts w:ascii="Times New Roman"/>
                <w:spacing w:val="-2"/>
                <w:sz w:val="16"/>
              </w:rPr>
              <w:t>11.61%</w:t>
            </w:r>
          </w:p>
        </w:tc>
        <w:tc>
          <w:tcPr>
            <w:tcW w:w="12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6"/>
                <w:szCs w:val="16"/>
              </w:rPr>
            </w:pPr>
            <w:r>
              <w:rPr>
                <w:rFonts w:ascii="Times New Roman"/>
                <w:spacing w:val="-1"/>
                <w:sz w:val="16"/>
              </w:rPr>
              <w:t>52,193,972.38</w:t>
            </w:r>
          </w:p>
        </w:tc>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6"/>
                <w:szCs w:val="16"/>
              </w:rPr>
            </w:pPr>
            <w:r>
              <w:rPr>
                <w:rFonts w:ascii="Times New Roman"/>
                <w:spacing w:val="-1"/>
                <w:sz w:val="16"/>
              </w:rPr>
              <w:t>97,780,970.94</w:t>
            </w:r>
          </w:p>
        </w:tc>
        <w:tc>
          <w:tcPr>
            <w:tcW w:w="8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5"/>
              <w:jc w:val="right"/>
              <w:rPr>
                <w:rFonts w:ascii="Times New Roman" w:hAnsi="Times New Roman" w:cs="Times New Roman" w:eastAsia="Times New Roman" w:hint="default"/>
                <w:sz w:val="16"/>
                <w:szCs w:val="16"/>
              </w:rPr>
            </w:pPr>
            <w:r>
              <w:rPr>
                <w:rFonts w:ascii="Times New Roman"/>
                <w:spacing w:val="-1"/>
                <w:sz w:val="16"/>
              </w:rPr>
              <w:t>13.56%</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6"/>
                <w:szCs w:val="16"/>
              </w:rPr>
            </w:pPr>
            <w:r>
              <w:rPr>
                <w:rFonts w:ascii="Times New Roman"/>
                <w:spacing w:val="-1"/>
                <w:sz w:val="16"/>
              </w:rPr>
              <w:t>41,788,804.64</w:t>
            </w:r>
          </w:p>
        </w:tc>
      </w:tr>
      <w:tr>
        <w:trPr>
          <w:trHeight w:val="471"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88" w:lineRule="exact"/>
              <w:ind w:left="107" w:right="0"/>
              <w:jc w:val="left"/>
              <w:rPr>
                <w:rFonts w:ascii="楷体" w:hAnsi="楷体" w:cs="楷体" w:eastAsia="楷体" w:hint="default"/>
                <w:sz w:val="16"/>
                <w:szCs w:val="16"/>
              </w:rPr>
            </w:pPr>
            <w:r>
              <w:rPr>
                <w:rFonts w:ascii="楷体" w:hAnsi="楷体" w:cs="楷体" w:eastAsia="楷体" w:hint="default"/>
                <w:spacing w:val="7"/>
                <w:sz w:val="16"/>
                <w:szCs w:val="16"/>
              </w:rPr>
              <w:t>单项金额不重大但按信用</w:t>
            </w:r>
          </w:p>
          <w:p>
            <w:pPr>
              <w:pStyle w:val="TableParagraph"/>
              <w:tabs>
                <w:tab w:pos="2900" w:val="left" w:leader="none"/>
              </w:tabs>
              <w:spacing w:line="207" w:lineRule="exact"/>
              <w:ind w:left="107" w:right="0"/>
              <w:jc w:val="left"/>
              <w:rPr>
                <w:rFonts w:ascii="Times New Roman" w:hAnsi="Times New Roman" w:cs="Times New Roman" w:eastAsia="Times New Roman" w:hint="default"/>
                <w:sz w:val="16"/>
                <w:szCs w:val="16"/>
              </w:rPr>
            </w:pPr>
            <w:r>
              <w:rPr>
                <w:rFonts w:ascii="楷体" w:hAnsi="楷体" w:cs="楷体" w:eastAsia="楷体" w:hint="default"/>
                <w:spacing w:val="7"/>
                <w:w w:val="95"/>
                <w:sz w:val="16"/>
                <w:szCs w:val="16"/>
              </w:rPr>
              <w:t>风险特征组合后该组合风</w:t>
            </w:r>
            <w:r>
              <w:rPr>
                <w:rFonts w:ascii="Times New Roman" w:hAnsi="Times New Roman" w:cs="Times New Roman" w:eastAsia="Times New Roman" w:hint="default"/>
                <w:spacing w:val="7"/>
                <w:w w:val="95"/>
                <w:sz w:val="16"/>
                <w:szCs w:val="16"/>
              </w:rPr>
              <w:tab/>
            </w:r>
            <w:r>
              <w:rPr>
                <w:rFonts w:ascii="Times New Roman" w:hAnsi="Times New Roman" w:cs="Times New Roman" w:eastAsia="Times New Roman" w:hint="default"/>
                <w:spacing w:val="-1"/>
                <w:sz w:val="16"/>
                <w:szCs w:val="16"/>
              </w:rPr>
              <w:t>0.00</w:t>
            </w:r>
          </w:p>
          <w:p>
            <w:pPr>
              <w:pStyle w:val="TableParagraph"/>
              <w:spacing w:line="199" w:lineRule="exact"/>
              <w:ind w:left="107" w:right="0"/>
              <w:jc w:val="left"/>
              <w:rPr>
                <w:rFonts w:ascii="楷体" w:hAnsi="楷体" w:cs="楷体" w:eastAsia="楷体" w:hint="default"/>
                <w:sz w:val="16"/>
                <w:szCs w:val="16"/>
              </w:rPr>
            </w:pPr>
            <w:r>
              <w:rPr>
                <w:rFonts w:ascii="楷体" w:hAnsi="楷体" w:cs="楷体" w:eastAsia="楷体" w:hint="default"/>
                <w:sz w:val="16"/>
                <w:szCs w:val="16"/>
              </w:rPr>
              <w:t>险较大的应收账款</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6"/>
              <w:jc w:val="right"/>
              <w:rPr>
                <w:rFonts w:ascii="Times New Roman" w:hAnsi="Times New Roman" w:cs="Times New Roman" w:eastAsia="Times New Roman" w:hint="default"/>
                <w:sz w:val="16"/>
                <w:szCs w:val="16"/>
              </w:rPr>
            </w:pPr>
            <w:r>
              <w:rPr>
                <w:rFonts w:ascii="Times New Roman"/>
                <w:spacing w:val="-1"/>
                <w:sz w:val="16"/>
              </w:rPr>
              <w:t>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6"/>
              <w:jc w:val="right"/>
              <w:rPr>
                <w:rFonts w:ascii="Times New Roman" w:hAnsi="Times New Roman" w:cs="Times New Roman" w:eastAsia="Times New Roman" w:hint="default"/>
                <w:sz w:val="16"/>
                <w:szCs w:val="16"/>
              </w:rPr>
            </w:pPr>
            <w:r>
              <w:rPr>
                <w:rFonts w:ascii="Times New Roman"/>
                <w:spacing w:val="-1"/>
                <w:sz w:val="16"/>
              </w:rPr>
              <w:t>0.00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16"/>
                <w:szCs w:val="16"/>
              </w:rPr>
            </w:pPr>
            <w:r>
              <w:rPr>
                <w:rFonts w:ascii="Times New Roman"/>
                <w:spacing w:val="-1"/>
                <w:sz w:val="16"/>
              </w:rPr>
              <w:t>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15"/>
              <w:jc w:val="right"/>
              <w:rPr>
                <w:rFonts w:ascii="Times New Roman" w:hAnsi="Times New Roman" w:cs="Times New Roman" w:eastAsia="Times New Roman" w:hint="default"/>
                <w:sz w:val="16"/>
                <w:szCs w:val="16"/>
              </w:rPr>
            </w:pPr>
            <w:r>
              <w:rPr>
                <w:rFonts w:ascii="Times New Roman"/>
                <w:spacing w:val="-1"/>
                <w:sz w:val="16"/>
              </w:rPr>
              <w:t>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8"/>
              <w:jc w:val="right"/>
              <w:rPr>
                <w:rFonts w:ascii="Times New Roman" w:hAnsi="Times New Roman" w:cs="Times New Roman" w:eastAsia="Times New Roman" w:hint="default"/>
                <w:sz w:val="16"/>
                <w:szCs w:val="16"/>
              </w:rPr>
            </w:pPr>
            <w:r>
              <w:rPr>
                <w:rFonts w:ascii="Times New Roman"/>
                <w:spacing w:val="-1"/>
                <w:sz w:val="16"/>
              </w:rPr>
              <w:t>0.00</w:t>
            </w:r>
          </w:p>
        </w:tc>
      </w:tr>
      <w:tr>
        <w:trPr>
          <w:trHeight w:val="445" w:hRule="exact"/>
        </w:trPr>
        <w:tc>
          <w:tcPr>
            <w:tcW w:w="3291" w:type="dxa"/>
            <w:tcBorders>
              <w:top w:val="nil" w:sz="6" w:space="0" w:color="auto"/>
              <w:left w:val="nil" w:sz="6" w:space="0" w:color="auto"/>
              <w:bottom w:val="single" w:sz="4" w:space="0" w:color="000000"/>
              <w:right w:val="nil" w:sz="6" w:space="0" w:color="auto"/>
            </w:tcBorders>
          </w:tcPr>
          <w:p>
            <w:pPr>
              <w:pStyle w:val="TableParagraph"/>
              <w:spacing w:line="173" w:lineRule="exact" w:before="12"/>
              <w:ind w:left="108" w:right="0"/>
              <w:jc w:val="left"/>
              <w:rPr>
                <w:rFonts w:ascii="楷体" w:hAnsi="楷体" w:cs="楷体" w:eastAsia="楷体" w:hint="default"/>
                <w:sz w:val="16"/>
                <w:szCs w:val="16"/>
              </w:rPr>
            </w:pPr>
            <w:r>
              <w:rPr>
                <w:rFonts w:ascii="楷体" w:hAnsi="楷体" w:cs="楷体" w:eastAsia="楷体" w:hint="default"/>
                <w:spacing w:val="7"/>
                <w:sz w:val="16"/>
                <w:szCs w:val="16"/>
              </w:rPr>
              <w:t>其他单项金额不重大的应</w:t>
            </w:r>
          </w:p>
          <w:p>
            <w:pPr>
              <w:pStyle w:val="TableParagraph"/>
              <w:tabs>
                <w:tab w:pos="2186" w:val="left" w:leader="none"/>
              </w:tabs>
              <w:spacing w:line="236" w:lineRule="exact"/>
              <w:ind w:left="108" w:right="0"/>
              <w:jc w:val="left"/>
              <w:rPr>
                <w:rFonts w:ascii="Times New Roman" w:hAnsi="Times New Roman" w:cs="Times New Roman" w:eastAsia="Times New Roman" w:hint="default"/>
                <w:sz w:val="16"/>
                <w:szCs w:val="16"/>
              </w:rPr>
            </w:pPr>
            <w:r>
              <w:rPr>
                <w:rFonts w:ascii="楷体" w:hAnsi="楷体" w:cs="楷体" w:eastAsia="楷体" w:hint="default"/>
                <w:w w:val="95"/>
                <w:position w:val="-9"/>
                <w:sz w:val="16"/>
                <w:szCs w:val="16"/>
              </w:rPr>
              <w:t>收账款</w:t>
              <w:tab/>
            </w:r>
            <w:r>
              <w:rPr>
                <w:rFonts w:ascii="Times New Roman" w:hAnsi="Times New Roman" w:cs="Times New Roman" w:eastAsia="Times New Roman" w:hint="default"/>
                <w:sz w:val="16"/>
                <w:szCs w:val="16"/>
              </w:rPr>
              <w:t>724,999,116.34</w:t>
            </w:r>
          </w:p>
        </w:tc>
        <w:tc>
          <w:tcPr>
            <w:tcW w:w="83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72"/>
              <w:jc w:val="right"/>
              <w:rPr>
                <w:rFonts w:ascii="Times New Roman" w:hAnsi="Times New Roman" w:cs="Times New Roman" w:eastAsia="Times New Roman" w:hint="default"/>
                <w:sz w:val="16"/>
                <w:szCs w:val="16"/>
              </w:rPr>
            </w:pPr>
            <w:r>
              <w:rPr>
                <w:rFonts w:ascii="Times New Roman"/>
                <w:spacing w:val="-1"/>
                <w:sz w:val="16"/>
              </w:rPr>
              <w:t>88.39%</w:t>
            </w:r>
          </w:p>
        </w:tc>
        <w:tc>
          <w:tcPr>
            <w:tcW w:w="123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17"/>
              <w:jc w:val="right"/>
              <w:rPr>
                <w:rFonts w:ascii="Times New Roman" w:hAnsi="Times New Roman" w:cs="Times New Roman" w:eastAsia="Times New Roman" w:hint="default"/>
                <w:sz w:val="16"/>
                <w:szCs w:val="16"/>
              </w:rPr>
            </w:pPr>
            <w:r>
              <w:rPr>
                <w:rFonts w:ascii="Times New Roman"/>
                <w:spacing w:val="-1"/>
                <w:sz w:val="16"/>
              </w:rPr>
              <w:t>142,686,102.98</w:t>
            </w: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623,155,188.56</w:t>
            </w:r>
          </w:p>
        </w:tc>
        <w:tc>
          <w:tcPr>
            <w:tcW w:w="82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71"/>
              <w:jc w:val="right"/>
              <w:rPr>
                <w:rFonts w:ascii="Times New Roman" w:hAnsi="Times New Roman" w:cs="Times New Roman" w:eastAsia="Times New Roman" w:hint="default"/>
                <w:sz w:val="16"/>
                <w:szCs w:val="16"/>
              </w:rPr>
            </w:pPr>
            <w:r>
              <w:rPr>
                <w:rFonts w:ascii="Times New Roman"/>
                <w:spacing w:val="-1"/>
                <w:sz w:val="16"/>
              </w:rPr>
              <w:t>86.44%</w:t>
            </w: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113,749,390.17</w:t>
            </w:r>
          </w:p>
        </w:tc>
      </w:tr>
      <w:tr>
        <w:trPr>
          <w:trHeight w:val="303" w:hRule="exact"/>
        </w:trPr>
        <w:tc>
          <w:tcPr>
            <w:tcW w:w="3291" w:type="dxa"/>
            <w:tcBorders>
              <w:top w:val="single" w:sz="4" w:space="0" w:color="000000"/>
              <w:left w:val="nil" w:sz="6" w:space="0" w:color="auto"/>
              <w:bottom w:val="single" w:sz="12" w:space="0" w:color="000000"/>
              <w:right w:val="nil" w:sz="6" w:space="0" w:color="auto"/>
            </w:tcBorders>
          </w:tcPr>
          <w:p>
            <w:pPr>
              <w:pStyle w:val="TableParagraph"/>
              <w:tabs>
                <w:tab w:pos="2080" w:val="left" w:leader="none"/>
              </w:tabs>
              <w:spacing w:line="241" w:lineRule="exact"/>
              <w:ind w:right="108"/>
              <w:jc w:val="right"/>
              <w:rPr>
                <w:rFonts w:ascii="Times New Roman" w:hAnsi="Times New Roman" w:cs="Times New Roman" w:eastAsia="Times New Roman" w:hint="default"/>
                <w:sz w:val="16"/>
                <w:szCs w:val="16"/>
              </w:rPr>
            </w:pPr>
            <w:r>
              <w:rPr>
                <w:rFonts w:ascii="Microsoft JhengHei" w:hAnsi="Microsoft JhengHei" w:cs="Microsoft JhengHei" w:eastAsia="Microsoft JhengHei" w:hint="default"/>
                <w:b/>
                <w:bCs/>
                <w:sz w:val="16"/>
                <w:szCs w:val="16"/>
              </w:rPr>
              <w:t>合计</w:t>
              <w:tab/>
            </w:r>
            <w:r>
              <w:rPr>
                <w:rFonts w:ascii="Times New Roman" w:hAnsi="Times New Roman" w:cs="Times New Roman" w:eastAsia="Times New Roman" w:hint="default"/>
                <w:b/>
                <w:bCs/>
                <w:spacing w:val="-1"/>
                <w:w w:val="95"/>
                <w:sz w:val="16"/>
                <w:szCs w:val="16"/>
              </w:rPr>
              <w:t>820,190,631.11</w:t>
            </w:r>
            <w:r>
              <w:rPr>
                <w:rFonts w:ascii="Times New Roman" w:hAnsi="Times New Roman" w:cs="Times New Roman" w:eastAsia="Times New Roman" w:hint="default"/>
                <w:spacing w:val="-1"/>
                <w:sz w:val="16"/>
                <w:szCs w:val="16"/>
              </w:rPr>
            </w:r>
          </w:p>
        </w:tc>
        <w:tc>
          <w:tcPr>
            <w:tcW w:w="83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18"/>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3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17"/>
              <w:jc w:val="right"/>
              <w:rPr>
                <w:rFonts w:ascii="Times New Roman" w:hAnsi="Times New Roman" w:cs="Times New Roman" w:eastAsia="Times New Roman" w:hint="default"/>
                <w:sz w:val="16"/>
                <w:szCs w:val="16"/>
              </w:rPr>
            </w:pPr>
            <w:r>
              <w:rPr>
                <w:rFonts w:ascii="Times New Roman"/>
                <w:b/>
                <w:spacing w:val="-1"/>
                <w:sz w:val="16"/>
              </w:rPr>
              <w:t>194,880,075.36</w:t>
            </w:r>
            <w:r>
              <w:rPr>
                <w:rFonts w:ascii="Times New Roman"/>
                <w:spacing w:val="-1"/>
                <w:sz w:val="16"/>
              </w:rPr>
            </w:r>
          </w:p>
        </w:tc>
        <w:tc>
          <w:tcPr>
            <w:tcW w:w="122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6"/>
                <w:szCs w:val="16"/>
              </w:rPr>
            </w:pPr>
            <w:r>
              <w:rPr>
                <w:rFonts w:ascii="Times New Roman"/>
                <w:b/>
                <w:spacing w:val="-1"/>
                <w:sz w:val="16"/>
              </w:rPr>
              <w:t>720,936,159.50</w:t>
            </w:r>
            <w:r>
              <w:rPr>
                <w:rFonts w:ascii="Times New Roman"/>
                <w:spacing w:val="-1"/>
                <w:sz w:val="16"/>
              </w:rPr>
            </w:r>
          </w:p>
        </w:tc>
        <w:tc>
          <w:tcPr>
            <w:tcW w:w="82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1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0"/>
              <w:jc w:val="right"/>
              <w:rPr>
                <w:rFonts w:ascii="Times New Roman" w:hAnsi="Times New Roman" w:cs="Times New Roman" w:eastAsia="Times New Roman" w:hint="default"/>
                <w:sz w:val="16"/>
                <w:szCs w:val="16"/>
              </w:rPr>
            </w:pPr>
            <w:r>
              <w:rPr>
                <w:rFonts w:ascii="Times New Roman"/>
                <w:b/>
                <w:spacing w:val="-1"/>
                <w:sz w:val="16"/>
              </w:rPr>
              <w:t>155,538,194.81</w:t>
            </w:r>
            <w:r>
              <w:rPr>
                <w:rFonts w:ascii="Times New Roman"/>
                <w:spacing w:val="-1"/>
                <w:sz w:val="16"/>
              </w:rPr>
            </w:r>
          </w:p>
        </w:tc>
      </w:tr>
    </w:tbl>
    <w:p>
      <w:pPr>
        <w:spacing w:before="79"/>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楷体" w:hAnsi="楷体" w:cs="楷体" w:eastAsia="楷体" w:hint="default"/>
          <w:sz w:val="22"/>
          <w:szCs w:val="22"/>
        </w:rPr>
        <w:t>年末应收账款中不含持本公司 </w:t>
      </w:r>
      <w:r>
        <w:rPr>
          <w:rFonts w:ascii="Times New Roman" w:hAnsi="Times New Roman" w:cs="Times New Roman" w:eastAsia="Times New Roman" w:hint="default"/>
          <w:sz w:val="22"/>
          <w:szCs w:val="22"/>
        </w:rPr>
        <w:t>5%</w:t>
      </w:r>
      <w:r>
        <w:rPr>
          <w:rFonts w:ascii="楷体" w:hAnsi="楷体" w:cs="楷体" w:eastAsia="楷体" w:hint="default"/>
          <w:sz w:val="22"/>
          <w:szCs w:val="22"/>
        </w:rPr>
        <w:t>（含</w:t>
      </w:r>
      <w:r>
        <w:rPr>
          <w:rFonts w:ascii="楷体" w:hAnsi="楷体" w:cs="楷体" w:eastAsia="楷体" w:hint="default"/>
          <w:spacing w:val="-83"/>
          <w:sz w:val="22"/>
          <w:szCs w:val="22"/>
        </w:rPr>
        <w:t> </w:t>
      </w:r>
      <w:r>
        <w:rPr>
          <w:rFonts w:ascii="Times New Roman" w:hAnsi="Times New Roman" w:cs="Times New Roman" w:eastAsia="Times New Roman" w:hint="default"/>
          <w:sz w:val="22"/>
          <w:szCs w:val="22"/>
        </w:rPr>
        <w:t>5%</w:t>
      </w:r>
      <w:r>
        <w:rPr>
          <w:rFonts w:ascii="楷体" w:hAnsi="楷体" w:cs="楷体" w:eastAsia="楷体" w:hint="default"/>
          <w:sz w:val="22"/>
          <w:szCs w:val="22"/>
        </w:rPr>
        <w:t>）以上表决权股份的股东单位欠款。</w:t>
      </w:r>
    </w:p>
    <w:p>
      <w:pPr>
        <w:spacing w:after="0"/>
        <w:jc w:val="left"/>
        <w:rPr>
          <w:rFonts w:ascii="楷体" w:hAnsi="楷体" w:cs="楷体" w:eastAsia="楷体" w:hint="default"/>
          <w:sz w:val="22"/>
          <w:szCs w:val="22"/>
        </w:rPr>
        <w:sectPr>
          <w:headerReference w:type="default" r:id="rId45"/>
          <w:pgSz w:w="11910" w:h="16840"/>
          <w:pgMar w:header="610" w:footer="784" w:top="1720" w:bottom="9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楷体" w:hAnsi="楷体" w:cs="楷体" w:eastAsia="楷体" w:hint="default"/>
          <w:sz w:val="22"/>
          <w:szCs w:val="22"/>
        </w:rPr>
        <w:t>年末余额中前五名欠款单位欠款 </w:t>
      </w:r>
      <w:r>
        <w:rPr>
          <w:rFonts w:ascii="Times New Roman" w:hAnsi="Times New Roman" w:cs="Times New Roman" w:eastAsia="Times New Roman" w:hint="default"/>
          <w:sz w:val="22"/>
          <w:szCs w:val="22"/>
        </w:rPr>
        <w:t>73,491,514.77 </w:t>
      </w:r>
      <w:r>
        <w:rPr>
          <w:rFonts w:ascii="楷体" w:hAnsi="楷体" w:cs="楷体" w:eastAsia="楷体" w:hint="default"/>
          <w:sz w:val="22"/>
          <w:szCs w:val="22"/>
        </w:rPr>
        <w:t>元，占应收账款总额的</w:t>
      </w:r>
      <w:r>
        <w:rPr>
          <w:rFonts w:ascii="楷体" w:hAnsi="楷体" w:cs="楷体" w:eastAsia="楷体" w:hint="default"/>
          <w:spacing w:val="-90"/>
          <w:sz w:val="22"/>
          <w:szCs w:val="22"/>
        </w:rPr>
        <w:t> </w:t>
      </w:r>
      <w:r>
        <w:rPr>
          <w:rFonts w:ascii="Times New Roman" w:hAnsi="Times New Roman" w:cs="Times New Roman" w:eastAsia="Times New Roman" w:hint="default"/>
          <w:sz w:val="22"/>
          <w:szCs w:val="22"/>
        </w:rPr>
        <w:t>8.96%</w:t>
      </w:r>
      <w:r>
        <w:rPr>
          <w:rFonts w:ascii="楷体" w:hAnsi="楷体" w:cs="楷体" w:eastAsia="楷体" w:hint="default"/>
          <w:sz w:val="22"/>
          <w:szCs w:val="22"/>
        </w:rPr>
        <w:t>。</w:t>
      </w:r>
    </w:p>
    <w:p>
      <w:pPr>
        <w:spacing w:before="162"/>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22"/>
          <w:sz w:val="22"/>
          <w:szCs w:val="22"/>
        </w:rPr>
        <w:t> </w:t>
      </w:r>
      <w:r>
        <w:rPr>
          <w:rFonts w:ascii="楷体" w:hAnsi="楷体" w:cs="楷体" w:eastAsia="楷体" w:hint="default"/>
          <w:sz w:val="22"/>
          <w:szCs w:val="22"/>
        </w:rPr>
        <w:t>年末余额中应收关联方款项合计</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201,914,499.53</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元，占应收账款总额的</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24.62%</w:t>
      </w:r>
      <w:r>
        <w:rPr>
          <w:rFonts w:ascii="楷体" w:hAnsi="楷体" w:cs="楷体" w:eastAsia="楷体" w:hint="default"/>
          <w:sz w:val="22"/>
          <w:szCs w:val="22"/>
        </w:rPr>
        <w:t>。</w:t>
      </w:r>
    </w:p>
    <w:p>
      <w:pPr>
        <w:tabs>
          <w:tab w:pos="1044" w:val="left" w:leader="none"/>
        </w:tabs>
        <w:spacing w:before="163"/>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2.</w:t>
        <w:tab/>
      </w:r>
      <w:r>
        <w:rPr>
          <w:rFonts w:ascii="楷体" w:hAnsi="楷体" w:cs="楷体" w:eastAsia="楷体" w:hint="default"/>
          <w:sz w:val="22"/>
          <w:szCs w:val="22"/>
        </w:rPr>
        <w:t>其他应收款</w:t>
      </w:r>
    </w:p>
    <w:p>
      <w:pPr>
        <w:spacing w:before="163"/>
        <w:ind w:left="591"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其他应收款账龄</w:t>
      </w:r>
    </w:p>
    <w:p>
      <w:pPr>
        <w:tabs>
          <w:tab w:pos="6852" w:val="left" w:leader="none"/>
        </w:tabs>
        <w:spacing w:before="109"/>
        <w:ind w:left="3082" w:right="0" w:firstLine="0"/>
        <w:jc w:val="left"/>
        <w:rPr>
          <w:rFonts w:ascii="Microsoft JhengHei" w:hAnsi="Microsoft JhengHei" w:cs="Microsoft JhengHei" w:eastAsia="Microsoft JhengHei" w:hint="default"/>
          <w:sz w:val="18"/>
          <w:szCs w:val="18"/>
        </w:rPr>
      </w:pPr>
      <w:r>
        <w:rPr/>
        <w:pict>
          <v:group style="position:absolute;margin-left:85.199997pt;margin-top:8.055649pt;width:431.55pt;height:.1pt;mso-position-horizontal-relative:page;mso-position-vertical-relative:paragraph;z-index:-897520" coordorigin="1704,161" coordsize="8631,2">
            <v:shape style="position:absolute;left:1704;top:161;width:8631;height:2" coordorigin="1704,161" coordsize="8631,0" path="m1704,161l10334,161e" filled="false" stroked="true" strokeweight="1.5pt" strokecolor="#000000">
              <v:path arrowok="t"/>
            </v:shape>
            <w10:wrap type="none"/>
          </v:group>
        </w:pict>
      </w:r>
      <w:r>
        <w:rPr/>
        <w:pict>
          <v:shape style="position:absolute;margin-left:84.839996pt;margin-top:17.690973pt;width:431.9pt;height:122.25pt;mso-position-horizontal-relative:page;mso-position-vertical-relative:paragraph;z-index:4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7"/>
                    <w:gridCol w:w="1660"/>
                    <w:gridCol w:w="995"/>
                    <w:gridCol w:w="1298"/>
                    <w:gridCol w:w="1439"/>
                    <w:gridCol w:w="987"/>
                    <w:gridCol w:w="1251"/>
                  </w:tblGrid>
                  <w:tr>
                    <w:trPr>
                      <w:trHeight w:val="403" w:hRule="exact"/>
                    </w:trPr>
                    <w:tc>
                      <w:tcPr>
                        <w:tcW w:w="1007"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9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9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8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r>
                  <w:tr>
                    <w:trPr>
                      <w:trHeight w:val="288" w:hRule="exact"/>
                    </w:trPr>
                    <w:tc>
                      <w:tcPr>
                        <w:tcW w:w="1007" w:type="dxa"/>
                        <w:tcBorders>
                          <w:top w:val="single" w:sz="4" w:space="0" w:color="000000"/>
                          <w:left w:val="nil" w:sz="6" w:space="0" w:color="auto"/>
                          <w:bottom w:val="nil" w:sz="6" w:space="0" w:color="auto"/>
                          <w:right w:val="nil" w:sz="6" w:space="0" w:color="auto"/>
                        </w:tcBorders>
                      </w:tcPr>
                      <w:p>
                        <w:pPr>
                          <w:pStyle w:val="TableParagraph"/>
                          <w:spacing w:line="239"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71"/>
                          <w:jc w:val="right"/>
                          <w:rPr>
                            <w:rFonts w:ascii="Times New Roman" w:hAnsi="Times New Roman" w:cs="Times New Roman" w:eastAsia="Times New Roman" w:hint="default"/>
                            <w:sz w:val="18"/>
                            <w:szCs w:val="18"/>
                          </w:rPr>
                        </w:pPr>
                        <w:r>
                          <w:rPr>
                            <w:rFonts w:ascii="Times New Roman"/>
                            <w:spacing w:val="-1"/>
                            <w:sz w:val="18"/>
                          </w:rPr>
                          <w:t>575,545,782.04</w:t>
                        </w:r>
                      </w:p>
                    </w:tc>
                    <w:tc>
                      <w:tcPr>
                        <w:tcW w:w="99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44"/>
                          <w:jc w:val="right"/>
                          <w:rPr>
                            <w:rFonts w:ascii="Times New Roman" w:hAnsi="Times New Roman" w:cs="Times New Roman" w:eastAsia="Times New Roman" w:hint="default"/>
                            <w:sz w:val="18"/>
                            <w:szCs w:val="18"/>
                          </w:rPr>
                        </w:pPr>
                        <w:r>
                          <w:rPr>
                            <w:rFonts w:ascii="Times New Roman"/>
                            <w:sz w:val="18"/>
                          </w:rPr>
                          <w:t>52.25%</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5"/>
                          <w:jc w:val="right"/>
                          <w:rPr>
                            <w:rFonts w:ascii="Times New Roman" w:hAnsi="Times New Roman" w:cs="Times New Roman" w:eastAsia="Times New Roman" w:hint="default"/>
                            <w:sz w:val="18"/>
                            <w:szCs w:val="18"/>
                          </w:rPr>
                        </w:pPr>
                        <w:r>
                          <w:rPr>
                            <w:rFonts w:ascii="Times New Roman"/>
                            <w:spacing w:val="-1"/>
                            <w:sz w:val="18"/>
                          </w:rPr>
                          <w:t>3,564,622.71</w:t>
                        </w: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77"/>
                          <w:jc w:val="center"/>
                          <w:rPr>
                            <w:rFonts w:ascii="Times New Roman" w:hAnsi="Times New Roman" w:cs="Times New Roman" w:eastAsia="Times New Roman" w:hint="default"/>
                            <w:sz w:val="18"/>
                            <w:szCs w:val="18"/>
                          </w:rPr>
                        </w:pPr>
                        <w:r>
                          <w:rPr>
                            <w:rFonts w:ascii="Times New Roman"/>
                            <w:sz w:val="18"/>
                          </w:rPr>
                          <w:t>249,127,473.15</w:t>
                        </w:r>
                      </w:p>
                    </w:tc>
                    <w:tc>
                      <w:tcPr>
                        <w:tcW w:w="98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3"/>
                          <w:jc w:val="right"/>
                          <w:rPr>
                            <w:rFonts w:ascii="Times New Roman" w:hAnsi="Times New Roman" w:cs="Times New Roman" w:eastAsia="Times New Roman" w:hint="default"/>
                            <w:sz w:val="18"/>
                            <w:szCs w:val="18"/>
                          </w:rPr>
                        </w:pPr>
                        <w:r>
                          <w:rPr>
                            <w:rFonts w:ascii="Times New Roman"/>
                            <w:sz w:val="18"/>
                          </w:rPr>
                          <w:t>40.26%</w:t>
                        </w:r>
                      </w:p>
                    </w:tc>
                    <w:tc>
                      <w:tcPr>
                        <w:tcW w:w="12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pacing w:val="-1"/>
                            <w:sz w:val="18"/>
                          </w:rPr>
                          <w:t>1,765,898.86</w:t>
                        </w:r>
                      </w:p>
                    </w:tc>
                  </w:tr>
                  <w:tr>
                    <w:trPr>
                      <w:trHeight w:val="283"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1"/>
                          <w:jc w:val="right"/>
                          <w:rPr>
                            <w:rFonts w:ascii="Times New Roman" w:hAnsi="Times New Roman" w:cs="Times New Roman" w:eastAsia="Times New Roman" w:hint="default"/>
                            <w:sz w:val="18"/>
                            <w:szCs w:val="18"/>
                          </w:rPr>
                        </w:pPr>
                        <w:r>
                          <w:rPr>
                            <w:rFonts w:ascii="Times New Roman"/>
                            <w:spacing w:val="-1"/>
                            <w:sz w:val="18"/>
                          </w:rPr>
                          <w:t>258,785,959.54</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4"/>
                          <w:jc w:val="right"/>
                          <w:rPr>
                            <w:rFonts w:ascii="Times New Roman" w:hAnsi="Times New Roman" w:cs="Times New Roman" w:eastAsia="Times New Roman" w:hint="default"/>
                            <w:sz w:val="18"/>
                            <w:szCs w:val="18"/>
                          </w:rPr>
                        </w:pPr>
                        <w:r>
                          <w:rPr>
                            <w:rFonts w:ascii="Times New Roman"/>
                            <w:sz w:val="18"/>
                          </w:rPr>
                          <w:t>23.50%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5"/>
                          <w:jc w:val="right"/>
                          <w:rPr>
                            <w:rFonts w:ascii="Times New Roman" w:hAnsi="Times New Roman" w:cs="Times New Roman" w:eastAsia="Times New Roman" w:hint="default"/>
                            <w:sz w:val="18"/>
                            <w:szCs w:val="18"/>
                          </w:rPr>
                        </w:pPr>
                        <w:r>
                          <w:rPr>
                            <w:rFonts w:ascii="Times New Roman"/>
                            <w:spacing w:val="-1"/>
                            <w:sz w:val="18"/>
                          </w:rPr>
                          <w:t>3,265,218.41</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7"/>
                          <w:jc w:val="center"/>
                          <w:rPr>
                            <w:rFonts w:ascii="Times New Roman" w:hAnsi="Times New Roman" w:cs="Times New Roman" w:eastAsia="Times New Roman" w:hint="default"/>
                            <w:sz w:val="18"/>
                            <w:szCs w:val="18"/>
                          </w:rPr>
                        </w:pPr>
                        <w:r>
                          <w:rPr>
                            <w:rFonts w:ascii="Times New Roman"/>
                            <w:sz w:val="18"/>
                          </w:rPr>
                          <w:t>203,025,529.92</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3"/>
                          <w:jc w:val="right"/>
                          <w:rPr>
                            <w:rFonts w:ascii="Times New Roman" w:hAnsi="Times New Roman" w:cs="Times New Roman" w:eastAsia="Times New Roman" w:hint="default"/>
                            <w:sz w:val="18"/>
                            <w:szCs w:val="18"/>
                          </w:rPr>
                        </w:pPr>
                        <w:r>
                          <w:rPr>
                            <w:rFonts w:ascii="Times New Roman"/>
                            <w:sz w:val="18"/>
                          </w:rPr>
                          <w:t>32.81%</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pacing w:val="-1"/>
                            <w:sz w:val="18"/>
                          </w:rPr>
                          <w:t>2,685,897.24</w:t>
                        </w:r>
                      </w:p>
                    </w:tc>
                  </w:tr>
                  <w:tr>
                    <w:trPr>
                      <w:trHeight w:val="283"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1"/>
                          <w:jc w:val="right"/>
                          <w:rPr>
                            <w:rFonts w:ascii="Times New Roman" w:hAnsi="Times New Roman" w:cs="Times New Roman" w:eastAsia="Times New Roman" w:hint="default"/>
                            <w:sz w:val="18"/>
                            <w:szCs w:val="18"/>
                          </w:rPr>
                        </w:pPr>
                        <w:r>
                          <w:rPr>
                            <w:rFonts w:ascii="Times New Roman"/>
                            <w:spacing w:val="-1"/>
                            <w:sz w:val="18"/>
                          </w:rPr>
                          <w:t>110,858,394.53</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4"/>
                          <w:jc w:val="right"/>
                          <w:rPr>
                            <w:rFonts w:ascii="Times New Roman" w:hAnsi="Times New Roman" w:cs="Times New Roman" w:eastAsia="Times New Roman" w:hint="default"/>
                            <w:sz w:val="18"/>
                            <w:szCs w:val="18"/>
                          </w:rPr>
                        </w:pPr>
                        <w:r>
                          <w:rPr>
                            <w:rFonts w:ascii="Times New Roman"/>
                            <w:sz w:val="18"/>
                          </w:rPr>
                          <w:t>10.06%</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5"/>
                          <w:jc w:val="right"/>
                          <w:rPr>
                            <w:rFonts w:ascii="Times New Roman" w:hAnsi="Times New Roman" w:cs="Times New Roman" w:eastAsia="Times New Roman" w:hint="default"/>
                            <w:sz w:val="18"/>
                            <w:szCs w:val="18"/>
                          </w:rPr>
                        </w:pPr>
                        <w:r>
                          <w:rPr>
                            <w:rFonts w:ascii="Times New Roman"/>
                            <w:spacing w:val="-1"/>
                            <w:sz w:val="18"/>
                          </w:rPr>
                          <w:t>6,342,975.36</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 w:right="0"/>
                          <w:jc w:val="center"/>
                          <w:rPr>
                            <w:rFonts w:ascii="Times New Roman" w:hAnsi="Times New Roman" w:cs="Times New Roman" w:eastAsia="Times New Roman" w:hint="default"/>
                            <w:sz w:val="18"/>
                            <w:szCs w:val="18"/>
                          </w:rPr>
                        </w:pPr>
                        <w:r>
                          <w:rPr>
                            <w:rFonts w:ascii="Times New Roman"/>
                            <w:sz w:val="18"/>
                          </w:rPr>
                          <w:t>39,698,559.35</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4"/>
                          <w:jc w:val="right"/>
                          <w:rPr>
                            <w:rFonts w:ascii="Times New Roman" w:hAnsi="Times New Roman" w:cs="Times New Roman" w:eastAsia="Times New Roman" w:hint="default"/>
                            <w:sz w:val="18"/>
                            <w:szCs w:val="18"/>
                          </w:rPr>
                        </w:pPr>
                        <w:r>
                          <w:rPr>
                            <w:rFonts w:ascii="Times New Roman"/>
                            <w:sz w:val="18"/>
                          </w:rPr>
                          <w:t>6.41%</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5,891,441.57</w:t>
                        </w:r>
                      </w:p>
                    </w:tc>
                  </w:tr>
                  <w:tr>
                    <w:trPr>
                      <w:trHeight w:val="283"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3"/>
                          <w:jc w:val="right"/>
                          <w:rPr>
                            <w:rFonts w:ascii="Times New Roman" w:hAnsi="Times New Roman" w:cs="Times New Roman" w:eastAsia="Times New Roman" w:hint="default"/>
                            <w:sz w:val="18"/>
                            <w:szCs w:val="18"/>
                          </w:rPr>
                        </w:pPr>
                        <w:r>
                          <w:rPr>
                            <w:rFonts w:ascii="Times New Roman"/>
                            <w:spacing w:val="-1"/>
                            <w:sz w:val="18"/>
                          </w:rPr>
                          <w:t>45,476,697.54</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4"/>
                          <w:jc w:val="right"/>
                          <w:rPr>
                            <w:rFonts w:ascii="Times New Roman" w:hAnsi="Times New Roman" w:cs="Times New Roman" w:eastAsia="Times New Roman" w:hint="default"/>
                            <w:sz w:val="18"/>
                            <w:szCs w:val="18"/>
                          </w:rPr>
                        </w:pPr>
                        <w:r>
                          <w:rPr>
                            <w:rFonts w:ascii="Times New Roman"/>
                            <w:sz w:val="18"/>
                          </w:rPr>
                          <w:t>4.13%</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1"/>
                            <w:sz w:val="18"/>
                          </w:rPr>
                          <w:t>13,520,177.12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 w:right="0"/>
                          <w:jc w:val="center"/>
                          <w:rPr>
                            <w:rFonts w:ascii="Times New Roman" w:hAnsi="Times New Roman" w:cs="Times New Roman" w:eastAsia="Times New Roman" w:hint="default"/>
                            <w:sz w:val="18"/>
                            <w:szCs w:val="18"/>
                          </w:rPr>
                        </w:pPr>
                        <w:r>
                          <w:rPr>
                            <w:rFonts w:ascii="Times New Roman"/>
                            <w:sz w:val="18"/>
                          </w:rPr>
                          <w:t>38,703,207.71</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4"/>
                          <w:jc w:val="right"/>
                          <w:rPr>
                            <w:rFonts w:ascii="Times New Roman" w:hAnsi="Times New Roman" w:cs="Times New Roman" w:eastAsia="Times New Roman" w:hint="default"/>
                            <w:sz w:val="18"/>
                            <w:szCs w:val="18"/>
                          </w:rPr>
                        </w:pPr>
                        <w:r>
                          <w:rPr>
                            <w:rFonts w:ascii="Times New Roman"/>
                            <w:sz w:val="18"/>
                          </w:rPr>
                          <w:t>6.25%</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11,486,478.57</w:t>
                        </w:r>
                      </w:p>
                    </w:tc>
                  </w:tr>
                  <w:tr>
                    <w:trPr>
                      <w:trHeight w:val="283"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3"/>
                          <w:jc w:val="right"/>
                          <w:rPr>
                            <w:rFonts w:ascii="Times New Roman" w:hAnsi="Times New Roman" w:cs="Times New Roman" w:eastAsia="Times New Roman" w:hint="default"/>
                            <w:sz w:val="18"/>
                            <w:szCs w:val="18"/>
                          </w:rPr>
                        </w:pPr>
                        <w:r>
                          <w:rPr>
                            <w:rFonts w:ascii="Times New Roman"/>
                            <w:spacing w:val="-1"/>
                            <w:sz w:val="18"/>
                          </w:rPr>
                          <w:t>37,336,202.35</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4"/>
                          <w:jc w:val="right"/>
                          <w:rPr>
                            <w:rFonts w:ascii="Times New Roman" w:hAnsi="Times New Roman" w:cs="Times New Roman" w:eastAsia="Times New Roman" w:hint="default"/>
                            <w:sz w:val="18"/>
                            <w:szCs w:val="18"/>
                          </w:rPr>
                        </w:pPr>
                        <w:r>
                          <w:rPr>
                            <w:rFonts w:ascii="Times New Roman"/>
                            <w:sz w:val="18"/>
                          </w:rPr>
                          <w:t>3.39%</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1"/>
                            <w:sz w:val="18"/>
                          </w:rPr>
                          <w:t>18,714,051.18</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 w:right="0"/>
                          <w:jc w:val="center"/>
                          <w:rPr>
                            <w:rFonts w:ascii="Times New Roman" w:hAnsi="Times New Roman" w:cs="Times New Roman" w:eastAsia="Times New Roman" w:hint="default"/>
                            <w:sz w:val="18"/>
                            <w:szCs w:val="18"/>
                          </w:rPr>
                        </w:pPr>
                        <w:r>
                          <w:rPr>
                            <w:rFonts w:ascii="Times New Roman"/>
                            <w:sz w:val="18"/>
                          </w:rPr>
                          <w:t>24,573,172.10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4"/>
                          <w:jc w:val="right"/>
                          <w:rPr>
                            <w:rFonts w:ascii="Times New Roman" w:hAnsi="Times New Roman" w:cs="Times New Roman" w:eastAsia="Times New Roman" w:hint="default"/>
                            <w:sz w:val="18"/>
                            <w:szCs w:val="18"/>
                          </w:rPr>
                        </w:pPr>
                        <w:r>
                          <w:rPr>
                            <w:rFonts w:ascii="Times New Roman"/>
                            <w:sz w:val="18"/>
                          </w:rPr>
                          <w:t>3.97%</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1,584,023.47</w:t>
                        </w:r>
                      </w:p>
                    </w:tc>
                  </w:tr>
                  <w:tr>
                    <w:trPr>
                      <w:trHeight w:val="289" w:hRule="exact"/>
                    </w:trPr>
                    <w:tc>
                      <w:tcPr>
                        <w:tcW w:w="1007" w:type="dxa"/>
                        <w:tcBorders>
                          <w:top w:val="nil" w:sz="6" w:space="0" w:color="auto"/>
                          <w:left w:val="nil" w:sz="6" w:space="0" w:color="auto"/>
                          <w:bottom w:val="single" w:sz="4" w:space="0" w:color="000000"/>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年以上</w:t>
                        </w: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73"/>
                          <w:jc w:val="right"/>
                          <w:rPr>
                            <w:rFonts w:ascii="Times New Roman" w:hAnsi="Times New Roman" w:cs="Times New Roman" w:eastAsia="Times New Roman" w:hint="default"/>
                            <w:sz w:val="18"/>
                            <w:szCs w:val="18"/>
                          </w:rPr>
                        </w:pPr>
                        <w:r>
                          <w:rPr>
                            <w:rFonts w:ascii="Times New Roman"/>
                            <w:spacing w:val="-1"/>
                            <w:sz w:val="18"/>
                          </w:rPr>
                          <w:t>73,411,378.50</w:t>
                        </w:r>
                      </w:p>
                    </w:tc>
                    <w:tc>
                      <w:tcPr>
                        <w:tcW w:w="99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44"/>
                          <w:jc w:val="right"/>
                          <w:rPr>
                            <w:rFonts w:ascii="Times New Roman" w:hAnsi="Times New Roman" w:cs="Times New Roman" w:eastAsia="Times New Roman" w:hint="default"/>
                            <w:sz w:val="18"/>
                            <w:szCs w:val="18"/>
                          </w:rPr>
                        </w:pPr>
                        <w:r>
                          <w:rPr>
                            <w:rFonts w:ascii="Times New Roman"/>
                            <w:sz w:val="18"/>
                          </w:rPr>
                          <w:t>6.67%</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1"/>
                            <w:sz w:val="18"/>
                          </w:rPr>
                          <w:t>24,807,599.47</w:t>
                        </w: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7" w:right="0"/>
                          <w:jc w:val="center"/>
                          <w:rPr>
                            <w:rFonts w:ascii="Times New Roman" w:hAnsi="Times New Roman" w:cs="Times New Roman" w:eastAsia="Times New Roman" w:hint="default"/>
                            <w:sz w:val="18"/>
                            <w:szCs w:val="18"/>
                          </w:rPr>
                        </w:pPr>
                        <w:r>
                          <w:rPr>
                            <w:rFonts w:ascii="Times New Roman"/>
                            <w:sz w:val="18"/>
                          </w:rPr>
                          <w:t>63,742,698.50</w:t>
                        </w:r>
                      </w:p>
                    </w:tc>
                    <w:tc>
                      <w:tcPr>
                        <w:tcW w:w="98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3"/>
                          <w:jc w:val="right"/>
                          <w:rPr>
                            <w:rFonts w:ascii="Times New Roman" w:hAnsi="Times New Roman" w:cs="Times New Roman" w:eastAsia="Times New Roman" w:hint="default"/>
                            <w:sz w:val="18"/>
                            <w:szCs w:val="18"/>
                          </w:rPr>
                        </w:pPr>
                        <w:r>
                          <w:rPr>
                            <w:rFonts w:ascii="Times New Roman"/>
                            <w:sz w:val="18"/>
                          </w:rPr>
                          <w:t>10.30%</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33,583,873.90</w:t>
                        </w:r>
                      </w:p>
                    </w:tc>
                  </w:tr>
                  <w:tr>
                    <w:trPr>
                      <w:trHeight w:val="303" w:hRule="exact"/>
                    </w:trPr>
                    <w:tc>
                      <w:tcPr>
                        <w:tcW w:w="100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73"/>
                          <w:jc w:val="right"/>
                          <w:rPr>
                            <w:rFonts w:ascii="Times New Roman" w:hAnsi="Times New Roman" w:cs="Times New Roman" w:eastAsia="Times New Roman" w:hint="default"/>
                            <w:sz w:val="18"/>
                            <w:szCs w:val="18"/>
                          </w:rPr>
                        </w:pPr>
                        <w:r>
                          <w:rPr>
                            <w:rFonts w:ascii="Times New Roman"/>
                            <w:b/>
                            <w:spacing w:val="-1"/>
                            <w:sz w:val="18"/>
                          </w:rPr>
                          <w:t>1,101,414,414.50</w:t>
                        </w:r>
                        <w:r>
                          <w:rPr>
                            <w:rFonts w:ascii="Times New Roman"/>
                            <w:spacing w:val="-1"/>
                            <w:sz w:val="18"/>
                          </w:rPr>
                        </w:r>
                      </w:p>
                    </w:tc>
                    <w:tc>
                      <w:tcPr>
                        <w:tcW w:w="9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9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4"/>
                          <w:jc w:val="right"/>
                          <w:rPr>
                            <w:rFonts w:ascii="Times New Roman" w:hAnsi="Times New Roman" w:cs="Times New Roman" w:eastAsia="Times New Roman" w:hint="default"/>
                            <w:sz w:val="18"/>
                            <w:szCs w:val="18"/>
                          </w:rPr>
                        </w:pPr>
                        <w:r>
                          <w:rPr>
                            <w:rFonts w:ascii="Times New Roman"/>
                            <w:b/>
                            <w:spacing w:val="-1"/>
                            <w:sz w:val="18"/>
                          </w:rPr>
                          <w:t>70,214,644.25</w:t>
                        </w:r>
                        <w:r>
                          <w:rPr>
                            <w:rFonts w:ascii="Times New Roman"/>
                            <w:spacing w:val="-1"/>
                            <w:sz w:val="18"/>
                          </w:rPr>
                        </w:r>
                      </w:p>
                    </w:tc>
                    <w:tc>
                      <w:tcPr>
                        <w:tcW w:w="143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77"/>
                          <w:jc w:val="center"/>
                          <w:rPr>
                            <w:rFonts w:ascii="Times New Roman" w:hAnsi="Times New Roman" w:cs="Times New Roman" w:eastAsia="Times New Roman" w:hint="default"/>
                            <w:sz w:val="18"/>
                            <w:szCs w:val="18"/>
                          </w:rPr>
                        </w:pPr>
                        <w:r>
                          <w:rPr>
                            <w:rFonts w:ascii="Times New Roman"/>
                            <w:b/>
                            <w:sz w:val="18"/>
                          </w:rPr>
                          <w:t>618,870,640.73</w:t>
                        </w:r>
                        <w:r>
                          <w:rPr>
                            <w:rFonts w:ascii="Times New Roman"/>
                            <w:sz w:val="18"/>
                          </w:rPr>
                        </w:r>
                      </w:p>
                    </w:tc>
                    <w:tc>
                      <w:tcPr>
                        <w:tcW w:w="98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56,997,613.61</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51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77.5pt;height:.5pt;mso-position-horizontal-relative:char;mso-position-vertical-relative:line" coordorigin="0,0" coordsize="7550,10">
            <v:group style="position:absolute;left:5;top:5;width:7540;height:2" coordorigin="5,5" coordsize="7540,2">
              <v:shape style="position:absolute;left:5;top:5;width:7540;height:2" coordorigin="5,5" coordsize="7540,0" path="m5,5l754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16"/>
          <w:szCs w:val="16"/>
        </w:rPr>
      </w:pPr>
    </w:p>
    <w:p>
      <w:pPr>
        <w:spacing w:before="31"/>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其他应收款风险分类</w:t>
      </w:r>
    </w:p>
    <w:p>
      <w:pPr>
        <w:spacing w:line="240" w:lineRule="auto" w:before="3"/>
        <w:rPr>
          <w:rFonts w:ascii="楷体" w:hAnsi="楷体" w:cs="楷体" w:eastAsia="楷体" w:hint="default"/>
          <w:sz w:val="11"/>
          <w:szCs w:val="11"/>
        </w:rPr>
      </w:pPr>
    </w:p>
    <w:p>
      <w:pPr>
        <w:spacing w:line="30" w:lineRule="exact"/>
        <w:ind w:left="409"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tabs>
          <w:tab w:pos="5470" w:val="left" w:leader="none"/>
        </w:tabs>
        <w:spacing w:line="168" w:lineRule="exact" w:before="0"/>
        <w:ind w:left="2242" w:right="0" w:firstLine="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年末金额</w:t>
        <w:tab/>
        <w:t>年初金额</w:t>
      </w:r>
      <w:r>
        <w:rPr>
          <w:rFonts w:ascii="Microsoft JhengHei" w:hAnsi="Microsoft JhengHei" w:cs="Microsoft JhengHei" w:eastAsia="Microsoft JhengHei" w:hint="default"/>
          <w:sz w:val="16"/>
          <w:szCs w:val="16"/>
        </w:rPr>
      </w:r>
    </w:p>
    <w:p>
      <w:pPr>
        <w:spacing w:line="146" w:lineRule="exact" w:before="0"/>
        <w:ind w:left="524" w:right="6555" w:firstLine="0"/>
        <w:jc w:val="left"/>
        <w:rPr>
          <w:rFonts w:ascii="Microsoft JhengHei" w:hAnsi="Microsoft JhengHei" w:cs="Microsoft JhengHei" w:eastAsia="Microsoft JhengHei" w:hint="default"/>
          <w:sz w:val="16"/>
          <w:szCs w:val="16"/>
        </w:rPr>
      </w:pPr>
      <w:r>
        <w:rPr/>
        <w:pict>
          <v:group style="position:absolute;margin-left:193.919998pt;margin-top:6.007266pt;width:322.8pt;height:.1pt;mso-position-horizontal-relative:page;mso-position-vertical-relative:paragraph;z-index:3952" coordorigin="3878,120" coordsize="6456,2">
            <v:shape style="position:absolute;left:3878;top:120;width:6456;height:2" coordorigin="3878,120" coordsize="6456,0" path="m3878,120l10334,120e" filled="false" stroked="true" strokeweight=".48pt" strokecolor="#000000">
              <v:path arrowok="t"/>
            </v:shape>
            <w10:wrap type="none"/>
          </v:group>
        </w:pict>
      </w: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p>
      <w:pPr>
        <w:tabs>
          <w:tab w:pos="3517" w:val="left" w:leader="none"/>
          <w:tab w:pos="4333" w:val="left" w:leader="none"/>
          <w:tab w:pos="5670" w:val="left" w:leader="none"/>
          <w:tab w:pos="6685" w:val="left" w:leader="none"/>
          <w:tab w:pos="7501" w:val="left" w:leader="none"/>
        </w:tabs>
        <w:spacing w:line="220" w:lineRule="exact" w:before="0"/>
        <w:ind w:left="2442" w:right="0" w:firstLine="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比例</w:t>
        <w:tab/>
        <w:t>坏账准备</w:t>
        <w:tab/>
        <w:t>金额</w:t>
        <w:tab/>
        <w:t>比例</w:t>
        <w:tab/>
        <w:t>坏账准备</w:t>
      </w:r>
      <w:r>
        <w:rPr>
          <w:rFonts w:ascii="Microsoft JhengHei" w:hAnsi="Microsoft JhengHei" w:cs="Microsoft JhengHei" w:eastAsia="Microsoft JhengHei" w:hint="default"/>
          <w:sz w:val="16"/>
          <w:szCs w:val="16"/>
        </w:rPr>
      </w:r>
    </w:p>
    <w:p>
      <w:pPr>
        <w:spacing w:line="240" w:lineRule="auto" w:before="12"/>
        <w:rPr>
          <w:rFonts w:ascii="Microsoft JhengHei" w:hAnsi="Microsoft JhengHei" w:cs="Microsoft JhengHei" w:eastAsia="Microsoft JhengHei" w:hint="default"/>
          <w:b/>
          <w:bCs/>
          <w:sz w:val="2"/>
          <w:szCs w:val="2"/>
        </w:rPr>
      </w:pPr>
    </w:p>
    <w:tbl>
      <w:tblPr>
        <w:tblW w:w="0" w:type="auto"/>
        <w:jc w:val="left"/>
        <w:tblInd w:w="416" w:type="dxa"/>
        <w:tblLayout w:type="fixed"/>
        <w:tblCellMar>
          <w:top w:w="0" w:type="dxa"/>
          <w:left w:w="0" w:type="dxa"/>
          <w:bottom w:w="0" w:type="dxa"/>
          <w:right w:w="0" w:type="dxa"/>
        </w:tblCellMar>
        <w:tblLook w:val="01E0"/>
      </w:tblPr>
      <w:tblGrid>
        <w:gridCol w:w="3524"/>
        <w:gridCol w:w="817"/>
        <w:gridCol w:w="1136"/>
        <w:gridCol w:w="1215"/>
        <w:gridCol w:w="817"/>
        <w:gridCol w:w="1129"/>
      </w:tblGrid>
      <w:tr>
        <w:trPr>
          <w:trHeight w:val="377" w:hRule="exact"/>
        </w:trPr>
        <w:tc>
          <w:tcPr>
            <w:tcW w:w="3524" w:type="dxa"/>
            <w:tcBorders>
              <w:top w:val="single" w:sz="4" w:space="0" w:color="000000"/>
              <w:left w:val="nil" w:sz="6" w:space="0" w:color="auto"/>
              <w:bottom w:val="nil" w:sz="6" w:space="0" w:color="auto"/>
              <w:right w:val="nil" w:sz="6" w:space="0" w:color="auto"/>
            </w:tcBorders>
          </w:tcPr>
          <w:p>
            <w:pPr>
              <w:pStyle w:val="TableParagraph"/>
              <w:tabs>
                <w:tab w:pos="2307" w:val="left" w:leader="none"/>
              </w:tabs>
              <w:spacing w:line="240" w:lineRule="auto" w:before="13"/>
              <w:ind w:right="106"/>
              <w:jc w:val="right"/>
              <w:rPr>
                <w:rFonts w:ascii="Times New Roman" w:hAnsi="Times New Roman" w:cs="Times New Roman" w:eastAsia="Times New Roman" w:hint="default"/>
                <w:sz w:val="16"/>
                <w:szCs w:val="16"/>
              </w:rPr>
            </w:pPr>
            <w:r>
              <w:rPr>
                <w:rFonts w:ascii="楷体" w:hAnsi="楷体" w:cs="楷体" w:eastAsia="楷体" w:hint="default"/>
                <w:w w:val="95"/>
                <w:sz w:val="16"/>
                <w:szCs w:val="16"/>
              </w:rPr>
              <w:t>单项金额重大的其他应收款</w:t>
              <w:tab/>
            </w:r>
            <w:r>
              <w:rPr>
                <w:rFonts w:ascii="Times New Roman" w:hAnsi="Times New Roman" w:cs="Times New Roman" w:eastAsia="Times New Roman" w:hint="default"/>
                <w:spacing w:val="-1"/>
                <w:sz w:val="16"/>
                <w:szCs w:val="16"/>
              </w:rPr>
              <w:t>815,560,196.13</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74.05%</w:t>
            </w: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spacing w:val="-1"/>
                <w:sz w:val="16"/>
              </w:rPr>
              <w:t>28,318,454.90</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spacing w:val="-1"/>
                <w:sz w:val="16"/>
              </w:rPr>
              <w:t>488,530,071.27</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78.94%</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6"/>
                <w:szCs w:val="16"/>
              </w:rPr>
            </w:pPr>
            <w:r>
              <w:rPr>
                <w:rFonts w:ascii="Times New Roman"/>
                <w:spacing w:val="-1"/>
                <w:sz w:val="16"/>
              </w:rPr>
              <w:t>12,933,965.57</w:t>
            </w:r>
          </w:p>
        </w:tc>
      </w:tr>
      <w:tr>
        <w:trPr>
          <w:trHeight w:val="471"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88" w:lineRule="exact"/>
              <w:ind w:left="107" w:right="0"/>
              <w:jc w:val="left"/>
              <w:rPr>
                <w:rFonts w:ascii="楷体" w:hAnsi="楷体" w:cs="楷体" w:eastAsia="楷体" w:hint="default"/>
                <w:sz w:val="16"/>
                <w:szCs w:val="16"/>
              </w:rPr>
            </w:pPr>
            <w:r>
              <w:rPr>
                <w:rFonts w:ascii="楷体" w:hAnsi="楷体" w:cs="楷体" w:eastAsia="楷体" w:hint="default"/>
                <w:spacing w:val="4"/>
                <w:sz w:val="16"/>
                <w:szCs w:val="16"/>
              </w:rPr>
              <w:t>单项金额不重大但按信用风</w:t>
            </w:r>
          </w:p>
          <w:p>
            <w:pPr>
              <w:pStyle w:val="TableParagraph"/>
              <w:tabs>
                <w:tab w:pos="3135" w:val="left" w:leader="none"/>
              </w:tabs>
              <w:spacing w:line="206" w:lineRule="exact"/>
              <w:ind w:left="107" w:right="0"/>
              <w:jc w:val="left"/>
              <w:rPr>
                <w:rFonts w:ascii="Times New Roman" w:hAnsi="Times New Roman" w:cs="Times New Roman" w:eastAsia="Times New Roman" w:hint="default"/>
                <w:sz w:val="16"/>
                <w:szCs w:val="16"/>
              </w:rPr>
            </w:pPr>
            <w:r>
              <w:rPr>
                <w:rFonts w:ascii="楷体" w:hAnsi="楷体" w:cs="楷体" w:eastAsia="楷体" w:hint="default"/>
                <w:spacing w:val="4"/>
                <w:w w:val="95"/>
                <w:sz w:val="16"/>
                <w:szCs w:val="16"/>
              </w:rPr>
              <w:t>险特征组合后该组合的风险</w:t>
            </w:r>
            <w:r>
              <w:rPr>
                <w:rFonts w:ascii="Times New Roman" w:hAnsi="Times New Roman" w:cs="Times New Roman" w:eastAsia="Times New Roman" w:hint="default"/>
                <w:spacing w:val="4"/>
                <w:w w:val="95"/>
                <w:sz w:val="16"/>
                <w:szCs w:val="16"/>
              </w:rPr>
              <w:tab/>
            </w:r>
            <w:r>
              <w:rPr>
                <w:rFonts w:ascii="Times New Roman" w:hAnsi="Times New Roman" w:cs="Times New Roman" w:eastAsia="Times New Roman" w:hint="default"/>
                <w:spacing w:val="-1"/>
                <w:sz w:val="16"/>
                <w:szCs w:val="16"/>
              </w:rPr>
              <w:t>0.00</w:t>
            </w:r>
          </w:p>
          <w:p>
            <w:pPr>
              <w:pStyle w:val="TableParagraph"/>
              <w:spacing w:line="198" w:lineRule="exact"/>
              <w:ind w:left="107" w:right="0"/>
              <w:jc w:val="left"/>
              <w:rPr>
                <w:rFonts w:ascii="楷体" w:hAnsi="楷体" w:cs="楷体" w:eastAsia="楷体" w:hint="default"/>
                <w:sz w:val="16"/>
                <w:szCs w:val="16"/>
              </w:rPr>
            </w:pPr>
            <w:r>
              <w:rPr>
                <w:rFonts w:ascii="楷体" w:hAnsi="楷体" w:cs="楷体" w:eastAsia="楷体" w:hint="default"/>
                <w:sz w:val="16"/>
                <w:szCs w:val="16"/>
              </w:rPr>
              <w:t>较大的其他应收款</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8"/>
              <w:jc w:val="right"/>
              <w:rPr>
                <w:rFonts w:ascii="Times New Roman" w:hAnsi="Times New Roman" w:cs="Times New Roman" w:eastAsia="Times New Roman" w:hint="default"/>
                <w:sz w:val="16"/>
                <w:szCs w:val="16"/>
              </w:rPr>
            </w:pPr>
            <w:r>
              <w:rPr>
                <w:rFonts w:ascii="Times New Roman"/>
                <w:spacing w:val="-1"/>
                <w:sz w:val="16"/>
              </w:rPr>
              <w:t>0.00</w:t>
            </w:r>
          </w:p>
        </w:tc>
      </w:tr>
      <w:tr>
        <w:trPr>
          <w:trHeight w:val="444" w:hRule="exact"/>
        </w:trPr>
        <w:tc>
          <w:tcPr>
            <w:tcW w:w="3524" w:type="dxa"/>
            <w:tcBorders>
              <w:top w:val="nil" w:sz="6" w:space="0" w:color="auto"/>
              <w:left w:val="nil" w:sz="6" w:space="0" w:color="auto"/>
              <w:bottom w:val="single" w:sz="4" w:space="0" w:color="000000"/>
              <w:right w:val="nil" w:sz="6" w:space="0" w:color="auto"/>
            </w:tcBorders>
          </w:tcPr>
          <w:p>
            <w:pPr>
              <w:pStyle w:val="TableParagraph"/>
              <w:spacing w:line="173" w:lineRule="exact" w:before="12"/>
              <w:ind w:left="107" w:right="0"/>
              <w:jc w:val="left"/>
              <w:rPr>
                <w:rFonts w:ascii="楷体" w:hAnsi="楷体" w:cs="楷体" w:eastAsia="楷体" w:hint="default"/>
                <w:sz w:val="16"/>
                <w:szCs w:val="16"/>
              </w:rPr>
            </w:pPr>
            <w:r>
              <w:rPr>
                <w:rFonts w:ascii="楷体" w:hAnsi="楷体" w:cs="楷体" w:eastAsia="楷体" w:hint="default"/>
                <w:spacing w:val="4"/>
                <w:sz w:val="16"/>
                <w:szCs w:val="16"/>
              </w:rPr>
              <w:t>其他单项金额不重大的其他</w:t>
            </w:r>
          </w:p>
          <w:p>
            <w:pPr>
              <w:pStyle w:val="TableParagraph"/>
              <w:tabs>
                <w:tab w:pos="2415" w:val="left" w:leader="none"/>
              </w:tabs>
              <w:spacing w:line="236" w:lineRule="exact"/>
              <w:ind w:left="107" w:right="0"/>
              <w:jc w:val="left"/>
              <w:rPr>
                <w:rFonts w:ascii="Times New Roman" w:hAnsi="Times New Roman" w:cs="Times New Roman" w:eastAsia="Times New Roman" w:hint="default"/>
                <w:sz w:val="16"/>
                <w:szCs w:val="16"/>
              </w:rPr>
            </w:pPr>
            <w:r>
              <w:rPr>
                <w:rFonts w:ascii="楷体" w:hAnsi="楷体" w:cs="楷体" w:eastAsia="楷体" w:hint="default"/>
                <w:w w:val="95"/>
                <w:position w:val="-9"/>
                <w:sz w:val="16"/>
                <w:szCs w:val="16"/>
              </w:rPr>
              <w:t>应收款</w:t>
              <w:tab/>
            </w:r>
            <w:r>
              <w:rPr>
                <w:rFonts w:ascii="Times New Roman" w:hAnsi="Times New Roman" w:cs="Times New Roman" w:eastAsia="Times New Roman" w:hint="default"/>
                <w:sz w:val="16"/>
                <w:szCs w:val="16"/>
              </w:rPr>
              <w:t>285,854,218.37</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25.95%</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41,896,189.35</w:t>
            </w: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130,340,569.46</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21.06%</w:t>
            </w: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44,063,648.04</w:t>
            </w:r>
          </w:p>
        </w:tc>
      </w:tr>
      <w:tr>
        <w:trPr>
          <w:trHeight w:val="304" w:hRule="exact"/>
        </w:trPr>
        <w:tc>
          <w:tcPr>
            <w:tcW w:w="3524" w:type="dxa"/>
            <w:tcBorders>
              <w:top w:val="single" w:sz="4" w:space="0" w:color="000000"/>
              <w:left w:val="nil" w:sz="6" w:space="0" w:color="auto"/>
              <w:bottom w:val="single" w:sz="12" w:space="0" w:color="000000"/>
              <w:right w:val="nil" w:sz="6" w:space="0" w:color="auto"/>
            </w:tcBorders>
          </w:tcPr>
          <w:p>
            <w:pPr>
              <w:pStyle w:val="TableParagraph"/>
              <w:tabs>
                <w:tab w:pos="2188" w:val="left" w:leader="none"/>
              </w:tabs>
              <w:spacing w:line="241" w:lineRule="exact"/>
              <w:ind w:right="105"/>
              <w:jc w:val="right"/>
              <w:rPr>
                <w:rFonts w:ascii="Times New Roman" w:hAnsi="Times New Roman" w:cs="Times New Roman" w:eastAsia="Times New Roman" w:hint="default"/>
                <w:sz w:val="16"/>
                <w:szCs w:val="16"/>
              </w:rPr>
            </w:pPr>
            <w:r>
              <w:rPr>
                <w:rFonts w:ascii="Microsoft JhengHei" w:hAnsi="Microsoft JhengHei" w:cs="Microsoft JhengHei" w:eastAsia="Microsoft JhengHei" w:hint="default"/>
                <w:b/>
                <w:bCs/>
                <w:sz w:val="16"/>
                <w:szCs w:val="16"/>
              </w:rPr>
              <w:t>合计</w:t>
              <w:tab/>
            </w:r>
            <w:r>
              <w:rPr>
                <w:rFonts w:ascii="Times New Roman" w:hAnsi="Times New Roman" w:cs="Times New Roman" w:eastAsia="Times New Roman" w:hint="default"/>
                <w:b/>
                <w:bCs/>
                <w:spacing w:val="-1"/>
                <w:sz w:val="16"/>
                <w:szCs w:val="16"/>
              </w:rPr>
              <w:t>1,101,414,414.50</w:t>
            </w:r>
            <w:r>
              <w:rPr>
                <w:rFonts w:ascii="Times New Roman" w:hAnsi="Times New Roman" w:cs="Times New Roman" w:eastAsia="Times New Roman" w:hint="default"/>
                <w:spacing w:val="-1"/>
                <w:sz w:val="16"/>
                <w:szCs w:val="16"/>
              </w:rPr>
            </w:r>
          </w:p>
        </w:tc>
        <w:tc>
          <w:tcPr>
            <w:tcW w:w="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1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70,214,644.25</w:t>
            </w:r>
            <w:r>
              <w:rPr>
                <w:rFonts w:ascii="Times New Roman"/>
                <w:spacing w:val="-1"/>
                <w:sz w:val="16"/>
              </w:rPr>
            </w:r>
          </w:p>
        </w:tc>
        <w:tc>
          <w:tcPr>
            <w:tcW w:w="121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618,870,640.73</w:t>
            </w:r>
            <w:r>
              <w:rPr>
                <w:rFonts w:ascii="Times New Roman"/>
                <w:spacing w:val="-1"/>
                <w:sz w:val="16"/>
              </w:rPr>
            </w:r>
          </w:p>
        </w:tc>
        <w:tc>
          <w:tcPr>
            <w:tcW w:w="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12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6"/>
                <w:szCs w:val="16"/>
              </w:rPr>
            </w:pPr>
            <w:r>
              <w:rPr>
                <w:rFonts w:ascii="Times New Roman"/>
                <w:b/>
                <w:spacing w:val="-1"/>
                <w:sz w:val="16"/>
              </w:rPr>
              <w:t>56,997,613.61</w:t>
            </w:r>
            <w:r>
              <w:rPr>
                <w:rFonts w:ascii="Times New Roman"/>
                <w:spacing w:val="-1"/>
                <w:sz w:val="16"/>
              </w:rPr>
            </w:r>
          </w:p>
        </w:tc>
      </w:tr>
    </w:tbl>
    <w:p>
      <w:pPr>
        <w:spacing w:before="79"/>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楷体" w:hAnsi="楷体" w:cs="楷体" w:eastAsia="楷体" w:hint="default"/>
          <w:sz w:val="22"/>
          <w:szCs w:val="22"/>
        </w:rPr>
        <w:t>年末其他应收款中不含持本公司 </w:t>
      </w:r>
      <w:r>
        <w:rPr>
          <w:rFonts w:ascii="Times New Roman" w:hAnsi="Times New Roman" w:cs="Times New Roman" w:eastAsia="Times New Roman" w:hint="default"/>
          <w:sz w:val="22"/>
          <w:szCs w:val="22"/>
        </w:rPr>
        <w:t>5%</w:t>
      </w:r>
      <w:r>
        <w:rPr>
          <w:rFonts w:ascii="楷体" w:hAnsi="楷体" w:cs="楷体" w:eastAsia="楷体" w:hint="default"/>
          <w:sz w:val="22"/>
          <w:szCs w:val="22"/>
        </w:rPr>
        <w:t>（含</w:t>
      </w:r>
      <w:r>
        <w:rPr>
          <w:rFonts w:ascii="楷体" w:hAnsi="楷体" w:cs="楷体" w:eastAsia="楷体" w:hint="default"/>
          <w:spacing w:val="-83"/>
          <w:sz w:val="22"/>
          <w:szCs w:val="22"/>
        </w:rPr>
        <w:t> </w:t>
      </w:r>
      <w:r>
        <w:rPr>
          <w:rFonts w:ascii="Times New Roman" w:hAnsi="Times New Roman" w:cs="Times New Roman" w:eastAsia="Times New Roman" w:hint="default"/>
          <w:sz w:val="22"/>
          <w:szCs w:val="22"/>
        </w:rPr>
        <w:t>5%</w:t>
      </w:r>
      <w:r>
        <w:rPr>
          <w:rFonts w:ascii="楷体" w:hAnsi="楷体" w:cs="楷体" w:eastAsia="楷体" w:hint="default"/>
          <w:sz w:val="22"/>
          <w:szCs w:val="22"/>
        </w:rPr>
        <w:t>）以上表决权股份的股东单位欠款。</w:t>
      </w:r>
    </w:p>
    <w:p>
      <w:pPr>
        <w:spacing w:before="163"/>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年末余额中前五名欠款情况</w:t>
      </w:r>
    </w:p>
    <w:p>
      <w:pPr>
        <w:tabs>
          <w:tab w:pos="3585" w:val="left" w:leader="none"/>
          <w:tab w:pos="5241" w:val="left" w:leader="none"/>
          <w:tab w:pos="6517" w:val="left" w:leader="none"/>
          <w:tab w:pos="7706" w:val="left" w:leader="none"/>
        </w:tabs>
        <w:spacing w:before="68"/>
        <w:ind w:left="524" w:right="0" w:firstLine="0"/>
        <w:jc w:val="left"/>
        <w:rPr>
          <w:rFonts w:ascii="Microsoft JhengHei" w:hAnsi="Microsoft JhengHei" w:cs="Microsoft JhengHei" w:eastAsia="Microsoft JhengHei" w:hint="default"/>
          <w:sz w:val="18"/>
          <w:szCs w:val="18"/>
        </w:rPr>
      </w:pPr>
      <w:r>
        <w:rPr/>
        <w:pict>
          <v:group style="position:absolute;margin-left:84.839996pt;margin-top:8.065525pt;width:431.9pt;height:.1pt;mso-position-horizontal-relative:page;mso-position-vertical-relative:paragraph;z-index:-897472" coordorigin="1697,161" coordsize="8638,2">
            <v:shape style="position:absolute;left:1697;top:161;width:8638;height:2" coordorigin="1697,161" coordsize="8638,0" path="m1697,161l10334,161e" filled="false" stroked="true" strokeweight="1.5pt" strokecolor="#000000">
              <v:path arrowok="t"/>
            </v:shape>
            <w10:wrap type="none"/>
          </v:group>
        </w:pict>
      </w:r>
      <w:r>
        <w:rPr/>
        <w:pict>
          <v:shape style="position:absolute;margin-left:84.839996pt;margin-top:19.02685pt;width:431.9pt;height:97.95pt;mso-position-horizontal-relative:page;mso-position-vertical-relative:paragraph;z-index:4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54"/>
                    <w:gridCol w:w="1718"/>
                    <w:gridCol w:w="1465"/>
                    <w:gridCol w:w="1152"/>
                    <w:gridCol w:w="1548"/>
                  </w:tblGrid>
                  <w:tr>
                    <w:trPr>
                      <w:trHeight w:val="200" w:hRule="exact"/>
                    </w:trPr>
                    <w:tc>
                      <w:tcPr>
                        <w:tcW w:w="7090" w:type="dxa"/>
                        <w:gridSpan w:val="4"/>
                        <w:tcBorders>
                          <w:top w:val="nil" w:sz="6" w:space="0" w:color="auto"/>
                          <w:left w:val="nil" w:sz="6" w:space="0" w:color="auto"/>
                          <w:bottom w:val="single" w:sz="4" w:space="0" w:color="000000"/>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00" w:lineRule="exact"/>
                          <w:ind w:right="6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总额的比例</w:t>
                        </w:r>
                        <w:r>
                          <w:rPr>
                            <w:rFonts w:ascii="Microsoft JhengHei" w:hAnsi="Microsoft JhengHei" w:cs="Microsoft JhengHei" w:eastAsia="Microsoft JhengHei" w:hint="default"/>
                            <w:sz w:val="18"/>
                            <w:szCs w:val="18"/>
                          </w:rPr>
                        </w:r>
                      </w:p>
                    </w:tc>
                  </w:tr>
                  <w:tr>
                    <w:trPr>
                      <w:trHeight w:val="287" w:hRule="exact"/>
                    </w:trPr>
                    <w:tc>
                      <w:tcPr>
                        <w:tcW w:w="275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沈阳同方科技园有限公司</w:t>
                        </w:r>
                      </w:p>
                    </w:tc>
                    <w:tc>
                      <w:tcPr>
                        <w:tcW w:w="1718" w:type="dxa"/>
                        <w:tcBorders>
                          <w:top w:val="single" w:sz="4" w:space="0" w:color="000000"/>
                          <w:left w:val="nil" w:sz="6" w:space="0" w:color="auto"/>
                          <w:bottom w:val="nil" w:sz="6" w:space="0" w:color="auto"/>
                          <w:right w:val="nil" w:sz="6" w:space="0" w:color="auto"/>
                        </w:tcBorders>
                      </w:tcPr>
                      <w:p>
                        <w:pPr>
                          <w:pStyle w:val="TableParagraph"/>
                          <w:spacing w:line="226" w:lineRule="exact"/>
                          <w:ind w:left="305" w:right="0"/>
                          <w:jc w:val="left"/>
                          <w:rPr>
                            <w:rFonts w:ascii="楷体" w:hAnsi="楷体" w:cs="楷体" w:eastAsia="楷体" w:hint="default"/>
                            <w:sz w:val="18"/>
                            <w:szCs w:val="18"/>
                          </w:rPr>
                        </w:pPr>
                        <w:r>
                          <w:rPr>
                            <w:rFonts w:ascii="楷体" w:hAnsi="楷体" w:cs="楷体" w:eastAsia="楷体" w:hint="default"/>
                            <w:sz w:val="18"/>
                            <w:szCs w:val="18"/>
                          </w:rPr>
                          <w:t>本公司之子公司</w:t>
                        </w:r>
                      </w:p>
                    </w:tc>
                    <w:tc>
                      <w:tcPr>
                        <w:tcW w:w="14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2"/>
                          <w:jc w:val="center"/>
                          <w:rPr>
                            <w:rFonts w:ascii="Times New Roman" w:hAnsi="Times New Roman" w:cs="Times New Roman" w:eastAsia="Times New Roman" w:hint="default"/>
                            <w:sz w:val="18"/>
                            <w:szCs w:val="18"/>
                          </w:rPr>
                        </w:pPr>
                        <w:r>
                          <w:rPr>
                            <w:rFonts w:ascii="Times New Roman"/>
                            <w:sz w:val="18"/>
                          </w:rPr>
                          <w:t>170,038,416.80</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39" w:lineRule="exact"/>
                          <w:ind w:right="100"/>
                          <w:jc w:val="center"/>
                          <w:rPr>
                            <w:rFonts w:ascii="楷体" w:hAnsi="楷体" w:cs="楷体" w:eastAsia="楷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年</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1"/>
                          <w:jc w:val="center"/>
                          <w:rPr>
                            <w:rFonts w:ascii="Times New Roman" w:hAnsi="Times New Roman" w:cs="Times New Roman" w:eastAsia="Times New Roman" w:hint="default"/>
                            <w:sz w:val="18"/>
                            <w:szCs w:val="18"/>
                          </w:rPr>
                        </w:pPr>
                        <w:r>
                          <w:rPr>
                            <w:rFonts w:ascii="Times New Roman"/>
                            <w:sz w:val="18"/>
                          </w:rPr>
                          <w:t>15.44%</w:t>
                        </w:r>
                      </w:p>
                    </w:tc>
                  </w:tr>
                  <w:tr>
                    <w:trPr>
                      <w:trHeight w:val="283" w:hRule="exact"/>
                    </w:trPr>
                    <w:tc>
                      <w:tcPr>
                        <w:tcW w:w="275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同方（哈尔滨）水务有限公司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27" w:lineRule="exact"/>
                          <w:ind w:left="305" w:right="0"/>
                          <w:jc w:val="left"/>
                          <w:rPr>
                            <w:rFonts w:ascii="楷体" w:hAnsi="楷体" w:cs="楷体" w:eastAsia="楷体" w:hint="default"/>
                            <w:sz w:val="18"/>
                            <w:szCs w:val="18"/>
                          </w:rPr>
                        </w:pPr>
                        <w:r>
                          <w:rPr>
                            <w:rFonts w:ascii="楷体" w:hAnsi="楷体" w:cs="楷体" w:eastAsia="楷体" w:hint="default"/>
                            <w:sz w:val="18"/>
                            <w:szCs w:val="18"/>
                          </w:rPr>
                          <w:t>非合并关联方</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2"/>
                          <w:jc w:val="center"/>
                          <w:rPr>
                            <w:rFonts w:ascii="Times New Roman" w:hAnsi="Times New Roman" w:cs="Times New Roman" w:eastAsia="Times New Roman" w:hint="default"/>
                            <w:sz w:val="18"/>
                            <w:szCs w:val="18"/>
                          </w:rPr>
                        </w:pPr>
                        <w:r>
                          <w:rPr>
                            <w:rFonts w:ascii="Times New Roman"/>
                            <w:sz w:val="18"/>
                          </w:rPr>
                          <w:t>102,445,308.50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exact"/>
                          <w:ind w:right="101"/>
                          <w:jc w:val="center"/>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
                          <w:jc w:val="center"/>
                          <w:rPr>
                            <w:rFonts w:ascii="Times New Roman" w:hAnsi="Times New Roman" w:cs="Times New Roman" w:eastAsia="Times New Roman" w:hint="default"/>
                            <w:sz w:val="18"/>
                            <w:szCs w:val="18"/>
                          </w:rPr>
                        </w:pPr>
                        <w:r>
                          <w:rPr>
                            <w:rFonts w:ascii="Times New Roman"/>
                            <w:sz w:val="18"/>
                          </w:rPr>
                          <w:t>9.30%</w:t>
                        </w:r>
                      </w:p>
                    </w:tc>
                  </w:tr>
                  <w:tr>
                    <w:trPr>
                      <w:trHeight w:val="283" w:hRule="exact"/>
                    </w:trPr>
                    <w:tc>
                      <w:tcPr>
                        <w:tcW w:w="2754"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佳木斯同方水务有限责任公司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27" w:lineRule="exact"/>
                          <w:ind w:left="305" w:right="0"/>
                          <w:jc w:val="left"/>
                          <w:rPr>
                            <w:rFonts w:ascii="楷体" w:hAnsi="楷体" w:cs="楷体" w:eastAsia="楷体" w:hint="default"/>
                            <w:sz w:val="18"/>
                            <w:szCs w:val="18"/>
                          </w:rPr>
                        </w:pPr>
                        <w:r>
                          <w:rPr>
                            <w:rFonts w:ascii="楷体" w:hAnsi="楷体" w:cs="楷体" w:eastAsia="楷体" w:hint="default"/>
                            <w:sz w:val="18"/>
                            <w:szCs w:val="18"/>
                          </w:rPr>
                          <w:t>非合并关联方</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2"/>
                          <w:jc w:val="center"/>
                          <w:rPr>
                            <w:rFonts w:ascii="Times New Roman" w:hAnsi="Times New Roman" w:cs="Times New Roman" w:eastAsia="Times New Roman" w:hint="default"/>
                            <w:sz w:val="18"/>
                            <w:szCs w:val="18"/>
                          </w:rPr>
                        </w:pPr>
                        <w:r>
                          <w:rPr>
                            <w:rFonts w:ascii="Times New Roman"/>
                            <w:sz w:val="18"/>
                          </w:rPr>
                          <w:t>100,000,000.00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exact"/>
                          <w:ind w:right="101"/>
                          <w:jc w:val="center"/>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
                          <w:jc w:val="center"/>
                          <w:rPr>
                            <w:rFonts w:ascii="Times New Roman" w:hAnsi="Times New Roman" w:cs="Times New Roman" w:eastAsia="Times New Roman" w:hint="default"/>
                            <w:sz w:val="18"/>
                            <w:szCs w:val="18"/>
                          </w:rPr>
                        </w:pPr>
                        <w:r>
                          <w:rPr>
                            <w:rFonts w:ascii="Times New Roman"/>
                            <w:sz w:val="18"/>
                          </w:rPr>
                          <w:t>9.08%</w:t>
                        </w:r>
                      </w:p>
                    </w:tc>
                  </w:tr>
                  <w:tr>
                    <w:trPr>
                      <w:trHeight w:val="283" w:hRule="exact"/>
                    </w:trPr>
                    <w:tc>
                      <w:tcPr>
                        <w:tcW w:w="2754"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北京同方创新投资有限公司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27" w:lineRule="exact"/>
                          <w:ind w:left="305" w:right="0"/>
                          <w:jc w:val="left"/>
                          <w:rPr>
                            <w:rFonts w:ascii="楷体" w:hAnsi="楷体" w:cs="楷体" w:eastAsia="楷体" w:hint="default"/>
                            <w:sz w:val="18"/>
                            <w:szCs w:val="18"/>
                          </w:rPr>
                        </w:pPr>
                        <w:r>
                          <w:rPr>
                            <w:rFonts w:ascii="楷体" w:hAnsi="楷体" w:cs="楷体" w:eastAsia="楷体" w:hint="default"/>
                            <w:sz w:val="18"/>
                            <w:szCs w:val="18"/>
                          </w:rPr>
                          <w:t>本公司之子公司</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
                          <w:jc w:val="center"/>
                          <w:rPr>
                            <w:rFonts w:ascii="Times New Roman" w:hAnsi="Times New Roman" w:cs="Times New Roman" w:eastAsia="Times New Roman" w:hint="default"/>
                            <w:sz w:val="18"/>
                            <w:szCs w:val="18"/>
                          </w:rPr>
                        </w:pPr>
                        <w:r>
                          <w:rPr>
                            <w:rFonts w:ascii="Times New Roman"/>
                            <w:sz w:val="18"/>
                          </w:rPr>
                          <w:t>96,174,890.17</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exact"/>
                          <w:ind w:right="101"/>
                          <w:jc w:val="center"/>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
                          <w:jc w:val="center"/>
                          <w:rPr>
                            <w:rFonts w:ascii="Times New Roman" w:hAnsi="Times New Roman" w:cs="Times New Roman" w:eastAsia="Times New Roman" w:hint="default"/>
                            <w:sz w:val="18"/>
                            <w:szCs w:val="18"/>
                          </w:rPr>
                        </w:pPr>
                        <w:r>
                          <w:rPr>
                            <w:rFonts w:ascii="Times New Roman"/>
                            <w:sz w:val="18"/>
                          </w:rPr>
                          <w:t>8.73%</w:t>
                        </w:r>
                      </w:p>
                    </w:tc>
                  </w:tr>
                  <w:tr>
                    <w:trPr>
                      <w:trHeight w:val="288" w:hRule="exact"/>
                    </w:trPr>
                    <w:tc>
                      <w:tcPr>
                        <w:tcW w:w="2754"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清芯光电有限公司</w:t>
                        </w:r>
                      </w:p>
                    </w:tc>
                    <w:tc>
                      <w:tcPr>
                        <w:tcW w:w="1718" w:type="dxa"/>
                        <w:tcBorders>
                          <w:top w:val="nil" w:sz="6" w:space="0" w:color="auto"/>
                          <w:left w:val="nil" w:sz="6" w:space="0" w:color="auto"/>
                          <w:bottom w:val="single" w:sz="4" w:space="0" w:color="000000"/>
                          <w:right w:val="nil" w:sz="6" w:space="0" w:color="auto"/>
                        </w:tcBorders>
                      </w:tcPr>
                      <w:p>
                        <w:pPr>
                          <w:pStyle w:val="TableParagraph"/>
                          <w:spacing w:line="227" w:lineRule="exact"/>
                          <w:ind w:left="305" w:right="0"/>
                          <w:jc w:val="left"/>
                          <w:rPr>
                            <w:rFonts w:ascii="楷体" w:hAnsi="楷体" w:cs="楷体" w:eastAsia="楷体" w:hint="default"/>
                            <w:sz w:val="18"/>
                            <w:szCs w:val="18"/>
                          </w:rPr>
                        </w:pPr>
                        <w:r>
                          <w:rPr>
                            <w:rFonts w:ascii="楷体" w:hAnsi="楷体" w:cs="楷体" w:eastAsia="楷体" w:hint="default"/>
                            <w:sz w:val="18"/>
                            <w:szCs w:val="18"/>
                          </w:rPr>
                          <w:t>本公司之子公司</w:t>
                        </w:r>
                      </w:p>
                    </w:tc>
                    <w:tc>
                      <w:tcPr>
                        <w:tcW w:w="146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4"/>
                          <w:jc w:val="center"/>
                          <w:rPr>
                            <w:rFonts w:ascii="Times New Roman" w:hAnsi="Times New Roman" w:cs="Times New Roman" w:eastAsia="Times New Roman" w:hint="default"/>
                            <w:sz w:val="18"/>
                            <w:szCs w:val="18"/>
                          </w:rPr>
                        </w:pPr>
                        <w:r>
                          <w:rPr>
                            <w:rFonts w:ascii="Times New Roman"/>
                            <w:sz w:val="18"/>
                          </w:rPr>
                          <w:t>66,676,323.58</w:t>
                        </w: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exact"/>
                          <w:ind w:right="101"/>
                          <w:jc w:val="center"/>
                          <w:rPr>
                            <w:rFonts w:ascii="楷体" w:hAnsi="楷体" w:cs="楷体" w:eastAsia="楷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年以内</w:t>
                        </w: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0"/>
                          <w:jc w:val="center"/>
                          <w:rPr>
                            <w:rFonts w:ascii="Times New Roman" w:hAnsi="Times New Roman" w:cs="Times New Roman" w:eastAsia="Times New Roman" w:hint="default"/>
                            <w:sz w:val="18"/>
                            <w:szCs w:val="18"/>
                          </w:rPr>
                        </w:pPr>
                        <w:r>
                          <w:rPr>
                            <w:rFonts w:ascii="Times New Roman"/>
                            <w:sz w:val="18"/>
                          </w:rPr>
                          <w:t>6.05%</w:t>
                        </w:r>
                      </w:p>
                    </w:tc>
                  </w:tr>
                  <w:tr>
                    <w:trPr>
                      <w:trHeight w:val="304" w:hRule="exact"/>
                    </w:trPr>
                    <w:tc>
                      <w:tcPr>
                        <w:tcW w:w="2754"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18" w:type="dxa"/>
                        <w:tcBorders>
                          <w:top w:val="single" w:sz="4" w:space="0" w:color="000000"/>
                          <w:left w:val="nil" w:sz="6" w:space="0" w:color="auto"/>
                          <w:bottom w:val="single" w:sz="12" w:space="0" w:color="000000"/>
                          <w:right w:val="nil" w:sz="6" w:space="0" w:color="auto"/>
                        </w:tcBorders>
                      </w:tcPr>
                      <w:p>
                        <w:pPr/>
                      </w:p>
                    </w:tc>
                    <w:tc>
                      <w:tcPr>
                        <w:tcW w:w="14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2"/>
                          <w:jc w:val="center"/>
                          <w:rPr>
                            <w:rFonts w:ascii="Times New Roman" w:hAnsi="Times New Roman" w:cs="Times New Roman" w:eastAsia="Times New Roman" w:hint="default"/>
                            <w:sz w:val="18"/>
                            <w:szCs w:val="18"/>
                          </w:rPr>
                        </w:pPr>
                        <w:r>
                          <w:rPr>
                            <w:rFonts w:ascii="Times New Roman"/>
                            <w:b/>
                            <w:sz w:val="18"/>
                          </w:rPr>
                          <w:t>535,334,939.05</w:t>
                        </w:r>
                        <w:r>
                          <w:rPr>
                            <w:rFonts w:ascii="Times New Roman"/>
                            <w:sz w:val="18"/>
                          </w:rPr>
                        </w:r>
                      </w:p>
                    </w:tc>
                    <w:tc>
                      <w:tcPr>
                        <w:tcW w:w="1152" w:type="dxa"/>
                        <w:tcBorders>
                          <w:top w:val="single" w:sz="4" w:space="0" w:color="000000"/>
                          <w:left w:val="nil" w:sz="6" w:space="0" w:color="auto"/>
                          <w:bottom w:val="single" w:sz="12" w:space="0" w:color="000000"/>
                          <w:right w:val="nil" w:sz="6" w:space="0" w:color="auto"/>
                        </w:tcBorders>
                      </w:tcPr>
                      <w:p>
                        <w:pPr/>
                      </w:p>
                    </w:tc>
                    <w:tc>
                      <w:tcPr>
                        <w:tcW w:w="15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0"/>
                          <w:jc w:val="center"/>
                          <w:rPr>
                            <w:rFonts w:ascii="Times New Roman" w:hAnsi="Times New Roman" w:cs="Times New Roman" w:eastAsia="Times New Roman" w:hint="default"/>
                            <w:sz w:val="18"/>
                            <w:szCs w:val="18"/>
                          </w:rPr>
                        </w:pPr>
                        <w:r>
                          <w:rPr>
                            <w:rFonts w:ascii="Times New Roman"/>
                            <w:b/>
                            <w:sz w:val="18"/>
                          </w:rPr>
                          <w:t>48.60%</w:t>
                        </w:r>
                        <w:r>
                          <w:rPr>
                            <w:rFonts w:ascii="Times New Roman"/>
                            <w:sz w:val="18"/>
                          </w:rPr>
                        </w:r>
                      </w:p>
                    </w:tc>
                  </w:tr>
                </w:tbl>
                <w:p>
                  <w:pPr/>
                </w:p>
              </w:txbxContent>
            </v:textbox>
            <w10:wrap type="none"/>
          </v:shape>
        </w:pict>
      </w:r>
      <w:r>
        <w:rPr>
          <w:rFonts w:ascii="Microsoft JhengHei" w:hAnsi="Microsoft JhengHei" w:cs="Microsoft JhengHei" w:eastAsia="Microsoft JhengHei" w:hint="default"/>
          <w:b/>
          <w:bCs/>
          <w:sz w:val="18"/>
          <w:szCs w:val="18"/>
        </w:rPr>
        <w:t>单位名称</w:t>
        <w:tab/>
        <w:t>与本公司关系</w:t>
        <w:tab/>
        <w:t>欠款金额</w:t>
        <w:tab/>
        <w:t>欠款年限</w:t>
        <w:tab/>
      </w:r>
      <w:r>
        <w:rPr>
          <w:rFonts w:ascii="Microsoft JhengHei" w:hAnsi="Microsoft JhengHei" w:cs="Microsoft JhengHei" w:eastAsia="Microsoft JhengHei" w:hint="default"/>
          <w:b/>
          <w:bCs/>
          <w:position w:val="10"/>
          <w:sz w:val="18"/>
          <w:szCs w:val="18"/>
        </w:rPr>
        <w:t>占其他应收款</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9"/>
          <w:szCs w:val="29"/>
        </w:rPr>
      </w:pPr>
    </w:p>
    <w:p>
      <w:pPr>
        <w:spacing w:before="31"/>
        <w:ind w:left="5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22"/>
          <w:sz w:val="22"/>
          <w:szCs w:val="22"/>
        </w:rPr>
        <w:t> </w:t>
      </w:r>
      <w:r>
        <w:rPr>
          <w:rFonts w:ascii="楷体" w:hAnsi="楷体" w:cs="楷体" w:eastAsia="楷体" w:hint="default"/>
          <w:sz w:val="22"/>
          <w:szCs w:val="22"/>
        </w:rPr>
        <w:t>年末余额中应收关联方款项合计</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939,565,195.28</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元，占其他应收款总额的</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85.31%</w:t>
      </w:r>
      <w:r>
        <w:rPr>
          <w:rFonts w:ascii="楷体" w:hAnsi="楷体" w:cs="楷体" w:eastAsia="楷体" w:hint="default"/>
          <w:sz w:val="22"/>
          <w:szCs w:val="22"/>
        </w:rPr>
        <w:t>。</w:t>
      </w:r>
    </w:p>
    <w:p>
      <w:pPr>
        <w:spacing w:after="0"/>
        <w:jc w:val="left"/>
        <w:rPr>
          <w:rFonts w:ascii="楷体" w:hAnsi="楷体" w:cs="楷体" w:eastAsia="楷体" w:hint="default"/>
          <w:sz w:val="22"/>
          <w:szCs w:val="22"/>
        </w:rPr>
        <w:sectPr>
          <w:headerReference w:type="default" r:id="rId46"/>
          <w:pgSz w:w="11910" w:h="16840"/>
          <w:pgMar w:header="610" w:footer="784" w:top="1080" w:bottom="980" w:left="1280" w:right="1140"/>
        </w:sect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11"/>
        <w:rPr>
          <w:rFonts w:ascii="楷体" w:hAnsi="楷体" w:cs="楷体" w:eastAsia="楷体" w:hint="default"/>
          <w:sz w:val="14"/>
          <w:szCs w:val="14"/>
        </w:rPr>
      </w:pPr>
    </w:p>
    <w:p>
      <w:pPr>
        <w:spacing w:line="30" w:lineRule="exact"/>
        <w:ind w:left="124" w:right="0" w:firstLine="0"/>
        <w:rPr>
          <w:rFonts w:ascii="楷体" w:hAnsi="楷体" w:cs="楷体" w:eastAsia="楷体" w:hint="default"/>
          <w:sz w:val="3"/>
          <w:szCs w:val="3"/>
        </w:rPr>
      </w:pPr>
      <w:r>
        <w:rPr>
          <w:rFonts w:ascii="楷体" w:hAnsi="楷体" w:cs="楷体" w:eastAsia="楷体" w:hint="default"/>
          <w:position w:val="0"/>
          <w:sz w:val="3"/>
          <w:szCs w:val="3"/>
        </w:rPr>
        <w:pict>
          <v:group style="width:515.0500pt;height:1.5pt;mso-position-horizontal-relative:char;mso-position-vertical-relative:line" coordorigin="0,0" coordsize="10301,30">
            <v:group style="position:absolute;left:15;top:15;width:10271;height:2" coordorigin="15,15" coordsize="10271,2">
              <v:shape style="position:absolute;left:15;top:15;width:10271;height:2" coordorigin="15,15" coordsize="10271,0" path="m15,15l10286,15e" filled="false" stroked="true" strokeweight="1.5pt" strokecolor="#000000">
                <v:path arrowok="t"/>
              </v:shape>
            </v:group>
          </v:group>
        </w:pict>
      </w:r>
      <w:r>
        <w:rPr>
          <w:rFonts w:ascii="楷体" w:hAnsi="楷体" w:cs="楷体" w:eastAsia="楷体" w:hint="default"/>
          <w:position w:val="0"/>
          <w:sz w:val="3"/>
          <w:szCs w:val="3"/>
        </w:rPr>
      </w:r>
    </w:p>
    <w:p>
      <w:pPr>
        <w:spacing w:after="0" w:line="30" w:lineRule="exact"/>
        <w:rPr>
          <w:rFonts w:ascii="楷体" w:hAnsi="楷体" w:cs="楷体" w:eastAsia="楷体" w:hint="default"/>
          <w:sz w:val="3"/>
          <w:szCs w:val="3"/>
        </w:rPr>
        <w:sectPr>
          <w:pgSz w:w="11910" w:h="16840"/>
          <w:pgMar w:header="610" w:footer="784" w:top="1080" w:bottom="980" w:left="740" w:right="620"/>
        </w:sectPr>
      </w:pPr>
    </w:p>
    <w:p>
      <w:pPr>
        <w:spacing w:before="66"/>
        <w:ind w:left="247" w:right="-16" w:firstLine="0"/>
        <w:jc w:val="left"/>
        <w:rPr>
          <w:rFonts w:ascii="Microsoft JhengHei" w:hAnsi="Microsoft JhengHei" w:cs="Microsoft JhengHei" w:eastAsia="Microsoft JhengHei" w:hint="default"/>
          <w:sz w:val="13"/>
          <w:szCs w:val="13"/>
        </w:rPr>
      </w:pPr>
      <w:r>
        <w:rPr/>
        <w:pict>
          <v:shape style="position:absolute;margin-left:84.839996pt;margin-top:-164.736053pt;width:431.9pt;height:188.35pt;mso-position-horizontal-relative:page;mso-position-vertical-relative:paragraph;z-index:4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6"/>
                    <w:gridCol w:w="2524"/>
                    <w:gridCol w:w="2137"/>
                  </w:tblGrid>
                  <w:tr>
                    <w:trPr>
                      <w:trHeight w:val="965" w:hRule="exact"/>
                    </w:trPr>
                    <w:tc>
                      <w:tcPr>
                        <w:tcW w:w="3976" w:type="dxa"/>
                        <w:tcBorders>
                          <w:top w:val="nil" w:sz="6" w:space="0" w:color="auto"/>
                          <w:left w:val="nil" w:sz="6" w:space="0" w:color="auto"/>
                          <w:bottom w:val="single" w:sz="12" w:space="0" w:color="000000"/>
                          <w:right w:val="nil" w:sz="6" w:space="0" w:color="auto"/>
                        </w:tcBorders>
                      </w:tcPr>
                      <w:p>
                        <w:pPr>
                          <w:pStyle w:val="TableParagraph"/>
                          <w:tabs>
                            <w:tab w:pos="628" w:val="left" w:leader="none"/>
                          </w:tabs>
                          <w:spacing w:line="240" w:lineRule="auto" w:before="31"/>
                          <w:ind w:left="161" w:right="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3.</w:t>
                          <w:tab/>
                        </w:r>
                        <w:r>
                          <w:rPr>
                            <w:rFonts w:ascii="楷体" w:hAnsi="楷体" w:cs="楷体" w:eastAsia="楷体" w:hint="default"/>
                            <w:sz w:val="22"/>
                            <w:szCs w:val="22"/>
                          </w:rPr>
                          <w:t>长期股权投资</w:t>
                        </w:r>
                      </w:p>
                      <w:p>
                        <w:pPr>
                          <w:pStyle w:val="TableParagraph"/>
                          <w:spacing w:line="240" w:lineRule="auto" w:before="162"/>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长期股权投资</w:t>
                        </w:r>
                      </w:p>
                    </w:tc>
                    <w:tc>
                      <w:tcPr>
                        <w:tcW w:w="4661"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97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2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13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97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按成本法核算长期股权投资</w:t>
                        </w: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774"/>
                          <w:jc w:val="right"/>
                          <w:rPr>
                            <w:rFonts w:ascii="Times New Roman" w:hAnsi="Times New Roman" w:cs="Times New Roman" w:eastAsia="Times New Roman" w:hint="default"/>
                            <w:sz w:val="18"/>
                            <w:szCs w:val="18"/>
                          </w:rPr>
                        </w:pPr>
                        <w:r>
                          <w:rPr>
                            <w:rFonts w:ascii="Times New Roman"/>
                            <w:spacing w:val="-1"/>
                            <w:sz w:val="18"/>
                          </w:rPr>
                          <w:t>2,531,897,981.83</w:t>
                        </w:r>
                      </w:p>
                    </w:tc>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1,871,591,155.55</w:t>
                        </w:r>
                      </w:p>
                    </w:tc>
                  </w:tr>
                  <w:tr>
                    <w:trPr>
                      <w:trHeight w:val="283"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按权益法核算长期股权投资</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74"/>
                          <w:jc w:val="right"/>
                          <w:rPr>
                            <w:rFonts w:ascii="Times New Roman" w:hAnsi="Times New Roman" w:cs="Times New Roman" w:eastAsia="Times New Roman" w:hint="default"/>
                            <w:sz w:val="18"/>
                            <w:szCs w:val="18"/>
                          </w:rPr>
                        </w:pPr>
                        <w:r>
                          <w:rPr>
                            <w:rFonts w:ascii="Times New Roman"/>
                            <w:spacing w:val="-1"/>
                            <w:sz w:val="18"/>
                          </w:rPr>
                          <w:t>1,017,961,201.70</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1,216,530,910.65</w:t>
                        </w:r>
                      </w:p>
                    </w:tc>
                  </w:tr>
                  <w:tr>
                    <w:trPr>
                      <w:trHeight w:val="283"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长期股权投资合计</w:t>
                        </w:r>
                        <w:r>
                          <w:rPr>
                            <w:rFonts w:ascii="Microsoft JhengHei" w:hAnsi="Microsoft JhengHei" w:cs="Microsoft JhengHei" w:eastAsia="Microsoft JhengHei" w:hint="default"/>
                            <w:sz w:val="18"/>
                            <w:szCs w:val="18"/>
                          </w:rPr>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74"/>
                          <w:jc w:val="right"/>
                          <w:rPr>
                            <w:rFonts w:ascii="Times New Roman" w:hAnsi="Times New Roman" w:cs="Times New Roman" w:eastAsia="Times New Roman" w:hint="default"/>
                            <w:sz w:val="18"/>
                            <w:szCs w:val="18"/>
                          </w:rPr>
                        </w:pPr>
                        <w:r>
                          <w:rPr>
                            <w:rFonts w:ascii="Times New Roman"/>
                            <w:b/>
                            <w:spacing w:val="-1"/>
                            <w:sz w:val="18"/>
                          </w:rPr>
                          <w:t>3,549,859,183.53</w:t>
                        </w:r>
                        <w:r>
                          <w:rPr>
                            <w:rFonts w:ascii="Times New Roman"/>
                            <w:spacing w:val="-1"/>
                            <w:sz w:val="18"/>
                          </w:rPr>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3,088,122,066.20</w:t>
                        </w:r>
                        <w:r>
                          <w:rPr>
                            <w:rFonts w:ascii="Times New Roman"/>
                            <w:spacing w:val="-1"/>
                            <w:sz w:val="18"/>
                          </w:rPr>
                        </w:r>
                      </w:p>
                    </w:tc>
                  </w:tr>
                  <w:tr>
                    <w:trPr>
                      <w:trHeight w:val="283" w:hRule="exact"/>
                    </w:trPr>
                    <w:tc>
                      <w:tcPr>
                        <w:tcW w:w="397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减：长期股权投资减值准备</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74"/>
                          <w:jc w:val="right"/>
                          <w:rPr>
                            <w:rFonts w:ascii="Times New Roman" w:hAnsi="Times New Roman" w:cs="Times New Roman" w:eastAsia="Times New Roman" w:hint="default"/>
                            <w:sz w:val="18"/>
                            <w:szCs w:val="18"/>
                          </w:rPr>
                        </w:pPr>
                        <w:r>
                          <w:rPr>
                            <w:rFonts w:ascii="Times New Roman"/>
                            <w:sz w:val="18"/>
                          </w:rPr>
                          <w:t>0.00</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99" w:hRule="exact"/>
                    </w:trPr>
                    <w:tc>
                      <w:tcPr>
                        <w:tcW w:w="3976" w:type="dxa"/>
                        <w:tcBorders>
                          <w:top w:val="nil" w:sz="6" w:space="0" w:color="auto"/>
                          <w:left w:val="nil" w:sz="6" w:space="0" w:color="auto"/>
                          <w:bottom w:val="single" w:sz="12" w:space="0" w:color="000000"/>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长期股权投资净值</w:t>
                        </w:r>
                        <w:r>
                          <w:rPr>
                            <w:rFonts w:ascii="Microsoft JhengHei" w:hAnsi="Microsoft JhengHei" w:cs="Microsoft JhengHei" w:eastAsia="Microsoft JhengHei" w:hint="default"/>
                            <w:sz w:val="18"/>
                            <w:szCs w:val="18"/>
                          </w:rPr>
                        </w:r>
                      </w:p>
                    </w:tc>
                    <w:tc>
                      <w:tcPr>
                        <w:tcW w:w="252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774"/>
                          <w:jc w:val="right"/>
                          <w:rPr>
                            <w:rFonts w:ascii="Times New Roman" w:hAnsi="Times New Roman" w:cs="Times New Roman" w:eastAsia="Times New Roman" w:hint="default"/>
                            <w:sz w:val="18"/>
                            <w:szCs w:val="18"/>
                          </w:rPr>
                        </w:pPr>
                        <w:r>
                          <w:rPr>
                            <w:rFonts w:ascii="Times New Roman"/>
                            <w:b/>
                            <w:spacing w:val="-1"/>
                            <w:sz w:val="18"/>
                          </w:rPr>
                          <w:t>3,549,859,183.53</w:t>
                        </w:r>
                        <w:r>
                          <w:rPr>
                            <w:rFonts w:ascii="Times New Roman"/>
                            <w:spacing w:val="-1"/>
                            <w:sz w:val="18"/>
                          </w:rPr>
                        </w:r>
                      </w:p>
                    </w:tc>
                    <w:tc>
                      <w:tcPr>
                        <w:tcW w:w="2137"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3,088,122,066.20</w:t>
                        </w:r>
                        <w:r>
                          <w:rPr>
                            <w:rFonts w:ascii="Times New Roman"/>
                            <w:spacing w:val="-1"/>
                            <w:sz w:val="18"/>
                          </w:rPr>
                        </w:r>
                      </w:p>
                    </w:tc>
                  </w:tr>
                  <w:tr>
                    <w:trPr>
                      <w:trHeight w:val="1062" w:hRule="exact"/>
                    </w:trPr>
                    <w:tc>
                      <w:tcPr>
                        <w:tcW w:w="8638" w:type="dxa"/>
                        <w:gridSpan w:val="3"/>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按成本法核算的长期股权投资</w:t>
                        </w:r>
                      </w:p>
                      <w:p>
                        <w:pPr>
                          <w:pStyle w:val="TableParagraph"/>
                          <w:tabs>
                            <w:tab w:pos="6982" w:val="left" w:leader="none"/>
                          </w:tabs>
                          <w:spacing w:line="163" w:lineRule="exact" w:before="143"/>
                          <w:ind w:left="1982"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3"/>
                            <w:szCs w:val="13"/>
                          </w:rPr>
                          <w:t>持股</w:t>
                          <w:tab/>
                        </w:r>
                        <w:r>
                          <w:rPr>
                            <w:rFonts w:ascii="Microsoft JhengHei" w:hAnsi="Microsoft JhengHei" w:cs="Microsoft JhengHei" w:eastAsia="Microsoft JhengHei" w:hint="default"/>
                            <w:b/>
                            <w:bCs/>
                            <w:sz w:val="10"/>
                            <w:szCs w:val="10"/>
                          </w:rPr>
                          <w:t>本年</w:t>
                        </w:r>
                        <w:r>
                          <w:rPr>
                            <w:rFonts w:ascii="Microsoft JhengHei" w:hAnsi="Microsoft JhengHei" w:cs="Microsoft JhengHei" w:eastAsia="Microsoft JhengHei" w:hint="default"/>
                            <w:sz w:val="10"/>
                            <w:szCs w:val="10"/>
                          </w:rPr>
                        </w:r>
                      </w:p>
                      <w:p>
                        <w:pPr>
                          <w:pStyle w:val="TableParagraph"/>
                          <w:tabs>
                            <w:tab w:pos="2625" w:val="left" w:leader="none"/>
                            <w:tab w:pos="3751" w:val="left" w:leader="none"/>
                            <w:tab w:pos="5007" w:val="left" w:leader="none"/>
                            <w:tab w:pos="6085" w:val="left" w:leader="none"/>
                            <w:tab w:pos="6982" w:val="left" w:leader="none"/>
                            <w:tab w:pos="7606" w:val="left" w:leader="none"/>
                          </w:tabs>
                          <w:spacing w:line="105" w:lineRule="auto" w:before="45"/>
                          <w:ind w:left="1982" w:right="505" w:hanging="2038"/>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w w:val="95"/>
                            <w:sz w:val="13"/>
                            <w:szCs w:val="13"/>
                          </w:rPr>
                          <w:t>名称</w:t>
                          <w:tab/>
                          <w:tab/>
                        </w:r>
                        <w:r>
                          <w:rPr>
                            <w:rFonts w:ascii="Microsoft JhengHei" w:hAnsi="Microsoft JhengHei" w:cs="Microsoft JhengHei" w:eastAsia="Microsoft JhengHei" w:hint="default"/>
                            <w:b/>
                            <w:bCs/>
                            <w:sz w:val="13"/>
                            <w:szCs w:val="13"/>
                          </w:rPr>
                          <w:t>初始投资金额</w:t>
                          <w:tab/>
                          <w:t>累计追加投资</w:t>
                          <w:tab/>
                          <w:t>年初金额</w:t>
                          <w:tab/>
                          <w:t>本年增加</w:t>
                          <w:tab/>
                          <w:tab/>
                          <w:t>年末金额</w:t>
                        </w:r>
                        <w:r>
                          <w:rPr>
                            <w:rFonts w:ascii="Microsoft JhengHei" w:hAnsi="Microsoft JhengHei" w:cs="Microsoft JhengHei" w:eastAsia="Microsoft JhengHei" w:hint="default"/>
                            <w:b/>
                            <w:bCs/>
                            <w:spacing w:val="-31"/>
                            <w:sz w:val="13"/>
                            <w:szCs w:val="13"/>
                          </w:rPr>
                          <w:t> </w:t>
                        </w:r>
                        <w:r>
                          <w:rPr>
                            <w:rFonts w:ascii="Microsoft JhengHei" w:hAnsi="Microsoft JhengHei" w:cs="Microsoft JhengHei" w:eastAsia="Microsoft JhengHei" w:hint="default"/>
                            <w:b/>
                            <w:bCs/>
                            <w:spacing w:val="-31"/>
                            <w:sz w:val="13"/>
                            <w:szCs w:val="13"/>
                          </w:rPr>
                        </w:r>
                        <w:r>
                          <w:rPr>
                            <w:rFonts w:ascii="Microsoft JhengHei" w:hAnsi="Microsoft JhengHei" w:cs="Microsoft JhengHei" w:eastAsia="Microsoft JhengHei" w:hint="default"/>
                            <w:b/>
                            <w:bCs/>
                            <w:sz w:val="13"/>
                            <w:szCs w:val="13"/>
                          </w:rPr>
                          <w:t>比例</w:t>
                          <w:tab/>
                          <w:tab/>
                          <w:tab/>
                          <w:tab/>
                          <w:tab/>
                        </w:r>
                        <w:r>
                          <w:rPr>
                            <w:rFonts w:ascii="Microsoft JhengHei" w:hAnsi="Microsoft JhengHei" w:cs="Microsoft JhengHei" w:eastAsia="Microsoft JhengHei" w:hint="default"/>
                            <w:b/>
                            <w:bCs/>
                            <w:sz w:val="10"/>
                            <w:szCs w:val="10"/>
                          </w:rPr>
                          <w:t>减少</w:t>
                        </w:r>
                        <w:r>
                          <w:rPr>
                            <w:rFonts w:ascii="Microsoft JhengHei" w:hAnsi="Microsoft JhengHei" w:cs="Microsoft JhengHei" w:eastAsia="Microsoft JhengHei" w:hint="default"/>
                            <w:sz w:val="10"/>
                            <w:szCs w:val="10"/>
                          </w:rPr>
                        </w:r>
                      </w:p>
                    </w:tc>
                  </w:tr>
                </w:tbl>
                <w:p>
                  <w:pPr/>
                </w:p>
              </w:txbxContent>
            </v:textbox>
            <w10:wrap type="none"/>
          </v:shape>
        </w:pict>
      </w:r>
      <w:r>
        <w:rPr>
          <w:rFonts w:ascii="Microsoft JhengHei" w:hAnsi="Microsoft JhengHei" w:cs="Microsoft JhengHei" w:eastAsia="Microsoft JhengHei" w:hint="default"/>
          <w:b/>
          <w:bCs/>
          <w:sz w:val="13"/>
          <w:szCs w:val="13"/>
        </w:rPr>
        <w:t>被投资单位</w:t>
      </w:r>
      <w:r>
        <w:rPr>
          <w:rFonts w:ascii="Microsoft JhengHei" w:hAnsi="Microsoft JhengHei" w:cs="Microsoft JhengHei" w:eastAsia="Microsoft JhengHei" w:hint="default"/>
          <w:sz w:val="13"/>
          <w:szCs w:val="13"/>
        </w:rPr>
      </w:r>
    </w:p>
    <w:p>
      <w:pPr>
        <w:spacing w:line="200" w:lineRule="exact" w:before="0"/>
        <w:ind w:left="312" w:right="299" w:hanging="65"/>
        <w:jc w:val="left"/>
        <w:rPr>
          <w:rFonts w:ascii="Microsoft JhengHei" w:hAnsi="Microsoft JhengHei" w:cs="Microsoft JhengHei" w:eastAsia="Microsoft JhengHei" w:hint="default"/>
          <w:sz w:val="13"/>
          <w:szCs w:val="13"/>
        </w:rPr>
      </w:pPr>
      <w:r>
        <w:rPr/>
        <w:br w:type="column"/>
      </w:r>
      <w:r>
        <w:rPr>
          <w:rFonts w:ascii="Microsoft JhengHei" w:hAnsi="Microsoft JhengHei" w:cs="Microsoft JhengHei" w:eastAsia="Microsoft JhengHei" w:hint="default"/>
          <w:b/>
          <w:bCs/>
          <w:sz w:val="13"/>
          <w:szCs w:val="13"/>
        </w:rPr>
        <w:t>当年分得的</w:t>
      </w:r>
      <w:r>
        <w:rPr>
          <w:rFonts w:ascii="Microsoft JhengHei" w:hAnsi="Microsoft JhengHei" w:cs="Microsoft JhengHei" w:eastAsia="Microsoft JhengHei" w:hint="default"/>
          <w:b/>
          <w:bCs/>
          <w:spacing w:val="-30"/>
          <w:sz w:val="13"/>
          <w:szCs w:val="13"/>
        </w:rPr>
        <w:t> </w:t>
      </w:r>
      <w:r>
        <w:rPr>
          <w:rFonts w:ascii="Microsoft JhengHei" w:hAnsi="Microsoft JhengHei" w:cs="Microsoft JhengHei" w:eastAsia="Microsoft JhengHei" w:hint="default"/>
          <w:b/>
          <w:bCs/>
          <w:sz w:val="13"/>
          <w:szCs w:val="13"/>
        </w:rPr>
        <w:t>现金红利</w:t>
      </w:r>
      <w:r>
        <w:rPr>
          <w:rFonts w:ascii="Microsoft JhengHei" w:hAnsi="Microsoft JhengHei" w:cs="Microsoft JhengHei" w:eastAsia="Microsoft JhengHei" w:hint="default"/>
          <w:sz w:val="13"/>
          <w:szCs w:val="13"/>
        </w:rPr>
      </w:r>
    </w:p>
    <w:p>
      <w:pPr>
        <w:spacing w:after="0" w:line="200" w:lineRule="exact"/>
        <w:jc w:val="left"/>
        <w:rPr>
          <w:rFonts w:ascii="Microsoft JhengHei" w:hAnsi="Microsoft JhengHei" w:cs="Microsoft JhengHei" w:eastAsia="Microsoft JhengHei" w:hint="default"/>
          <w:sz w:val="13"/>
          <w:szCs w:val="13"/>
        </w:rPr>
        <w:sectPr>
          <w:type w:val="continuous"/>
          <w:pgSz w:w="11910" w:h="16840"/>
          <w:pgMar w:top="1600" w:bottom="280" w:left="740" w:right="620"/>
          <w:cols w:num="2" w:equalWidth="0">
            <w:col w:w="902" w:space="8425"/>
            <w:col w:w="1223"/>
          </w:cols>
        </w:sectPr>
      </w:pPr>
    </w:p>
    <w:tbl>
      <w:tblPr>
        <w:tblW w:w="0" w:type="auto"/>
        <w:jc w:val="left"/>
        <w:tblInd w:w="177" w:type="dxa"/>
        <w:tblLayout w:type="fixed"/>
        <w:tblCellMar>
          <w:top w:w="0" w:type="dxa"/>
          <w:left w:w="0" w:type="dxa"/>
          <w:bottom w:w="0" w:type="dxa"/>
          <w:right w:w="0" w:type="dxa"/>
        </w:tblCellMar>
        <w:tblLook w:val="01E0"/>
      </w:tblPr>
      <w:tblGrid>
        <w:gridCol w:w="2551"/>
        <w:gridCol w:w="732"/>
        <w:gridCol w:w="1127"/>
        <w:gridCol w:w="1126"/>
        <w:gridCol w:w="1078"/>
        <w:gridCol w:w="1029"/>
        <w:gridCol w:w="493"/>
        <w:gridCol w:w="1109"/>
        <w:gridCol w:w="957"/>
      </w:tblGrid>
      <w:tr>
        <w:trPr>
          <w:trHeight w:val="304"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 w:right="0"/>
              <w:jc w:val="left"/>
              <w:rPr>
                <w:rFonts w:ascii="楷体" w:hAnsi="楷体" w:cs="楷体" w:eastAsia="楷体" w:hint="default"/>
                <w:sz w:val="13"/>
                <w:szCs w:val="13"/>
              </w:rPr>
            </w:pPr>
            <w:r>
              <w:rPr>
                <w:rFonts w:ascii="楷体" w:hAnsi="楷体" w:cs="楷体" w:eastAsia="楷体" w:hint="default"/>
                <w:sz w:val="13"/>
                <w:szCs w:val="13"/>
              </w:rPr>
              <w:t>泰豪科技股份有限公司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7"/>
              <w:jc w:val="center"/>
              <w:rPr>
                <w:rFonts w:ascii="Times New Roman" w:hAnsi="Times New Roman" w:cs="Times New Roman" w:eastAsia="Times New Roman" w:hint="default"/>
                <w:sz w:val="13"/>
                <w:szCs w:val="13"/>
              </w:rPr>
            </w:pPr>
            <w:r>
              <w:rPr>
                <w:rFonts w:ascii="Times New Roman"/>
                <w:sz w:val="13"/>
              </w:rPr>
              <w:t>23.37%</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5"/>
              <w:jc w:val="right"/>
              <w:rPr>
                <w:rFonts w:ascii="Times New Roman" w:hAnsi="Times New Roman" w:cs="Times New Roman" w:eastAsia="Times New Roman" w:hint="default"/>
                <w:sz w:val="13"/>
                <w:szCs w:val="13"/>
              </w:rPr>
            </w:pPr>
            <w:r>
              <w:rPr>
                <w:rFonts w:ascii="Times New Roman"/>
                <w:w w:val="95"/>
                <w:sz w:val="13"/>
              </w:rPr>
              <w:t>28,040,792.21</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5"/>
              <w:jc w:val="right"/>
              <w:rPr>
                <w:rFonts w:ascii="Times New Roman" w:hAnsi="Times New Roman" w:cs="Times New Roman" w:eastAsia="Times New Roman" w:hint="default"/>
                <w:sz w:val="13"/>
                <w:szCs w:val="13"/>
              </w:rPr>
            </w:pPr>
            <w:r>
              <w:rPr>
                <w:rFonts w:ascii="Times New Roman"/>
                <w:w w:val="95"/>
                <w:sz w:val="13"/>
              </w:rPr>
              <w:t>76,493,562.79</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3"/>
                <w:szCs w:val="13"/>
              </w:rPr>
            </w:pPr>
            <w:r>
              <w:rPr>
                <w:rFonts w:ascii="Times New Roman"/>
                <w:w w:val="95"/>
                <w:sz w:val="13"/>
              </w:rPr>
              <w:t>104,342,384.81</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6" w:right="0"/>
              <w:jc w:val="center"/>
              <w:rPr>
                <w:rFonts w:ascii="Times New Roman" w:hAnsi="Times New Roman" w:cs="Times New Roman" w:eastAsia="Times New Roman" w:hint="default"/>
                <w:sz w:val="13"/>
                <w:szCs w:val="13"/>
              </w:rPr>
            </w:pPr>
            <w:r>
              <w:rPr>
                <w:rFonts w:ascii="Times New Roman"/>
                <w:sz w:val="13"/>
              </w:rPr>
              <w:t>104,342,384.81</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8"/>
              <w:jc w:val="right"/>
              <w:rPr>
                <w:rFonts w:ascii="Times New Roman" w:hAnsi="Times New Roman" w:cs="Times New Roman" w:eastAsia="Times New Roman" w:hint="default"/>
                <w:sz w:val="13"/>
                <w:szCs w:val="13"/>
              </w:rPr>
            </w:pPr>
            <w:r>
              <w:rPr>
                <w:rFonts w:ascii="Times New Roman"/>
                <w:w w:val="95"/>
                <w:sz w:val="13"/>
              </w:rPr>
              <w:t>4,591,059.70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北京同方信息安全技术股份有限公司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51.79%</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3,542,723.69</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spacing w:val="-1"/>
                <w:sz w:val="13"/>
              </w:rPr>
              <w:t>11,077,680.00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14,460,000.00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14,460,000.00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中国学术期刊（光盘版）电子杂志社</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5" w:right="0"/>
              <w:jc w:val="center"/>
              <w:rPr>
                <w:rFonts w:ascii="Times New Roman" w:hAnsi="Times New Roman" w:cs="Times New Roman" w:eastAsia="Times New Roman" w:hint="default"/>
                <w:sz w:val="13"/>
                <w:szCs w:val="13"/>
              </w:rPr>
            </w:pPr>
            <w:r>
              <w:rPr>
                <w:rFonts w:ascii="Times New Roman"/>
                <w:sz w:val="13"/>
              </w:rPr>
              <w:t>1,000,000.00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北京同方创新投资有限公司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8,000,000.00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161,666,900.00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169,666,900.00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6" w:right="0"/>
              <w:jc w:val="center"/>
              <w:rPr>
                <w:rFonts w:ascii="Times New Roman" w:hAnsi="Times New Roman" w:cs="Times New Roman" w:eastAsia="Times New Roman" w:hint="default"/>
                <w:sz w:val="13"/>
                <w:szCs w:val="13"/>
              </w:rPr>
            </w:pPr>
            <w:r>
              <w:rPr>
                <w:rFonts w:ascii="Times New Roman"/>
                <w:sz w:val="13"/>
              </w:rPr>
              <w:t>169,666,900.00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同方光盘股份有限公司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98.98%</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53,000,000.00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68,534,000.00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121,534,000.00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6" w:right="0"/>
              <w:jc w:val="center"/>
              <w:rPr>
                <w:rFonts w:ascii="Times New Roman" w:hAnsi="Times New Roman" w:cs="Times New Roman" w:eastAsia="Times New Roman" w:hint="default"/>
                <w:sz w:val="13"/>
                <w:szCs w:val="13"/>
              </w:rPr>
            </w:pPr>
            <w:r>
              <w:rPr>
                <w:rFonts w:ascii="Times New Roman"/>
                <w:sz w:val="13"/>
              </w:rPr>
              <w:t>121,534,000.00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38,800,000.00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山东同方鲁颖电子有限公司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83.07%</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73,566,626.66</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9,300,000.00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82,866,626.66</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82,866,626.66</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北京同方房地产开发有限公司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Times New Roman" w:hAnsi="Times New Roman" w:cs="Times New Roman" w:eastAsia="Times New Roman" w:hint="default"/>
                <w:sz w:val="13"/>
                <w:szCs w:val="13"/>
              </w:rPr>
            </w:pPr>
            <w:r>
              <w:rPr>
                <w:rFonts w:ascii="Times New Roman"/>
                <w:w w:val="95"/>
                <w:sz w:val="13"/>
              </w:rPr>
              <w:t>16,000,000.00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Times New Roman" w:hAnsi="Times New Roman" w:cs="Times New Roman" w:eastAsia="Times New Roman" w:hint="default"/>
                <w:sz w:val="13"/>
                <w:szCs w:val="13"/>
              </w:rPr>
            </w:pPr>
            <w:r>
              <w:rPr>
                <w:rFonts w:ascii="Times New Roman"/>
                <w:w w:val="95"/>
                <w:sz w:val="13"/>
              </w:rPr>
              <w:t>35,640,000.00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3"/>
                <w:szCs w:val="13"/>
              </w:rPr>
            </w:pPr>
            <w:r>
              <w:rPr>
                <w:rFonts w:ascii="Times New Roman"/>
                <w:w w:val="95"/>
                <w:sz w:val="13"/>
              </w:rPr>
              <w:t>51,640,000.00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0" w:right="0"/>
              <w:jc w:val="center"/>
              <w:rPr>
                <w:rFonts w:ascii="Times New Roman" w:hAnsi="Times New Roman" w:cs="Times New Roman" w:eastAsia="Times New Roman" w:hint="default"/>
                <w:sz w:val="13"/>
                <w:szCs w:val="13"/>
              </w:rPr>
            </w:pPr>
            <w:r>
              <w:rPr>
                <w:rFonts w:ascii="Times New Roman"/>
                <w:sz w:val="13"/>
              </w:rPr>
              <w:t>51,640,000.00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Times New Roman" w:hAnsi="Times New Roman" w:cs="Times New Roman" w:eastAsia="Times New Roman" w:hint="default"/>
                <w:sz w:val="13"/>
                <w:szCs w:val="13"/>
              </w:rPr>
            </w:pPr>
            <w:r>
              <w:rPr>
                <w:rFonts w:ascii="Times New Roman"/>
                <w:w w:val="95"/>
                <w:sz w:val="13"/>
              </w:rPr>
              <w:t>29,000,000.00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北京同方软件股份有限公司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74.00%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20,000,000.00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14,864,600.00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34,864,600.00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34,864,600.00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同方威视技术股份有限公司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76.00%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57,000,000.00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57,000,000.00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57,000,000.00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57,000,000.00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北京同方微电子有限公司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86.00%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spacing w:val="-1"/>
                <w:sz w:val="13"/>
              </w:rPr>
              <w:t>16,116,000.00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37,204,500.00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67,194,500.00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67,194,500.00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55,040,000.00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北京同方凌讯科技有限公司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93.10%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32,200,000.00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154,000,000.00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43,000,000.00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154,000,000.00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6" w:right="0"/>
              <w:jc w:val="center"/>
              <w:rPr>
                <w:rFonts w:ascii="Times New Roman" w:hAnsi="Times New Roman" w:cs="Times New Roman" w:eastAsia="Times New Roman" w:hint="default"/>
                <w:sz w:val="13"/>
                <w:szCs w:val="13"/>
              </w:rPr>
            </w:pPr>
            <w:r>
              <w:rPr>
                <w:rFonts w:ascii="Times New Roman"/>
                <w:sz w:val="13"/>
              </w:rPr>
              <w:t>197,000,000.00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中体同方体育科技有限公司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42.23%</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17,500,000.00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17,500,000.00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17,500,000.00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96,381.95</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北京市清华同方教育培训学校</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5" w:right="0"/>
              <w:jc w:val="center"/>
              <w:rPr>
                <w:rFonts w:ascii="Times New Roman" w:hAnsi="Times New Roman" w:cs="Times New Roman" w:eastAsia="Times New Roman" w:hint="default"/>
                <w:sz w:val="13"/>
                <w:szCs w:val="13"/>
              </w:rPr>
            </w:pPr>
            <w:r>
              <w:rPr>
                <w:rFonts w:ascii="Times New Roman"/>
                <w:sz w:val="13"/>
              </w:rPr>
              <w:t>1,000,000.00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北京同方物业管理有限公司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1,600,000.00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7,930,000.00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9,530,000.00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5" w:right="0"/>
              <w:jc w:val="center"/>
              <w:rPr>
                <w:rFonts w:ascii="Times New Roman" w:hAnsi="Times New Roman" w:cs="Times New Roman" w:eastAsia="Times New Roman" w:hint="default"/>
                <w:sz w:val="13"/>
                <w:szCs w:val="13"/>
              </w:rPr>
            </w:pPr>
            <w:r>
              <w:rPr>
                <w:rFonts w:ascii="Times New Roman"/>
                <w:sz w:val="13"/>
              </w:rPr>
              <w:t>9,530,000.00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7"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同方鼎欣信息技术有限公司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67.42%</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6,440,000.00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40,878,100.00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41,518,100.00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41,518,100.00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1,759,398.10</w:t>
            </w:r>
            <w:r>
              <w:rPr>
                <w:rFonts w:ascii="Times New Roman"/>
                <w:sz w:val="13"/>
              </w:rPr>
            </w:r>
          </w:p>
        </w:tc>
      </w:tr>
      <w:tr>
        <w:trPr>
          <w:trHeight w:val="280"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0" w:right="0"/>
              <w:jc w:val="left"/>
              <w:rPr>
                <w:rFonts w:ascii="Times New Roman" w:hAnsi="Times New Roman" w:cs="Times New Roman" w:eastAsia="Times New Roman" w:hint="default"/>
                <w:sz w:val="13"/>
                <w:szCs w:val="13"/>
              </w:rPr>
            </w:pPr>
            <w:r>
              <w:rPr>
                <w:rFonts w:ascii="Times New Roman"/>
                <w:sz w:val="13"/>
              </w:rPr>
              <w:t>THTF USA</w:t>
            </w:r>
            <w:r>
              <w:rPr>
                <w:rFonts w:ascii="Times New Roman"/>
                <w:spacing w:val="-12"/>
                <w:sz w:val="13"/>
              </w:rPr>
              <w:t> </w:t>
            </w:r>
            <w:r>
              <w:rPr>
                <w:rFonts w:ascii="Times New Roman"/>
                <w:sz w:val="13"/>
              </w:rPr>
              <w:t>Inc.</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5"/>
              <w:jc w:val="right"/>
              <w:rPr>
                <w:rFonts w:ascii="Times New Roman" w:hAnsi="Times New Roman" w:cs="Times New Roman" w:eastAsia="Times New Roman" w:hint="default"/>
                <w:sz w:val="13"/>
                <w:szCs w:val="13"/>
              </w:rPr>
            </w:pPr>
            <w:r>
              <w:rPr>
                <w:rFonts w:ascii="Times New Roman"/>
                <w:w w:val="95"/>
                <w:sz w:val="13"/>
              </w:rPr>
              <w:t>8,206,605.00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5"/>
              <w:jc w:val="right"/>
              <w:rPr>
                <w:rFonts w:ascii="Times New Roman" w:hAnsi="Times New Roman" w:cs="Times New Roman" w:eastAsia="Times New Roman" w:hint="default"/>
                <w:sz w:val="13"/>
                <w:szCs w:val="13"/>
              </w:rPr>
            </w:pPr>
            <w:r>
              <w:rPr>
                <w:rFonts w:ascii="Times New Roman"/>
                <w:w w:val="95"/>
                <w:sz w:val="13"/>
              </w:rPr>
              <w:t>12,434,500.00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3"/>
                <w:szCs w:val="13"/>
              </w:rPr>
            </w:pPr>
            <w:r>
              <w:rPr>
                <w:rFonts w:ascii="Times New Roman"/>
                <w:w w:val="95"/>
                <w:sz w:val="13"/>
              </w:rPr>
              <w:t>20,641,105.00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0" w:right="0"/>
              <w:jc w:val="center"/>
              <w:rPr>
                <w:rFonts w:ascii="Times New Roman" w:hAnsi="Times New Roman" w:cs="Times New Roman" w:eastAsia="Times New Roman" w:hint="default"/>
                <w:sz w:val="13"/>
                <w:szCs w:val="13"/>
              </w:rPr>
            </w:pPr>
            <w:r>
              <w:rPr>
                <w:rFonts w:ascii="Times New Roman"/>
                <w:sz w:val="13"/>
              </w:rPr>
              <w:t>20,641,105.00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北京同方清芝商用机器有限公司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51.00%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10,200,000.00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10,200,000.00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10,200,000.00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无锡同方创新科技园有限公司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95,000,000.00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4,910,000.00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99,910,000.00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99,910,000.00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同方鞍山科技园有限公司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Times New Roman" w:hAnsi="Times New Roman" w:cs="Times New Roman" w:eastAsia="Times New Roman" w:hint="default"/>
                <w:sz w:val="13"/>
                <w:szCs w:val="13"/>
              </w:rPr>
            </w:pPr>
            <w:r>
              <w:rPr>
                <w:rFonts w:ascii="Times New Roman"/>
                <w:w w:val="95"/>
                <w:sz w:val="13"/>
              </w:rPr>
              <w:t>28,500,000.00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Times New Roman" w:hAnsi="Times New Roman" w:cs="Times New Roman" w:eastAsia="Times New Roman" w:hint="default"/>
                <w:sz w:val="13"/>
                <w:szCs w:val="13"/>
              </w:rPr>
            </w:pPr>
            <w:r>
              <w:rPr>
                <w:rFonts w:ascii="Times New Roman"/>
                <w:w w:val="95"/>
                <w:sz w:val="13"/>
              </w:rPr>
              <w:t>1,450,000.00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3"/>
                <w:szCs w:val="13"/>
              </w:rPr>
            </w:pPr>
            <w:r>
              <w:rPr>
                <w:rFonts w:ascii="Times New Roman"/>
                <w:w w:val="95"/>
                <w:sz w:val="13"/>
              </w:rPr>
              <w:t>29,950,000.00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0" w:right="0"/>
              <w:jc w:val="center"/>
              <w:rPr>
                <w:rFonts w:ascii="Times New Roman" w:hAnsi="Times New Roman" w:cs="Times New Roman" w:eastAsia="Times New Roman" w:hint="default"/>
                <w:sz w:val="13"/>
                <w:szCs w:val="13"/>
              </w:rPr>
            </w:pPr>
            <w:r>
              <w:rPr>
                <w:rFonts w:ascii="Times New Roman"/>
                <w:sz w:val="13"/>
              </w:rPr>
              <w:t>29,950,000.00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7"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沈阳同方多媒体科技有限公司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10,000,000.00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307,218,326.28</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237,452,644.45</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78,418,326.28</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6" w:right="0"/>
              <w:jc w:val="center"/>
              <w:rPr>
                <w:rFonts w:ascii="Times New Roman" w:hAnsi="Times New Roman" w:cs="Times New Roman" w:eastAsia="Times New Roman" w:hint="default"/>
                <w:sz w:val="13"/>
                <w:szCs w:val="13"/>
              </w:rPr>
            </w:pPr>
            <w:r>
              <w:rPr>
                <w:rFonts w:ascii="Times New Roman"/>
                <w:sz w:val="13"/>
              </w:rPr>
              <w:t>315,870,970.73</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0"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0" w:right="0"/>
              <w:jc w:val="left"/>
              <w:rPr>
                <w:rFonts w:ascii="Times New Roman" w:hAnsi="Times New Roman" w:cs="Times New Roman" w:eastAsia="Times New Roman" w:hint="default"/>
                <w:sz w:val="13"/>
                <w:szCs w:val="13"/>
              </w:rPr>
            </w:pPr>
            <w:r>
              <w:rPr>
                <w:rFonts w:ascii="Times New Roman"/>
                <w:sz w:val="13"/>
              </w:rPr>
              <w:t>Technovator Int. Private</w:t>
            </w:r>
            <w:r>
              <w:rPr>
                <w:rFonts w:ascii="Times New Roman"/>
                <w:spacing w:val="-14"/>
                <w:sz w:val="13"/>
              </w:rPr>
              <w:t> </w:t>
            </w:r>
            <w:r>
              <w:rPr>
                <w:rFonts w:ascii="Times New Roman"/>
                <w:sz w:val="13"/>
              </w:rPr>
              <w:t>Ltd.</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
              <w:jc w:val="center"/>
              <w:rPr>
                <w:rFonts w:ascii="Times New Roman" w:hAnsi="Times New Roman" w:cs="Times New Roman" w:eastAsia="Times New Roman" w:hint="default"/>
                <w:sz w:val="13"/>
                <w:szCs w:val="13"/>
              </w:rPr>
            </w:pPr>
            <w:r>
              <w:rPr>
                <w:rFonts w:ascii="Times New Roman"/>
                <w:sz w:val="13"/>
              </w:rPr>
              <w:t>25.33%</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5"/>
              <w:jc w:val="right"/>
              <w:rPr>
                <w:rFonts w:ascii="Times New Roman" w:hAnsi="Times New Roman" w:cs="Times New Roman" w:eastAsia="Times New Roman" w:hint="default"/>
                <w:sz w:val="13"/>
                <w:szCs w:val="13"/>
              </w:rPr>
            </w:pPr>
            <w:r>
              <w:rPr>
                <w:rFonts w:ascii="Times New Roman"/>
                <w:w w:val="95"/>
                <w:sz w:val="13"/>
              </w:rPr>
              <w:t>8,288,900.00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5"/>
              <w:jc w:val="right"/>
              <w:rPr>
                <w:rFonts w:ascii="Times New Roman" w:hAnsi="Times New Roman" w:cs="Times New Roman" w:eastAsia="Times New Roman" w:hint="default"/>
                <w:sz w:val="13"/>
                <w:szCs w:val="13"/>
              </w:rPr>
            </w:pPr>
            <w:r>
              <w:rPr>
                <w:rFonts w:ascii="Times New Roman"/>
                <w:w w:val="95"/>
                <w:sz w:val="13"/>
              </w:rPr>
              <w:t>35,075,000.00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3"/>
                <w:szCs w:val="13"/>
              </w:rPr>
            </w:pPr>
            <w:r>
              <w:rPr>
                <w:rFonts w:ascii="Times New Roman"/>
                <w:w w:val="95"/>
                <w:sz w:val="13"/>
              </w:rPr>
              <w:t>8,288,900.00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3"/>
                <w:szCs w:val="13"/>
              </w:rPr>
            </w:pPr>
            <w:r>
              <w:rPr>
                <w:rFonts w:ascii="Times New Roman"/>
                <w:w w:val="95"/>
                <w:sz w:val="13"/>
              </w:rPr>
              <w:t>35,075,000.00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0" w:right="0"/>
              <w:jc w:val="center"/>
              <w:rPr>
                <w:rFonts w:ascii="Times New Roman" w:hAnsi="Times New Roman" w:cs="Times New Roman" w:eastAsia="Times New Roman" w:hint="default"/>
                <w:sz w:val="13"/>
                <w:szCs w:val="13"/>
              </w:rPr>
            </w:pPr>
            <w:r>
              <w:rPr>
                <w:rFonts w:ascii="Times New Roman"/>
                <w:sz w:val="13"/>
              </w:rPr>
              <w:t>43,363,900.00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7"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北京同方电子商务有限公司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3,600,000.00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176,263,622.73</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spacing w:val="-1"/>
                <w:sz w:val="13"/>
              </w:rPr>
              <w:t>11,013,622.73</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167,250,000.00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6" w:right="0"/>
              <w:jc w:val="center"/>
              <w:rPr>
                <w:rFonts w:ascii="Times New Roman" w:hAnsi="Times New Roman" w:cs="Times New Roman" w:eastAsia="Times New Roman" w:hint="default"/>
                <w:sz w:val="13"/>
                <w:szCs w:val="13"/>
              </w:rPr>
            </w:pPr>
            <w:r>
              <w:rPr>
                <w:rFonts w:ascii="Times New Roman"/>
                <w:sz w:val="13"/>
              </w:rPr>
              <w:t>178,263,622.73</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0"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0" w:right="0"/>
              <w:jc w:val="left"/>
              <w:rPr>
                <w:rFonts w:ascii="Times New Roman" w:hAnsi="Times New Roman" w:cs="Times New Roman" w:eastAsia="Times New Roman" w:hint="default"/>
                <w:sz w:val="13"/>
                <w:szCs w:val="13"/>
              </w:rPr>
            </w:pPr>
            <w:r>
              <w:rPr>
                <w:rFonts w:ascii="Times New Roman"/>
                <w:sz w:val="13"/>
              </w:rPr>
              <w:t>Resuccess Investments</w:t>
            </w:r>
            <w:r>
              <w:rPr>
                <w:rFonts w:ascii="Times New Roman"/>
                <w:spacing w:val="-4"/>
                <w:sz w:val="13"/>
              </w:rPr>
              <w:t> </w:t>
            </w:r>
            <w:r>
              <w:rPr>
                <w:rFonts w:ascii="Times New Roman"/>
                <w:sz w:val="13"/>
              </w:rPr>
              <w:t>Ltd.</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5"/>
              <w:jc w:val="right"/>
              <w:rPr>
                <w:rFonts w:ascii="Times New Roman" w:hAnsi="Times New Roman" w:cs="Times New Roman" w:eastAsia="Times New Roman" w:hint="default"/>
                <w:sz w:val="13"/>
                <w:szCs w:val="13"/>
              </w:rPr>
            </w:pPr>
            <w:r>
              <w:rPr>
                <w:rFonts w:ascii="Times New Roman"/>
                <w:w w:val="95"/>
                <w:sz w:val="13"/>
              </w:rPr>
              <w:t>8.10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5"/>
              <w:jc w:val="right"/>
              <w:rPr>
                <w:rFonts w:ascii="Times New Roman" w:hAnsi="Times New Roman" w:cs="Times New Roman" w:eastAsia="Times New Roman" w:hint="default"/>
                <w:sz w:val="13"/>
                <w:szCs w:val="13"/>
              </w:rPr>
            </w:pPr>
            <w:r>
              <w:rPr>
                <w:rFonts w:ascii="Times New Roman"/>
                <w:w w:val="95"/>
                <w:sz w:val="13"/>
              </w:rPr>
              <w:t>72,074,800.00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3"/>
                <w:szCs w:val="13"/>
              </w:rPr>
            </w:pPr>
            <w:r>
              <w:rPr>
                <w:rFonts w:ascii="Times New Roman"/>
                <w:w w:val="95"/>
                <w:sz w:val="13"/>
              </w:rPr>
              <w:t>16,054,808.10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3"/>
                <w:szCs w:val="13"/>
              </w:rPr>
            </w:pPr>
            <w:r>
              <w:rPr>
                <w:rFonts w:ascii="Times New Roman"/>
                <w:w w:val="95"/>
                <w:sz w:val="13"/>
              </w:rPr>
              <w:t>56,020,000.00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1" w:right="0"/>
              <w:jc w:val="center"/>
              <w:rPr>
                <w:rFonts w:ascii="Times New Roman" w:hAnsi="Times New Roman" w:cs="Times New Roman" w:eastAsia="Times New Roman" w:hint="default"/>
                <w:sz w:val="13"/>
                <w:szCs w:val="13"/>
              </w:rPr>
            </w:pPr>
            <w:r>
              <w:rPr>
                <w:rFonts w:ascii="Times New Roman"/>
                <w:sz w:val="13"/>
              </w:rPr>
              <w:t>72,074,808.10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清芯光电有限公司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55.00%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32,824,791.40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12,932,808.00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45,757,599.40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1" w:right="0"/>
              <w:jc w:val="center"/>
              <w:rPr>
                <w:rFonts w:ascii="Times New Roman" w:hAnsi="Times New Roman" w:cs="Times New Roman" w:eastAsia="Times New Roman" w:hint="default"/>
                <w:sz w:val="13"/>
                <w:szCs w:val="13"/>
              </w:rPr>
            </w:pPr>
            <w:r>
              <w:rPr>
                <w:rFonts w:ascii="Times New Roman"/>
                <w:sz w:val="13"/>
              </w:rPr>
              <w:t>45,757,599.40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同方炭素科技有限公司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
              <w:jc w:val="center"/>
              <w:rPr>
                <w:rFonts w:ascii="Times New Roman" w:hAnsi="Times New Roman" w:cs="Times New Roman" w:eastAsia="Times New Roman" w:hint="default"/>
                <w:sz w:val="13"/>
                <w:szCs w:val="13"/>
              </w:rPr>
            </w:pPr>
            <w:r>
              <w:rPr>
                <w:rFonts w:ascii="Times New Roman"/>
                <w:sz w:val="13"/>
              </w:rPr>
              <w:t>94.00%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Times New Roman" w:hAnsi="Times New Roman" w:cs="Times New Roman" w:eastAsia="Times New Roman" w:hint="default"/>
                <w:sz w:val="13"/>
                <w:szCs w:val="13"/>
              </w:rPr>
            </w:pPr>
            <w:r>
              <w:rPr>
                <w:rFonts w:ascii="Times New Roman"/>
                <w:w w:val="95"/>
                <w:sz w:val="13"/>
              </w:rPr>
              <w:t>47,000,000.00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3"/>
                <w:szCs w:val="13"/>
              </w:rPr>
            </w:pPr>
            <w:r>
              <w:rPr>
                <w:rFonts w:ascii="Times New Roman"/>
                <w:w w:val="95"/>
                <w:sz w:val="13"/>
              </w:rPr>
              <w:t>47,000,000.00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0" w:right="0"/>
              <w:jc w:val="center"/>
              <w:rPr>
                <w:rFonts w:ascii="Times New Roman" w:hAnsi="Times New Roman" w:cs="Times New Roman" w:eastAsia="Times New Roman" w:hint="default"/>
                <w:sz w:val="13"/>
                <w:szCs w:val="13"/>
              </w:rPr>
            </w:pPr>
            <w:r>
              <w:rPr>
                <w:rFonts w:ascii="Times New Roman"/>
                <w:sz w:val="13"/>
              </w:rPr>
              <w:t>47,000,000.00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同方工业有限公司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200,000,000.00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200,000,000.00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400,000,000.00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6" w:right="0"/>
              <w:jc w:val="center"/>
              <w:rPr>
                <w:rFonts w:ascii="Times New Roman" w:hAnsi="Times New Roman" w:cs="Times New Roman" w:eastAsia="Times New Roman" w:hint="default"/>
                <w:sz w:val="13"/>
                <w:szCs w:val="13"/>
              </w:rPr>
            </w:pPr>
            <w:r>
              <w:rPr>
                <w:rFonts w:ascii="Times New Roman"/>
                <w:sz w:val="13"/>
              </w:rPr>
              <w:t>400,000,000.00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56,000,000.00</w:t>
            </w:r>
            <w:r>
              <w:rPr>
                <w:rFonts w:ascii="Times New Roman"/>
                <w:sz w:val="13"/>
              </w:rPr>
            </w:r>
          </w:p>
        </w:tc>
      </w:tr>
      <w:tr>
        <w:trPr>
          <w:trHeight w:val="287"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同方锐安科技有限公司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60,000,000.00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60,000,000.00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60,000,000.00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0"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0" w:right="0"/>
              <w:jc w:val="left"/>
              <w:rPr>
                <w:rFonts w:ascii="Times New Roman" w:hAnsi="Times New Roman" w:cs="Times New Roman" w:eastAsia="Times New Roman" w:hint="default"/>
                <w:sz w:val="13"/>
                <w:szCs w:val="13"/>
              </w:rPr>
            </w:pPr>
            <w:r>
              <w:rPr>
                <w:rFonts w:ascii="Times New Roman"/>
                <w:sz w:val="13"/>
              </w:rPr>
              <w:t>TongFang</w:t>
            </w:r>
            <w:r>
              <w:rPr>
                <w:rFonts w:ascii="Times New Roman"/>
                <w:spacing w:val="-11"/>
                <w:sz w:val="13"/>
              </w:rPr>
              <w:t> </w:t>
            </w:r>
            <w:r>
              <w:rPr>
                <w:rFonts w:ascii="Times New Roman"/>
                <w:sz w:val="13"/>
              </w:rPr>
              <w:t>Asia</w:t>
            </w:r>
            <w:r>
              <w:rPr>
                <w:rFonts w:ascii="Times New Roman"/>
                <w:spacing w:val="-3"/>
                <w:sz w:val="13"/>
              </w:rPr>
              <w:t> </w:t>
            </w:r>
            <w:r>
              <w:rPr>
                <w:rFonts w:ascii="Times New Roman"/>
                <w:sz w:val="13"/>
              </w:rPr>
              <w:t>Pacific</w:t>
            </w:r>
            <w:r>
              <w:rPr>
                <w:rFonts w:ascii="Times New Roman"/>
                <w:spacing w:val="-5"/>
                <w:sz w:val="13"/>
              </w:rPr>
              <w:t> </w:t>
            </w:r>
            <w:r>
              <w:rPr>
                <w:rFonts w:ascii="Times New Roman"/>
                <w:sz w:val="13"/>
              </w:rPr>
              <w:t>(R&amp;D</w:t>
            </w:r>
            <w:r>
              <w:rPr>
                <w:rFonts w:ascii="Times New Roman"/>
                <w:spacing w:val="-5"/>
                <w:sz w:val="13"/>
              </w:rPr>
              <w:t> </w:t>
            </w:r>
            <w:r>
              <w:rPr>
                <w:rFonts w:ascii="Times New Roman"/>
                <w:sz w:val="13"/>
              </w:rPr>
              <w:t>Center)Pte</w:t>
            </w:r>
            <w:r>
              <w:rPr>
                <w:rFonts w:ascii="Times New Roman"/>
                <w:spacing w:val="-5"/>
                <w:sz w:val="13"/>
              </w:rPr>
              <w:t> </w:t>
            </w:r>
            <w:r>
              <w:rPr>
                <w:rFonts w:ascii="Times New Roman"/>
                <w:sz w:val="13"/>
              </w:rPr>
              <w:t>Ltd.</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5"/>
              <w:jc w:val="right"/>
              <w:rPr>
                <w:rFonts w:ascii="Times New Roman" w:hAnsi="Times New Roman" w:cs="Times New Roman" w:eastAsia="Times New Roman" w:hint="default"/>
                <w:sz w:val="13"/>
                <w:szCs w:val="13"/>
              </w:rPr>
            </w:pPr>
            <w:r>
              <w:rPr>
                <w:rFonts w:ascii="Times New Roman"/>
                <w:w w:val="95"/>
                <w:sz w:val="13"/>
              </w:rPr>
              <w:t>21,772,500.00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3"/>
                <w:szCs w:val="13"/>
              </w:rPr>
            </w:pPr>
            <w:r>
              <w:rPr>
                <w:rFonts w:ascii="Times New Roman"/>
                <w:w w:val="95"/>
                <w:sz w:val="13"/>
              </w:rPr>
              <w:t>21,772,500.00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0" w:right="0"/>
              <w:jc w:val="center"/>
              <w:rPr>
                <w:rFonts w:ascii="Times New Roman" w:hAnsi="Times New Roman" w:cs="Times New Roman" w:eastAsia="Times New Roman" w:hint="default"/>
                <w:sz w:val="13"/>
                <w:szCs w:val="13"/>
              </w:rPr>
            </w:pPr>
            <w:r>
              <w:rPr>
                <w:rFonts w:ascii="Times New Roman"/>
                <w:sz w:val="13"/>
              </w:rPr>
              <w:t>21,772,500.00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同方光电科技有限公司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100.00%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80,000,000.00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80,000,000.00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80,000,000.00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北京同方吉兆科技有限公司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7"/>
              <w:jc w:val="center"/>
              <w:rPr>
                <w:rFonts w:ascii="Times New Roman" w:hAnsi="Times New Roman" w:cs="Times New Roman" w:eastAsia="Times New Roman" w:hint="default"/>
                <w:sz w:val="13"/>
                <w:szCs w:val="13"/>
              </w:rPr>
            </w:pPr>
            <w:r>
              <w:rPr>
                <w:rFonts w:ascii="Times New Roman"/>
                <w:sz w:val="13"/>
              </w:rPr>
              <w:t>85.46%</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67,771,000.00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67,771,000.00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67,771,000.00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3,845,700.00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北京高新技术创业投资股份有限公司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
              <w:jc w:val="center"/>
              <w:rPr>
                <w:rFonts w:ascii="Times New Roman" w:hAnsi="Times New Roman" w:cs="Times New Roman" w:eastAsia="Times New Roman" w:hint="default"/>
                <w:sz w:val="13"/>
                <w:szCs w:val="13"/>
              </w:rPr>
            </w:pPr>
            <w:r>
              <w:rPr>
                <w:rFonts w:ascii="Times New Roman"/>
                <w:sz w:val="13"/>
              </w:rPr>
              <w:t>3.23%</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Times New Roman" w:hAnsi="Times New Roman" w:cs="Times New Roman" w:eastAsia="Times New Roman" w:hint="default"/>
                <w:sz w:val="13"/>
                <w:szCs w:val="13"/>
              </w:rPr>
            </w:pPr>
            <w:r>
              <w:rPr>
                <w:rFonts w:ascii="Times New Roman"/>
                <w:w w:val="95"/>
                <w:sz w:val="13"/>
              </w:rPr>
              <w:t>10,000,000.00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3"/>
                <w:szCs w:val="13"/>
              </w:rPr>
            </w:pPr>
            <w:r>
              <w:rPr>
                <w:rFonts w:ascii="Times New Roman"/>
                <w:w w:val="95"/>
                <w:sz w:val="13"/>
              </w:rPr>
              <w:t>10,000,000.00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0" w:right="0"/>
              <w:jc w:val="center"/>
              <w:rPr>
                <w:rFonts w:ascii="Times New Roman" w:hAnsi="Times New Roman" w:cs="Times New Roman" w:eastAsia="Times New Roman" w:hint="default"/>
                <w:sz w:val="13"/>
                <w:szCs w:val="13"/>
              </w:rPr>
            </w:pPr>
            <w:r>
              <w:rPr>
                <w:rFonts w:ascii="Times New Roman"/>
                <w:sz w:val="13"/>
              </w:rPr>
              <w:t>10,000,000.00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8"/>
              <w:jc w:val="right"/>
              <w:rPr>
                <w:rFonts w:ascii="Times New Roman" w:hAnsi="Times New Roman" w:cs="Times New Roman" w:eastAsia="Times New Roman" w:hint="default"/>
                <w:sz w:val="13"/>
                <w:szCs w:val="13"/>
              </w:rPr>
            </w:pPr>
            <w:r>
              <w:rPr>
                <w:rFonts w:ascii="Times New Roman"/>
                <w:w w:val="95"/>
                <w:sz w:val="13"/>
              </w:rPr>
              <w:t>143,541.14</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武汉国际会展中心股份有限公司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7"/>
              <w:jc w:val="center"/>
              <w:rPr>
                <w:rFonts w:ascii="Times New Roman" w:hAnsi="Times New Roman" w:cs="Times New Roman" w:eastAsia="Times New Roman" w:hint="default"/>
                <w:sz w:val="13"/>
                <w:szCs w:val="13"/>
              </w:rPr>
            </w:pPr>
            <w:r>
              <w:rPr>
                <w:rFonts w:ascii="Times New Roman"/>
                <w:sz w:val="13"/>
              </w:rPr>
              <w:t>2.21%</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5,000,000.00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5,000,000.00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5" w:right="0"/>
              <w:jc w:val="center"/>
              <w:rPr>
                <w:rFonts w:ascii="Times New Roman" w:hAnsi="Times New Roman" w:cs="Times New Roman" w:eastAsia="Times New Roman" w:hint="default"/>
                <w:sz w:val="13"/>
                <w:szCs w:val="13"/>
              </w:rPr>
            </w:pPr>
            <w:r>
              <w:rPr>
                <w:rFonts w:ascii="Times New Roman"/>
                <w:sz w:val="13"/>
              </w:rPr>
              <w:t>5,000,000.00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北京首开亿信置业股份有限公司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7"/>
              <w:jc w:val="center"/>
              <w:rPr>
                <w:rFonts w:ascii="Times New Roman" w:hAnsi="Times New Roman" w:cs="Times New Roman" w:eastAsia="Times New Roman" w:hint="default"/>
                <w:sz w:val="13"/>
                <w:szCs w:val="13"/>
              </w:rPr>
            </w:pPr>
            <w:r>
              <w:rPr>
                <w:rFonts w:ascii="Times New Roman"/>
                <w:sz w:val="13"/>
              </w:rPr>
              <w:t>0.31%</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1,540,000.00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1,540,000.00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5" w:right="0"/>
              <w:jc w:val="center"/>
              <w:rPr>
                <w:rFonts w:ascii="Times New Roman" w:hAnsi="Times New Roman" w:cs="Times New Roman" w:eastAsia="Times New Roman" w:hint="default"/>
                <w:sz w:val="13"/>
                <w:szCs w:val="13"/>
              </w:rPr>
            </w:pPr>
            <w:r>
              <w:rPr>
                <w:rFonts w:ascii="Times New Roman"/>
                <w:sz w:val="13"/>
              </w:rPr>
              <w:t>1,540,000.00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启迪控股股份有限公司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7"/>
              <w:jc w:val="center"/>
              <w:rPr>
                <w:rFonts w:ascii="Times New Roman" w:hAnsi="Times New Roman" w:cs="Times New Roman" w:eastAsia="Times New Roman" w:hint="default"/>
                <w:sz w:val="13"/>
                <w:szCs w:val="13"/>
              </w:rPr>
            </w:pPr>
            <w:r>
              <w:rPr>
                <w:rFonts w:ascii="Times New Roman"/>
                <w:sz w:val="13"/>
              </w:rPr>
              <w:t>0.52%</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2,500,000.00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2,500,000.00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5" w:right="0"/>
              <w:jc w:val="center"/>
              <w:rPr>
                <w:rFonts w:ascii="Times New Roman" w:hAnsi="Times New Roman" w:cs="Times New Roman" w:eastAsia="Times New Roman" w:hint="default"/>
                <w:sz w:val="13"/>
                <w:szCs w:val="13"/>
              </w:rPr>
            </w:pPr>
            <w:r>
              <w:rPr>
                <w:rFonts w:ascii="Times New Roman"/>
                <w:sz w:val="13"/>
              </w:rPr>
              <w:t>2,500,000.00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198,450.00</w:t>
            </w:r>
            <w:r>
              <w:rPr>
                <w:rFonts w:ascii="Times New Roman"/>
                <w:sz w:val="13"/>
              </w:rPr>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0" w:right="0"/>
              <w:jc w:val="left"/>
              <w:rPr>
                <w:rFonts w:ascii="楷体" w:hAnsi="楷体" w:cs="楷体" w:eastAsia="楷体" w:hint="default"/>
                <w:sz w:val="13"/>
                <w:szCs w:val="13"/>
              </w:rPr>
            </w:pPr>
            <w:r>
              <w:rPr>
                <w:rFonts w:ascii="楷体" w:hAnsi="楷体" w:cs="楷体" w:eastAsia="楷体" w:hint="default"/>
                <w:sz w:val="13"/>
                <w:szCs w:val="13"/>
              </w:rPr>
              <w:t>航天科工卫星技术有限公司</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
              <w:jc w:val="center"/>
              <w:rPr>
                <w:rFonts w:ascii="Times New Roman" w:hAnsi="Times New Roman" w:cs="Times New Roman" w:eastAsia="Times New Roman" w:hint="default"/>
                <w:sz w:val="13"/>
                <w:szCs w:val="13"/>
              </w:rPr>
            </w:pPr>
            <w:r>
              <w:rPr>
                <w:rFonts w:ascii="Times New Roman"/>
                <w:sz w:val="13"/>
              </w:rPr>
              <w:t>13.74%</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10,300,000.00</w:t>
            </w:r>
            <w:r>
              <w:rPr>
                <w:rFonts w:ascii="Times New Roman"/>
                <w:sz w:val="13"/>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3"/>
                <w:szCs w:val="13"/>
              </w:rPr>
            </w:pPr>
            <w:r>
              <w:rPr>
                <w:rFonts w:ascii="Times New Roman"/>
                <w:w w:val="95"/>
                <w:sz w:val="13"/>
              </w:rPr>
              <w:t>13,260,636.40</w:t>
            </w:r>
            <w:r>
              <w:rPr>
                <w:rFonts w:ascii="Times New Roman"/>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Times New Roman" w:hAnsi="Times New Roman" w:cs="Times New Roman" w:eastAsia="Times New Roman" w:hint="default"/>
                <w:sz w:val="13"/>
                <w:szCs w:val="13"/>
              </w:rPr>
            </w:pPr>
            <w:r>
              <w:rPr>
                <w:rFonts w:ascii="Times New Roman"/>
                <w:sz w:val="13"/>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 w:right="0"/>
              <w:jc w:val="center"/>
              <w:rPr>
                <w:rFonts w:ascii="Times New Roman" w:hAnsi="Times New Roman" w:cs="Times New Roman" w:eastAsia="Times New Roman" w:hint="default"/>
                <w:sz w:val="13"/>
                <w:szCs w:val="13"/>
              </w:rPr>
            </w:pPr>
            <w:r>
              <w:rPr>
                <w:rFonts w:ascii="Times New Roman"/>
                <w:sz w:val="13"/>
              </w:rPr>
              <w:t>13,260,636.40</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bl>
    <w:p>
      <w:pPr>
        <w:rPr>
          <w:sz w:val="2"/>
          <w:szCs w:val="2"/>
        </w:rPr>
      </w:pPr>
      <w:r>
        <w:rPr/>
        <w:pict>
          <v:group style="position:absolute;margin-left:43.98pt;margin-top:269.279999pt;width:513.5500pt;height:.1pt;mso-position-horizontal-relative:page;mso-position-vertical-relative:page;z-index:-897376" coordorigin="880,5386" coordsize="10271,2">
            <v:shape style="position:absolute;left:880;top:5386;width:10271;height:2" coordorigin="880,5386" coordsize="10271,0" path="m880,5386l11150,5386e" filled="false" stroked="true" strokeweight=".48pt" strokecolor="#000000">
              <v:path arrowok="t"/>
            </v:shape>
            <w10:wrap type="none"/>
          </v:group>
        </w:pict>
      </w:r>
      <w:r>
        <w:rPr/>
        <w:pict>
          <v:group style="position:absolute;margin-left:42.509998pt;margin-top:764.820007pt;width:516.15pt;height:1.5pt;mso-position-horizontal-relative:page;mso-position-vertical-relative:page;z-index:-897352" coordorigin="850,15296" coordsize="10323,30">
            <v:group style="position:absolute;left:865;top:15311;width:2604;height:2" coordorigin="865,15311" coordsize="2604,2">
              <v:shape style="position:absolute;left:865;top:15311;width:2604;height:2" coordorigin="865,15311" coordsize="2604,0" path="m865,15311l3469,15311e" filled="false" stroked="true" strokeweight="1.5pt" strokecolor="#000000">
                <v:path arrowok="t"/>
              </v:shape>
            </v:group>
            <v:group style="position:absolute;left:3455;top:15311;width:698;height:2" coordorigin="3455,15311" coordsize="698,2">
              <v:shape style="position:absolute;left:3455;top:15311;width:698;height:2" coordorigin="3455,15311" coordsize="698,0" path="m3455,15311l4152,15311e" filled="false" stroked="true" strokeweight="1.5pt" strokecolor="#000000">
                <v:path arrowok="t"/>
              </v:shape>
            </v:group>
            <v:group style="position:absolute;left:4138;top:15311;width:1140;height:2" coordorigin="4138,15311" coordsize="1140,2">
              <v:shape style="position:absolute;left:4138;top:15311;width:1140;height:2" coordorigin="4138,15311" coordsize="1140,0" path="m4138,15311l5278,15311e" filled="false" stroked="true" strokeweight="1.5pt" strokecolor="#000000">
                <v:path arrowok="t"/>
              </v:shape>
            </v:group>
            <v:group style="position:absolute;left:5263;top:15311;width:1140;height:2" coordorigin="5263,15311" coordsize="1140,2">
              <v:shape style="position:absolute;left:5263;top:15311;width:1140;height:2" coordorigin="5263,15311" coordsize="1140,0" path="m5263,15311l6403,15311e" filled="false" stroked="true" strokeweight="1.5pt" strokecolor="#000000">
                <v:path arrowok="t"/>
              </v:shape>
            </v:group>
            <v:group style="position:absolute;left:6389;top:15311;width:1142;height:2" coordorigin="6389,15311" coordsize="1142,2">
              <v:shape style="position:absolute;left:6389;top:15311;width:1142;height:2" coordorigin="6389,15311" coordsize="1142,0" path="m6389,15311l7530,15311e" filled="false" stroked="true" strokeweight="1.5pt" strokecolor="#000000">
                <v:path arrowok="t"/>
              </v:shape>
            </v:group>
            <v:group style="position:absolute;left:7516;top:15311;width:1043;height:2" coordorigin="7516,15311" coordsize="1043,2">
              <v:shape style="position:absolute;left:7516;top:15311;width:1043;height:2" coordorigin="7516,15311" coordsize="1043,0" path="m7516,15311l8558,15311e" filled="false" stroked="true" strokeweight="1.5pt" strokecolor="#000000">
                <v:path arrowok="t"/>
              </v:shape>
            </v:group>
            <v:group style="position:absolute;left:8544;top:15311;width:459;height:2" coordorigin="8544,15311" coordsize="459,2">
              <v:shape style="position:absolute;left:8544;top:15311;width:459;height:2" coordorigin="8544,15311" coordsize="459,0" path="m8544,15311l9002,15311e" filled="false" stroked="true" strokeweight="1.5pt" strokecolor="#000000">
                <v:path arrowok="t"/>
              </v:shape>
            </v:group>
            <v:group style="position:absolute;left:8988;top:15311;width:1140;height:2" coordorigin="8988,15311" coordsize="1140,2">
              <v:shape style="position:absolute;left:8988;top:15311;width:1140;height:2" coordorigin="8988,15311" coordsize="1140,0" path="m8988,15311l10128,15311e" filled="false" stroked="true" strokeweight="1.5pt" strokecolor="#000000">
                <v:path arrowok="t"/>
              </v:shape>
            </v:group>
            <v:group style="position:absolute;left:10114;top:15311;width:1044;height:2" coordorigin="10114,15311" coordsize="1044,2">
              <v:shape style="position:absolute;left:10114;top:15311;width:1044;height:2" coordorigin="10114,15311" coordsize="1044,0" path="m10114,15311l11158,15311e" filled="false" stroked="true" strokeweight="1.5pt" strokecolor="#000000">
                <v:path arrowok="t"/>
              </v:shape>
            </v:group>
            <w10:wrap type="none"/>
          </v:group>
        </w:pict>
      </w:r>
    </w:p>
    <w:p>
      <w:pPr>
        <w:spacing w:after="0"/>
        <w:rPr>
          <w:sz w:val="2"/>
          <w:szCs w:val="2"/>
        </w:rPr>
        <w:sectPr>
          <w:type w:val="continuous"/>
          <w:pgSz w:w="11910" w:h="16840"/>
          <w:pgMar w:top="1600" w:bottom="280" w:left="740" w:right="6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4"/>
          <w:szCs w:val="14"/>
        </w:rPr>
      </w:pPr>
    </w:p>
    <w:p>
      <w:pPr>
        <w:spacing w:line="30" w:lineRule="exact"/>
        <w:ind w:left="104"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515.0500pt;height:1.5pt;mso-position-horizontal-relative:char;mso-position-vertical-relative:line" coordorigin="0,0" coordsize="10301,30">
            <v:group style="position:absolute;left:15;top:15;width:10271;height:2" coordorigin="15,15" coordsize="10271,2">
              <v:shape style="position:absolute;left:15;top:15;width:10271;height:2" coordorigin="15,15" coordsize="10271,0" path="m15,15l10286,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after="0" w:line="30" w:lineRule="exact"/>
        <w:rPr>
          <w:rFonts w:ascii="Microsoft JhengHei" w:hAnsi="Microsoft JhengHei" w:cs="Microsoft JhengHei" w:eastAsia="Microsoft JhengHei" w:hint="default"/>
          <w:sz w:val="3"/>
          <w:szCs w:val="3"/>
        </w:rPr>
        <w:sectPr>
          <w:pgSz w:w="11910" w:h="16840"/>
          <w:pgMar w:header="610" w:footer="784" w:top="1080" w:bottom="980" w:left="760" w:right="620"/>
        </w:sectPr>
      </w:pPr>
    </w:p>
    <w:p>
      <w:pPr>
        <w:spacing w:before="66"/>
        <w:ind w:left="227" w:right="-17" w:firstLine="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被投资单位名称</w:t>
      </w:r>
      <w:r>
        <w:rPr>
          <w:rFonts w:ascii="Microsoft JhengHei" w:hAnsi="Microsoft JhengHei" w:cs="Microsoft JhengHei" w:eastAsia="Microsoft JhengHei" w:hint="default"/>
          <w:sz w:val="13"/>
          <w:szCs w:val="13"/>
        </w:rPr>
      </w:r>
    </w:p>
    <w:p>
      <w:pPr>
        <w:tabs>
          <w:tab w:pos="5227" w:val="left" w:leader="none"/>
        </w:tabs>
        <w:spacing w:line="129" w:lineRule="exact" w:before="0"/>
        <w:ind w:left="227" w:right="0" w:firstLine="0"/>
        <w:jc w:val="center"/>
        <w:rPr>
          <w:rFonts w:ascii="Microsoft JhengHei" w:hAnsi="Microsoft JhengHei" w:cs="Microsoft JhengHei" w:eastAsia="Microsoft JhengHei" w:hint="default"/>
          <w:sz w:val="10"/>
          <w:szCs w:val="10"/>
        </w:rPr>
      </w:pPr>
      <w:r>
        <w:rPr/>
        <w:br w:type="column"/>
      </w:r>
      <w:r>
        <w:rPr>
          <w:rFonts w:ascii="Microsoft JhengHei" w:hAnsi="Microsoft JhengHei" w:cs="Microsoft JhengHei" w:eastAsia="Microsoft JhengHei" w:hint="default"/>
          <w:b/>
          <w:bCs/>
          <w:sz w:val="13"/>
          <w:szCs w:val="13"/>
        </w:rPr>
        <w:t>持股</w:t>
        <w:tab/>
      </w:r>
      <w:r>
        <w:rPr>
          <w:rFonts w:ascii="Microsoft JhengHei" w:hAnsi="Microsoft JhengHei" w:cs="Microsoft JhengHei" w:eastAsia="Microsoft JhengHei" w:hint="default"/>
          <w:b/>
          <w:bCs/>
          <w:sz w:val="10"/>
          <w:szCs w:val="10"/>
        </w:rPr>
        <w:t>本年</w:t>
      </w:r>
      <w:r>
        <w:rPr>
          <w:rFonts w:ascii="Microsoft JhengHei" w:hAnsi="Microsoft JhengHei" w:cs="Microsoft JhengHei" w:eastAsia="Microsoft JhengHei" w:hint="default"/>
          <w:sz w:val="10"/>
          <w:szCs w:val="10"/>
        </w:rPr>
      </w:r>
    </w:p>
    <w:p>
      <w:pPr>
        <w:tabs>
          <w:tab w:pos="1420" w:val="left" w:leader="none"/>
          <w:tab w:pos="2676" w:val="left" w:leader="none"/>
          <w:tab w:pos="3754" w:val="left" w:leader="none"/>
        </w:tabs>
        <w:spacing w:line="163" w:lineRule="exact" w:before="0"/>
        <w:ind w:left="294" w:right="0" w:firstLine="0"/>
        <w:jc w:val="center"/>
        <w:rPr>
          <w:rFonts w:ascii="Microsoft JhengHei" w:hAnsi="Microsoft JhengHei" w:cs="Microsoft JhengHei" w:eastAsia="Microsoft JhengHei" w:hint="default"/>
          <w:sz w:val="13"/>
          <w:szCs w:val="13"/>
        </w:rPr>
      </w:pPr>
      <w:r>
        <w:rPr/>
        <w:pict>
          <v:shape style="position:absolute;margin-left:43.98pt;margin-top:5.902743pt;width:513.5500pt;height:109.6pt;mso-position-horizontal-relative:page;mso-position-vertical-relative:paragraph;z-index:4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37"/>
                    <w:gridCol w:w="1106"/>
                    <w:gridCol w:w="1142"/>
                    <w:gridCol w:w="1043"/>
                    <w:gridCol w:w="495"/>
                    <w:gridCol w:w="572"/>
                    <w:gridCol w:w="553"/>
                    <w:gridCol w:w="1022"/>
                  </w:tblGrid>
                  <w:tr>
                    <w:trPr>
                      <w:trHeight w:val="251"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145" w:lineRule="exact"/>
                          <w:ind w:left="2799"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比例</w:t>
                        </w:r>
                        <w:r>
                          <w:rPr>
                            <w:rFonts w:ascii="Microsoft JhengHei" w:hAnsi="Microsoft JhengHei" w:cs="Microsoft JhengHei" w:eastAsia="Microsoft JhengHei" w:hint="default"/>
                            <w:sz w:val="13"/>
                            <w:szCs w:val="13"/>
                          </w:rPr>
                        </w:r>
                      </w:p>
                    </w:tc>
                    <w:tc>
                      <w:tcPr>
                        <w:tcW w:w="110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495" w:type="dxa"/>
                        <w:tcBorders>
                          <w:top w:val="nil" w:sz="6" w:space="0" w:color="auto"/>
                          <w:left w:val="nil" w:sz="6" w:space="0" w:color="auto"/>
                          <w:bottom w:val="nil" w:sz="6" w:space="0" w:color="auto"/>
                          <w:right w:val="nil" w:sz="6" w:space="0" w:color="auto"/>
                        </w:tcBorders>
                      </w:tcPr>
                      <w:p>
                        <w:pPr>
                          <w:pStyle w:val="TableParagraph"/>
                          <w:spacing w:line="137" w:lineRule="exact"/>
                          <w:ind w:left="50" w:right="0"/>
                          <w:jc w:val="center"/>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减少</w:t>
                        </w:r>
                        <w:r>
                          <w:rPr>
                            <w:rFonts w:ascii="Microsoft JhengHei" w:hAnsi="Microsoft JhengHei" w:cs="Microsoft JhengHei" w:eastAsia="Microsoft JhengHei" w:hint="default"/>
                            <w:sz w:val="10"/>
                            <w:szCs w:val="10"/>
                          </w:rPr>
                        </w:r>
                      </w:p>
                    </w:tc>
                    <w:tc>
                      <w:tcPr>
                        <w:tcW w:w="572"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144" w:lineRule="exact"/>
                          <w:ind w:left="25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现金红利</w:t>
                        </w:r>
                        <w:r>
                          <w:rPr>
                            <w:rFonts w:ascii="Microsoft JhengHei" w:hAnsi="Microsoft JhengHei" w:cs="Microsoft JhengHei" w:eastAsia="Microsoft JhengHei" w:hint="default"/>
                            <w:sz w:val="13"/>
                            <w:szCs w:val="13"/>
                          </w:rPr>
                        </w:r>
                      </w:p>
                    </w:tc>
                  </w:tr>
                  <w:tr>
                    <w:trPr>
                      <w:trHeight w:val="213" w:hRule="exact"/>
                    </w:trPr>
                    <w:tc>
                      <w:tcPr>
                        <w:tcW w:w="4337" w:type="dxa"/>
                        <w:tcBorders>
                          <w:top w:val="nil" w:sz="6" w:space="0" w:color="auto"/>
                          <w:left w:val="nil" w:sz="6" w:space="0" w:color="auto"/>
                          <w:bottom w:val="nil" w:sz="6" w:space="0" w:color="auto"/>
                          <w:right w:val="nil" w:sz="6" w:space="0" w:color="auto"/>
                        </w:tcBorders>
                      </w:tcPr>
                      <w:p>
                        <w:pPr>
                          <w:pStyle w:val="TableParagraph"/>
                          <w:tabs>
                            <w:tab w:pos="2589" w:val="left" w:leader="none"/>
                            <w:tab w:pos="3435" w:val="left" w:leader="none"/>
                          </w:tabs>
                          <w:spacing w:line="139" w:lineRule="exact"/>
                          <w:ind w:right="45"/>
                          <w:jc w:val="right"/>
                          <w:rPr>
                            <w:rFonts w:ascii="Times New Roman" w:hAnsi="Times New Roman" w:cs="Times New Roman" w:eastAsia="Times New Roman" w:hint="default"/>
                            <w:sz w:val="13"/>
                            <w:szCs w:val="13"/>
                          </w:rPr>
                        </w:pPr>
                        <w:r>
                          <w:rPr>
                            <w:rFonts w:ascii="楷体" w:hAnsi="楷体" w:cs="楷体" w:eastAsia="楷体" w:hint="default"/>
                            <w:w w:val="95"/>
                            <w:sz w:val="13"/>
                            <w:szCs w:val="13"/>
                          </w:rPr>
                          <w:t>中投信用担保有限公司</w:t>
                          <w:tab/>
                        </w:r>
                        <w:r>
                          <w:rPr>
                            <w:rFonts w:ascii="Times New Roman" w:hAnsi="Times New Roman" w:cs="Times New Roman" w:eastAsia="Times New Roman" w:hint="default"/>
                            <w:w w:val="95"/>
                            <w:sz w:val="13"/>
                            <w:szCs w:val="13"/>
                          </w:rPr>
                          <w:t>1.00%</w:t>
                          <w:tab/>
                          <w:t>10,000,000.00</w:t>
                        </w:r>
                        <w:r>
                          <w:rPr>
                            <w:rFonts w:ascii="Times New Roman" w:hAnsi="Times New Roman" w:cs="Times New Roman" w:eastAsia="Times New Roman" w:hint="default"/>
                            <w:sz w:val="13"/>
                            <w:szCs w:val="13"/>
                          </w:rPr>
                        </w:r>
                      </w:p>
                    </w:tc>
                    <w:tc>
                      <w:tcPr>
                        <w:tcW w:w="1106" w:type="dxa"/>
                        <w:tcBorders>
                          <w:top w:val="nil" w:sz="6" w:space="0" w:color="auto"/>
                          <w:left w:val="nil" w:sz="6" w:space="0" w:color="auto"/>
                          <w:bottom w:val="nil" w:sz="6" w:space="0" w:color="auto"/>
                          <w:right w:val="nil" w:sz="6" w:space="0" w:color="auto"/>
                        </w:tcBorders>
                      </w:tcPr>
                      <w:p>
                        <w:pPr>
                          <w:pStyle w:val="TableParagraph"/>
                          <w:spacing w:line="139" w:lineRule="exact"/>
                          <w:ind w:right="2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142" w:type="dxa"/>
                        <w:tcBorders>
                          <w:top w:val="nil" w:sz="6" w:space="0" w:color="auto"/>
                          <w:left w:val="nil" w:sz="6" w:space="0" w:color="auto"/>
                          <w:bottom w:val="nil" w:sz="6" w:space="0" w:color="auto"/>
                          <w:right w:val="nil" w:sz="6" w:space="0" w:color="auto"/>
                        </w:tcBorders>
                      </w:tcPr>
                      <w:p>
                        <w:pPr>
                          <w:pStyle w:val="TableParagraph"/>
                          <w:spacing w:line="139" w:lineRule="exact"/>
                          <w:ind w:right="41"/>
                          <w:jc w:val="right"/>
                          <w:rPr>
                            <w:rFonts w:ascii="Times New Roman" w:hAnsi="Times New Roman" w:cs="Times New Roman" w:eastAsia="Times New Roman" w:hint="default"/>
                            <w:sz w:val="13"/>
                            <w:szCs w:val="13"/>
                          </w:rPr>
                        </w:pPr>
                        <w:r>
                          <w:rPr>
                            <w:rFonts w:ascii="Times New Roman"/>
                            <w:w w:val="95"/>
                            <w:sz w:val="13"/>
                          </w:rPr>
                          <w:t>10,000,000.00</w:t>
                        </w:r>
                        <w:r>
                          <w:rPr>
                            <w:rFonts w:ascii="Times New Roman"/>
                            <w:sz w:val="13"/>
                          </w:rPr>
                        </w:r>
                      </w:p>
                    </w:tc>
                    <w:tc>
                      <w:tcPr>
                        <w:tcW w:w="1043" w:type="dxa"/>
                        <w:tcBorders>
                          <w:top w:val="nil" w:sz="6" w:space="0" w:color="auto"/>
                          <w:left w:val="nil" w:sz="6" w:space="0" w:color="auto"/>
                          <w:bottom w:val="nil" w:sz="6" w:space="0" w:color="auto"/>
                          <w:right w:val="nil" w:sz="6" w:space="0" w:color="auto"/>
                        </w:tcBorders>
                      </w:tcPr>
                      <w:p>
                        <w:pPr>
                          <w:pStyle w:val="TableParagraph"/>
                          <w:spacing w:line="139" w:lineRule="exact"/>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5" w:type="dxa"/>
                        <w:tcBorders>
                          <w:top w:val="nil" w:sz="6" w:space="0" w:color="auto"/>
                          <w:left w:val="nil" w:sz="6" w:space="0" w:color="auto"/>
                          <w:bottom w:val="nil" w:sz="6" w:space="0" w:color="auto"/>
                          <w:right w:val="nil" w:sz="6" w:space="0" w:color="auto"/>
                        </w:tcBorders>
                      </w:tcPr>
                      <w:p>
                        <w:pPr>
                          <w:pStyle w:val="TableParagraph"/>
                          <w:spacing w:line="139" w:lineRule="exact"/>
                          <w:ind w:left="51" w:right="0"/>
                          <w:jc w:val="center"/>
                          <w:rPr>
                            <w:rFonts w:ascii="Times New Roman" w:hAnsi="Times New Roman" w:cs="Times New Roman" w:eastAsia="Times New Roman" w:hint="default"/>
                            <w:sz w:val="13"/>
                            <w:szCs w:val="13"/>
                          </w:rPr>
                        </w:pPr>
                        <w:r>
                          <w:rPr>
                            <w:rFonts w:ascii="Times New Roman"/>
                            <w:sz w:val="13"/>
                          </w:rPr>
                          <w:t>0.00</w:t>
                        </w:r>
                      </w:p>
                    </w:tc>
                    <w:tc>
                      <w:tcPr>
                        <w:tcW w:w="1126" w:type="dxa"/>
                        <w:gridSpan w:val="2"/>
                        <w:tcBorders>
                          <w:top w:val="nil" w:sz="6" w:space="0" w:color="auto"/>
                          <w:left w:val="nil" w:sz="6" w:space="0" w:color="auto"/>
                          <w:bottom w:val="nil" w:sz="6" w:space="0" w:color="auto"/>
                          <w:right w:val="nil" w:sz="6" w:space="0" w:color="auto"/>
                        </w:tcBorders>
                      </w:tcPr>
                      <w:p>
                        <w:pPr>
                          <w:pStyle w:val="TableParagraph"/>
                          <w:spacing w:line="139" w:lineRule="exact"/>
                          <w:ind w:left="270" w:right="0"/>
                          <w:jc w:val="left"/>
                          <w:rPr>
                            <w:rFonts w:ascii="Times New Roman" w:hAnsi="Times New Roman" w:cs="Times New Roman" w:eastAsia="Times New Roman" w:hint="default"/>
                            <w:sz w:val="13"/>
                            <w:szCs w:val="13"/>
                          </w:rPr>
                        </w:pPr>
                        <w:r>
                          <w:rPr>
                            <w:rFonts w:ascii="Times New Roman"/>
                            <w:sz w:val="13"/>
                          </w:rPr>
                          <w:t>10,000,000.00</w:t>
                        </w:r>
                      </w:p>
                    </w:tc>
                    <w:tc>
                      <w:tcPr>
                        <w:tcW w:w="1022" w:type="dxa"/>
                        <w:tcBorders>
                          <w:top w:val="nil" w:sz="6" w:space="0" w:color="auto"/>
                          <w:left w:val="nil" w:sz="6" w:space="0" w:color="auto"/>
                          <w:bottom w:val="nil" w:sz="6" w:space="0" w:color="auto"/>
                          <w:right w:val="nil" w:sz="6" w:space="0" w:color="auto"/>
                        </w:tcBorders>
                      </w:tcPr>
                      <w:p>
                        <w:pPr>
                          <w:pStyle w:val="TableParagraph"/>
                          <w:spacing w:line="139" w:lineRule="exact"/>
                          <w:ind w:right="100"/>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80" w:hRule="exact"/>
                    </w:trPr>
                    <w:tc>
                      <w:tcPr>
                        <w:tcW w:w="4337" w:type="dxa"/>
                        <w:tcBorders>
                          <w:top w:val="nil" w:sz="6" w:space="0" w:color="auto"/>
                          <w:left w:val="nil" w:sz="6" w:space="0" w:color="auto"/>
                          <w:bottom w:val="nil" w:sz="6" w:space="0" w:color="auto"/>
                          <w:right w:val="nil" w:sz="6" w:space="0" w:color="auto"/>
                        </w:tcBorders>
                      </w:tcPr>
                      <w:p>
                        <w:pPr>
                          <w:pStyle w:val="TableParagraph"/>
                          <w:tabs>
                            <w:tab w:pos="2589" w:val="left" w:leader="none"/>
                            <w:tab w:pos="3435" w:val="left" w:leader="none"/>
                          </w:tabs>
                          <w:spacing w:line="240" w:lineRule="auto" w:before="59"/>
                          <w:ind w:right="45"/>
                          <w:jc w:val="right"/>
                          <w:rPr>
                            <w:rFonts w:ascii="Times New Roman" w:hAnsi="Times New Roman" w:cs="Times New Roman" w:eastAsia="Times New Roman" w:hint="default"/>
                            <w:sz w:val="13"/>
                            <w:szCs w:val="13"/>
                          </w:rPr>
                        </w:pPr>
                        <w:r>
                          <w:rPr>
                            <w:rFonts w:ascii="Times New Roman"/>
                            <w:w w:val="95"/>
                            <w:sz w:val="13"/>
                          </w:rPr>
                          <w:t>LegendSiliconCorp.</w:t>
                          <w:tab/>
                          <w:t>8.49%</w:t>
                          <w:tab/>
                          <w:t>18,404,728.00</w:t>
                        </w:r>
                        <w:r>
                          <w:rPr>
                            <w:rFonts w:ascii="Times New Roman"/>
                            <w:sz w:val="13"/>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1"/>
                          <w:jc w:val="right"/>
                          <w:rPr>
                            <w:rFonts w:ascii="Times New Roman" w:hAnsi="Times New Roman" w:cs="Times New Roman" w:eastAsia="Times New Roman" w:hint="default"/>
                            <w:sz w:val="13"/>
                            <w:szCs w:val="13"/>
                          </w:rPr>
                        </w:pPr>
                        <w:r>
                          <w:rPr>
                            <w:rFonts w:ascii="Times New Roman"/>
                            <w:w w:val="95"/>
                            <w:sz w:val="13"/>
                          </w:rPr>
                          <w:t>18,404,728.00</w:t>
                        </w:r>
                        <w:r>
                          <w:rPr>
                            <w:rFonts w:ascii="Times New Roman"/>
                            <w:sz w:val="13"/>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1" w:right="0"/>
                          <w:jc w:val="center"/>
                          <w:rPr>
                            <w:rFonts w:ascii="Times New Roman" w:hAnsi="Times New Roman" w:cs="Times New Roman" w:eastAsia="Times New Roman" w:hint="default"/>
                            <w:sz w:val="13"/>
                            <w:szCs w:val="13"/>
                          </w:rPr>
                        </w:pPr>
                        <w:r>
                          <w:rPr>
                            <w:rFonts w:ascii="Times New Roman"/>
                            <w:sz w:val="13"/>
                          </w:rPr>
                          <w:t>0.00</w:t>
                        </w:r>
                      </w:p>
                    </w:tc>
                    <w:tc>
                      <w:tcPr>
                        <w:tcW w:w="11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270" w:right="0"/>
                          <w:jc w:val="left"/>
                          <w:rPr>
                            <w:rFonts w:ascii="Times New Roman" w:hAnsi="Times New Roman" w:cs="Times New Roman" w:eastAsia="Times New Roman" w:hint="default"/>
                            <w:sz w:val="13"/>
                            <w:szCs w:val="13"/>
                          </w:rPr>
                        </w:pPr>
                        <w:r>
                          <w:rPr>
                            <w:rFonts w:ascii="Times New Roman"/>
                            <w:sz w:val="13"/>
                          </w:rPr>
                          <w:t>18,404,728.00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0"/>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72" w:hRule="exact"/>
                    </w:trPr>
                    <w:tc>
                      <w:tcPr>
                        <w:tcW w:w="4337" w:type="dxa"/>
                        <w:tcBorders>
                          <w:top w:val="nil" w:sz="6" w:space="0" w:color="auto"/>
                          <w:left w:val="nil" w:sz="6" w:space="0" w:color="auto"/>
                          <w:bottom w:val="single" w:sz="4" w:space="0" w:color="000000"/>
                          <w:right w:val="nil" w:sz="6" w:space="0" w:color="auto"/>
                        </w:tcBorders>
                      </w:tcPr>
                      <w:p>
                        <w:pPr>
                          <w:pStyle w:val="TableParagraph"/>
                          <w:tabs>
                            <w:tab w:pos="2589" w:val="left" w:leader="none"/>
                            <w:tab w:pos="3500" w:val="left" w:leader="none"/>
                          </w:tabs>
                          <w:spacing w:line="240" w:lineRule="auto" w:before="32"/>
                          <w:ind w:right="45"/>
                          <w:jc w:val="right"/>
                          <w:rPr>
                            <w:rFonts w:ascii="Times New Roman" w:hAnsi="Times New Roman" w:cs="Times New Roman" w:eastAsia="Times New Roman" w:hint="default"/>
                            <w:sz w:val="13"/>
                            <w:szCs w:val="13"/>
                          </w:rPr>
                        </w:pPr>
                        <w:r>
                          <w:rPr>
                            <w:rFonts w:ascii="楷体" w:hAnsi="楷体" w:cs="楷体" w:eastAsia="楷体" w:hint="default"/>
                            <w:w w:val="95"/>
                            <w:sz w:val="13"/>
                            <w:szCs w:val="13"/>
                          </w:rPr>
                          <w:t>同方（哈尔滨）水务有限公司</w:t>
                          <w:tab/>
                        </w:r>
                        <w:r>
                          <w:rPr>
                            <w:rFonts w:ascii="Times New Roman" w:hAnsi="Times New Roman" w:cs="Times New Roman" w:eastAsia="Times New Roman" w:hint="default"/>
                            <w:w w:val="95"/>
                            <w:sz w:val="13"/>
                            <w:szCs w:val="13"/>
                          </w:rPr>
                          <w:t>10.00%</w:t>
                          <w:tab/>
                          <w:t>7,500,000.00</w:t>
                        </w:r>
                        <w:r>
                          <w:rPr>
                            <w:rFonts w:ascii="Times New Roman" w:hAnsi="Times New Roman" w:cs="Times New Roman" w:eastAsia="Times New Roman" w:hint="default"/>
                            <w:sz w:val="13"/>
                            <w:szCs w:val="13"/>
                          </w:rPr>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41"/>
                          <w:jc w:val="right"/>
                          <w:rPr>
                            <w:rFonts w:ascii="Times New Roman" w:hAnsi="Times New Roman" w:cs="Times New Roman" w:eastAsia="Times New Roman" w:hint="default"/>
                            <w:sz w:val="13"/>
                            <w:szCs w:val="13"/>
                          </w:rPr>
                        </w:pPr>
                        <w:r>
                          <w:rPr>
                            <w:rFonts w:ascii="Times New Roman"/>
                            <w:w w:val="95"/>
                            <w:sz w:val="13"/>
                          </w:rPr>
                          <w:t>7,500,000.00</w:t>
                        </w:r>
                        <w:r>
                          <w:rPr>
                            <w:rFonts w:ascii="Times New Roman"/>
                            <w:sz w:val="13"/>
                          </w:rPr>
                        </w:r>
                      </w:p>
                    </w:tc>
                    <w:tc>
                      <w:tcPr>
                        <w:tcW w:w="1043"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495"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left="51" w:right="0"/>
                          <w:jc w:val="center"/>
                          <w:rPr>
                            <w:rFonts w:ascii="Times New Roman" w:hAnsi="Times New Roman" w:cs="Times New Roman" w:eastAsia="Times New Roman" w:hint="default"/>
                            <w:sz w:val="13"/>
                            <w:szCs w:val="13"/>
                          </w:rPr>
                        </w:pPr>
                        <w:r>
                          <w:rPr>
                            <w:rFonts w:ascii="Times New Roman"/>
                            <w:sz w:val="13"/>
                          </w:rPr>
                          <w:t>0.00</w:t>
                        </w:r>
                      </w:p>
                    </w:tc>
                    <w:tc>
                      <w:tcPr>
                        <w:tcW w:w="11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3"/>
                          <w:ind w:left="335" w:right="0"/>
                          <w:jc w:val="left"/>
                          <w:rPr>
                            <w:rFonts w:ascii="Times New Roman" w:hAnsi="Times New Roman" w:cs="Times New Roman" w:eastAsia="Times New Roman" w:hint="default"/>
                            <w:sz w:val="13"/>
                            <w:szCs w:val="13"/>
                          </w:rPr>
                        </w:pPr>
                        <w:r>
                          <w:rPr>
                            <w:rFonts w:ascii="Times New Roman"/>
                            <w:sz w:val="13"/>
                          </w:rPr>
                          <w:t>7,500,000.00</w:t>
                        </w:r>
                      </w:p>
                    </w:tc>
                    <w:tc>
                      <w:tcPr>
                        <w:tcW w:w="102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0"/>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303" w:hRule="exact"/>
                    </w:trPr>
                    <w:tc>
                      <w:tcPr>
                        <w:tcW w:w="4337" w:type="dxa"/>
                        <w:tcBorders>
                          <w:top w:val="single" w:sz="4" w:space="0" w:color="000000"/>
                          <w:left w:val="nil" w:sz="6" w:space="0" w:color="auto"/>
                          <w:bottom w:val="single" w:sz="12" w:space="0" w:color="000000"/>
                          <w:right w:val="nil" w:sz="6" w:space="0" w:color="auto"/>
                        </w:tcBorders>
                      </w:tcPr>
                      <w:p>
                        <w:pPr>
                          <w:pStyle w:val="TableParagraph"/>
                          <w:tabs>
                            <w:tab w:pos="3273" w:val="left" w:leader="none"/>
                          </w:tabs>
                          <w:spacing w:line="240" w:lineRule="auto" w:before="7"/>
                          <w:ind w:right="45"/>
                          <w:jc w:val="right"/>
                          <w:rPr>
                            <w:rFonts w:ascii="Times New Roman" w:hAnsi="Times New Roman" w:cs="Times New Roman" w:eastAsia="Times New Roman" w:hint="default"/>
                            <w:sz w:val="13"/>
                            <w:szCs w:val="13"/>
                          </w:rPr>
                        </w:pPr>
                        <w:r>
                          <w:rPr>
                            <w:rFonts w:ascii="Microsoft JhengHei" w:hAnsi="Microsoft JhengHei" w:cs="Microsoft JhengHei" w:eastAsia="Microsoft JhengHei" w:hint="default"/>
                            <w:b/>
                            <w:bCs/>
                            <w:sz w:val="13"/>
                            <w:szCs w:val="13"/>
                          </w:rPr>
                          <w:t>合计</w:t>
                          <w:tab/>
                        </w:r>
                        <w:r>
                          <w:rPr>
                            <w:rFonts w:ascii="Times New Roman" w:hAnsi="Times New Roman" w:cs="Times New Roman" w:eastAsia="Times New Roman" w:hint="default"/>
                            <w:b/>
                            <w:bCs/>
                            <w:w w:val="95"/>
                            <w:sz w:val="13"/>
                            <w:szCs w:val="13"/>
                          </w:rPr>
                          <w:t>1,073,414,675.06</w:t>
                        </w:r>
                        <w:r>
                          <w:rPr>
                            <w:rFonts w:ascii="Times New Roman" w:hAnsi="Times New Roman" w:cs="Times New Roman" w:eastAsia="Times New Roman" w:hint="default"/>
                            <w:sz w:val="13"/>
                            <w:szCs w:val="13"/>
                          </w:rPr>
                        </w:r>
                      </w:p>
                    </w:tc>
                    <w:tc>
                      <w:tcPr>
                        <w:tcW w:w="1106"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25"/>
                          <w:jc w:val="right"/>
                          <w:rPr>
                            <w:rFonts w:ascii="Times New Roman" w:hAnsi="Times New Roman" w:cs="Times New Roman" w:eastAsia="Times New Roman" w:hint="default"/>
                            <w:sz w:val="13"/>
                            <w:szCs w:val="13"/>
                          </w:rPr>
                        </w:pPr>
                        <w:r>
                          <w:rPr>
                            <w:rFonts w:ascii="Times New Roman"/>
                            <w:b/>
                            <w:w w:val="95"/>
                            <w:sz w:val="13"/>
                          </w:rPr>
                          <w:t>1,439,948,399.80</w:t>
                        </w:r>
                        <w:r>
                          <w:rPr>
                            <w:rFonts w:ascii="Times New Roman"/>
                            <w:sz w:val="13"/>
                          </w:rPr>
                        </w:r>
                      </w:p>
                    </w:tc>
                    <w:tc>
                      <w:tcPr>
                        <w:tcW w:w="1142"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41"/>
                          <w:jc w:val="right"/>
                          <w:rPr>
                            <w:rFonts w:ascii="Times New Roman" w:hAnsi="Times New Roman" w:cs="Times New Roman" w:eastAsia="Times New Roman" w:hint="default"/>
                            <w:sz w:val="13"/>
                            <w:szCs w:val="13"/>
                          </w:rPr>
                        </w:pPr>
                        <w:r>
                          <w:rPr>
                            <w:rFonts w:ascii="Times New Roman"/>
                            <w:b/>
                            <w:w w:val="95"/>
                            <w:sz w:val="13"/>
                          </w:rPr>
                          <w:t>1,871,591,155.55</w:t>
                        </w:r>
                        <w:r>
                          <w:rPr>
                            <w:rFonts w:ascii="Times New Roman"/>
                            <w:sz w:val="13"/>
                          </w:rPr>
                        </w:r>
                      </w:p>
                    </w:tc>
                    <w:tc>
                      <w:tcPr>
                        <w:tcW w:w="1043"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55"/>
                          <w:jc w:val="right"/>
                          <w:rPr>
                            <w:rFonts w:ascii="Times New Roman" w:hAnsi="Times New Roman" w:cs="Times New Roman" w:eastAsia="Times New Roman" w:hint="default"/>
                            <w:sz w:val="13"/>
                            <w:szCs w:val="13"/>
                          </w:rPr>
                        </w:pPr>
                        <w:r>
                          <w:rPr>
                            <w:rFonts w:ascii="Times New Roman"/>
                            <w:b/>
                            <w:w w:val="95"/>
                            <w:sz w:val="13"/>
                          </w:rPr>
                          <w:t>660,306,826.28</w:t>
                        </w:r>
                        <w:r>
                          <w:rPr>
                            <w:rFonts w:ascii="Times New Roman"/>
                            <w:sz w:val="13"/>
                          </w:rPr>
                        </w:r>
                      </w:p>
                    </w:tc>
                    <w:tc>
                      <w:tcPr>
                        <w:tcW w:w="495"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left="51" w:right="0"/>
                          <w:jc w:val="center"/>
                          <w:rPr>
                            <w:rFonts w:ascii="Times New Roman" w:hAnsi="Times New Roman" w:cs="Times New Roman" w:eastAsia="Times New Roman" w:hint="default"/>
                            <w:sz w:val="13"/>
                            <w:szCs w:val="13"/>
                          </w:rPr>
                        </w:pPr>
                        <w:r>
                          <w:rPr>
                            <w:rFonts w:ascii="Times New Roman"/>
                            <w:b/>
                            <w:sz w:val="13"/>
                          </w:rPr>
                          <w:t>0.00</w:t>
                        </w:r>
                        <w:r>
                          <w:rPr>
                            <w:rFonts w:ascii="Times New Roman"/>
                            <w:sz w:val="13"/>
                          </w:rPr>
                        </w:r>
                      </w:p>
                    </w:tc>
                    <w:tc>
                      <w:tcPr>
                        <w:tcW w:w="1126"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79"/>
                          <w:ind w:left="108" w:right="0"/>
                          <w:jc w:val="left"/>
                          <w:rPr>
                            <w:rFonts w:ascii="Times New Roman" w:hAnsi="Times New Roman" w:cs="Times New Roman" w:eastAsia="Times New Roman" w:hint="default"/>
                            <w:sz w:val="13"/>
                            <w:szCs w:val="13"/>
                          </w:rPr>
                        </w:pPr>
                        <w:r>
                          <w:rPr>
                            <w:rFonts w:ascii="Times New Roman"/>
                            <w:b/>
                            <w:sz w:val="13"/>
                          </w:rPr>
                          <w:t>2,531,897,981.83</w:t>
                        </w:r>
                        <w:r>
                          <w:rPr>
                            <w:rFonts w:ascii="Times New Roman"/>
                            <w:sz w:val="13"/>
                          </w:rPr>
                        </w:r>
                      </w:p>
                    </w:tc>
                    <w:tc>
                      <w:tcPr>
                        <w:tcW w:w="1022"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left="108" w:right="0"/>
                          <w:jc w:val="left"/>
                          <w:rPr>
                            <w:rFonts w:ascii="Times New Roman" w:hAnsi="Times New Roman" w:cs="Times New Roman" w:eastAsia="Times New Roman" w:hint="default"/>
                            <w:sz w:val="13"/>
                            <w:szCs w:val="13"/>
                          </w:rPr>
                        </w:pPr>
                        <w:r>
                          <w:rPr>
                            <w:rFonts w:ascii="Times New Roman"/>
                            <w:b/>
                            <w:sz w:val="13"/>
                          </w:rPr>
                          <w:t>246,474,530.89</w:t>
                        </w:r>
                        <w:r>
                          <w:rPr>
                            <w:rFonts w:ascii="Times New Roman"/>
                            <w:sz w:val="13"/>
                          </w:rPr>
                        </w:r>
                      </w:p>
                    </w:tc>
                  </w:tr>
                  <w:tr>
                    <w:trPr>
                      <w:trHeight w:val="873" w:hRule="exact"/>
                    </w:trPr>
                    <w:tc>
                      <w:tcPr>
                        <w:tcW w:w="4337"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992"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按权益法核算的长期股权投资</w:t>
                        </w:r>
                      </w:p>
                      <w:p>
                        <w:pPr>
                          <w:pStyle w:val="TableParagraph"/>
                          <w:tabs>
                            <w:tab w:pos="3387" w:val="left" w:leader="none"/>
                          </w:tabs>
                          <w:spacing w:line="240" w:lineRule="auto" w:before="98"/>
                          <w:ind w:left="53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被投资单位名称</w:t>
                          <w:tab/>
                        </w:r>
                        <w:r>
                          <w:rPr>
                            <w:rFonts w:ascii="Microsoft JhengHei" w:hAnsi="Microsoft JhengHei" w:cs="Microsoft JhengHei" w:eastAsia="Microsoft JhengHei" w:hint="default"/>
                            <w:b/>
                            <w:bCs/>
                            <w:position w:val="10"/>
                            <w:sz w:val="16"/>
                            <w:szCs w:val="16"/>
                          </w:rPr>
                          <w:t>持股</w:t>
                        </w:r>
                        <w:r>
                          <w:rPr>
                            <w:rFonts w:ascii="Microsoft JhengHei" w:hAnsi="Microsoft JhengHei" w:cs="Microsoft JhengHei" w:eastAsia="Microsoft JhengHei" w:hint="default"/>
                            <w:sz w:val="16"/>
                            <w:szCs w:val="16"/>
                          </w:rPr>
                        </w:r>
                      </w:p>
                    </w:tc>
                    <w:tc>
                      <w:tcPr>
                        <w:tcW w:w="110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spacing w:line="240" w:lineRule="auto"/>
                          <w:ind w:left="3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初始</w:t>
                        </w:r>
                        <w:r>
                          <w:rPr>
                            <w:rFonts w:ascii="Microsoft JhengHei" w:hAnsi="Microsoft JhengHei" w:cs="Microsoft JhengHei" w:eastAsia="Microsoft JhengHei" w:hint="default"/>
                            <w:sz w:val="16"/>
                            <w:szCs w:val="16"/>
                          </w:rPr>
                        </w:r>
                      </w:p>
                    </w:tc>
                    <w:tc>
                      <w:tcPr>
                        <w:tcW w:w="1142"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spacing w:line="240" w:lineRule="auto"/>
                          <w:ind w:left="2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追加</w:t>
                        </w:r>
                        <w:r>
                          <w:rPr>
                            <w:rFonts w:ascii="Microsoft JhengHei" w:hAnsi="Microsoft JhengHei" w:cs="Microsoft JhengHei" w:eastAsia="Microsoft JhengHei" w:hint="default"/>
                            <w:sz w:val="16"/>
                            <w:szCs w:val="16"/>
                          </w:rPr>
                        </w:r>
                      </w:p>
                    </w:tc>
                    <w:tc>
                      <w:tcPr>
                        <w:tcW w:w="104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spacing w:line="240" w:lineRule="auto"/>
                          <w:ind w:left="4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w:t>
                        </w:r>
                        <w:r>
                          <w:rPr>
                            <w:rFonts w:ascii="Microsoft JhengHei" w:hAnsi="Microsoft JhengHei" w:cs="Microsoft JhengHei" w:eastAsia="Microsoft JhengHei" w:hint="default"/>
                            <w:sz w:val="16"/>
                            <w:szCs w:val="16"/>
                          </w:rPr>
                        </w:r>
                      </w:p>
                    </w:tc>
                    <w:tc>
                      <w:tcPr>
                        <w:tcW w:w="2643" w:type="dxa"/>
                        <w:gridSpan w:val="4"/>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6"/>
                            <w:szCs w:val="16"/>
                          </w:rPr>
                        </w:pPr>
                      </w:p>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tabs>
                            <w:tab w:pos="1434" w:val="left" w:leader="none"/>
                          </w:tabs>
                          <w:spacing w:line="240" w:lineRule="auto"/>
                          <w:ind w:left="21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本年</w:t>
                          <w:tab/>
                          <w:t>年末</w:t>
                        </w:r>
                        <w:r>
                          <w:rPr>
                            <w:rFonts w:ascii="Microsoft JhengHei" w:hAnsi="Microsoft JhengHei" w:cs="Microsoft JhengHei" w:eastAsia="Microsoft JhengHei" w:hint="default"/>
                            <w:sz w:val="16"/>
                            <w:szCs w:val="16"/>
                          </w:rPr>
                        </w:r>
                      </w:p>
                    </w:tc>
                  </w:tr>
                </w:tbl>
                <w:p>
                  <w:pPr/>
                </w:p>
              </w:txbxContent>
            </v:textbox>
            <w10:wrap type="none"/>
          </v:shape>
        </w:pict>
      </w:r>
      <w:r>
        <w:rPr>
          <w:rFonts w:ascii="Microsoft JhengHei" w:hAnsi="Microsoft JhengHei" w:cs="Microsoft JhengHei" w:eastAsia="Microsoft JhengHei" w:hint="default"/>
          <w:b/>
          <w:bCs/>
          <w:sz w:val="13"/>
          <w:szCs w:val="13"/>
        </w:rPr>
        <w:t>初始投资金额</w:t>
        <w:tab/>
        <w:t>累计追加投资</w:t>
        <w:tab/>
        <w:t>年初金额</w:t>
        <w:tab/>
        <w:t>本年增加</w:t>
      </w:r>
      <w:r>
        <w:rPr>
          <w:rFonts w:ascii="Microsoft JhengHei" w:hAnsi="Microsoft JhengHei" w:cs="Microsoft JhengHei" w:eastAsia="Microsoft JhengHei" w:hint="default"/>
          <w:sz w:val="13"/>
          <w:szCs w:val="13"/>
        </w:rPr>
      </w:r>
    </w:p>
    <w:p>
      <w:pPr>
        <w:spacing w:before="66"/>
        <w:ind w:left="227" w:right="-17" w:firstLine="0"/>
        <w:jc w:val="left"/>
        <w:rPr>
          <w:rFonts w:ascii="Microsoft JhengHei" w:hAnsi="Microsoft JhengHei" w:cs="Microsoft JhengHei" w:eastAsia="Microsoft JhengHei" w:hint="default"/>
          <w:sz w:val="13"/>
          <w:szCs w:val="13"/>
        </w:rPr>
      </w:pPr>
      <w:r>
        <w:rPr/>
        <w:br w:type="column"/>
      </w:r>
      <w:r>
        <w:rPr>
          <w:rFonts w:ascii="Microsoft JhengHei" w:hAnsi="Microsoft JhengHei" w:cs="Microsoft JhengHei" w:eastAsia="Microsoft JhengHei" w:hint="default"/>
          <w:b/>
          <w:bCs/>
          <w:sz w:val="13"/>
          <w:szCs w:val="13"/>
        </w:rPr>
        <w:t>年末金额</w:t>
      </w:r>
      <w:r>
        <w:rPr>
          <w:rFonts w:ascii="Microsoft JhengHei" w:hAnsi="Microsoft JhengHei" w:cs="Microsoft JhengHei" w:eastAsia="Microsoft JhengHei" w:hint="default"/>
          <w:sz w:val="13"/>
          <w:szCs w:val="13"/>
        </w:rPr>
      </w:r>
    </w:p>
    <w:p>
      <w:pPr>
        <w:spacing w:line="193" w:lineRule="exact" w:before="0"/>
        <w:ind w:left="227" w:right="0" w:firstLine="0"/>
        <w:jc w:val="left"/>
        <w:rPr>
          <w:rFonts w:ascii="Microsoft JhengHei" w:hAnsi="Microsoft JhengHei" w:cs="Microsoft JhengHei" w:eastAsia="Microsoft JhengHei" w:hint="default"/>
          <w:sz w:val="13"/>
          <w:szCs w:val="13"/>
        </w:rPr>
      </w:pPr>
      <w:r>
        <w:rPr/>
        <w:br w:type="column"/>
      </w:r>
      <w:r>
        <w:rPr>
          <w:rFonts w:ascii="Microsoft JhengHei" w:hAnsi="Microsoft JhengHei" w:cs="Microsoft JhengHei" w:eastAsia="Microsoft JhengHei" w:hint="default"/>
          <w:b/>
          <w:bCs/>
          <w:sz w:val="13"/>
          <w:szCs w:val="13"/>
        </w:rPr>
        <w:t>当年分得的</w:t>
      </w:r>
      <w:r>
        <w:rPr>
          <w:rFonts w:ascii="Microsoft JhengHei" w:hAnsi="Microsoft JhengHei" w:cs="Microsoft JhengHei" w:eastAsia="Microsoft JhengHei" w:hint="default"/>
          <w:sz w:val="13"/>
          <w:szCs w:val="13"/>
        </w:rPr>
      </w:r>
    </w:p>
    <w:p>
      <w:pPr>
        <w:spacing w:after="0" w:line="193" w:lineRule="exact"/>
        <w:jc w:val="left"/>
        <w:rPr>
          <w:rFonts w:ascii="Microsoft JhengHei" w:hAnsi="Microsoft JhengHei" w:cs="Microsoft JhengHei" w:eastAsia="Microsoft JhengHei" w:hint="default"/>
          <w:sz w:val="13"/>
          <w:szCs w:val="13"/>
        </w:rPr>
        <w:sectPr>
          <w:type w:val="continuous"/>
          <w:pgSz w:w="11910" w:h="16840"/>
          <w:pgMar w:top="1600" w:bottom="280" w:left="760" w:right="620"/>
          <w:cols w:num="4" w:equalWidth="0">
            <w:col w:w="1141" w:space="1550"/>
            <w:col w:w="5430" w:space="194"/>
            <w:col w:w="751" w:space="260"/>
            <w:col w:w="1204"/>
          </w:cols>
        </w:sectPr>
      </w:pPr>
    </w:p>
    <w:p>
      <w:pPr>
        <w:spacing w:line="240" w:lineRule="auto" w:before="3"/>
        <w:rPr>
          <w:rFonts w:ascii="Microsoft JhengHei" w:hAnsi="Microsoft JhengHei" w:cs="Microsoft JhengHei" w:eastAsia="Microsoft JhengHei" w:hint="default"/>
          <w:b/>
          <w:bCs/>
          <w:sz w:val="6"/>
          <w:szCs w:val="6"/>
        </w:rPr>
      </w:pPr>
    </w:p>
    <w:p>
      <w:pPr>
        <w:spacing w:line="20" w:lineRule="exact"/>
        <w:ind w:left="11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14.0500pt;height:.5pt;mso-position-horizontal-relative:char;mso-position-vertical-relative:line" coordorigin="0,0" coordsize="10281,10">
            <v:group style="position:absolute;left:5;top:5;width:10271;height:2" coordorigin="5,5" coordsize="10271,2">
              <v:shape style="position:absolute;left:5;top:5;width:10271;height:2" coordorigin="5,5" coordsize="10271,0" path="m5,5l10276,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8"/>
          <w:szCs w:val="18"/>
        </w:rPr>
      </w:pPr>
    </w:p>
    <w:p>
      <w:pPr>
        <w:spacing w:line="30" w:lineRule="exact"/>
        <w:ind w:left="535"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472.05pt;height:1.5pt;mso-position-horizontal-relative:char;mso-position-vertical-relative:line" coordorigin="0,0" coordsize="9441,30">
            <v:group style="position:absolute;left:15;top:15;width:9411;height:2" coordorigin="15,15" coordsize="9411,2">
              <v:shape style="position:absolute;left:15;top:15;width:9411;height:2" coordorigin="15,15" coordsize="9411,0" path="m15,15l9425,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line="240" w:lineRule="auto" w:before="17"/>
        <w:rPr>
          <w:rFonts w:ascii="Microsoft JhengHei" w:hAnsi="Microsoft JhengHei" w:cs="Microsoft JhengHei" w:eastAsia="Microsoft JhengHei" w:hint="default"/>
          <w:b/>
          <w:bCs/>
          <w:sz w:val="6"/>
          <w:szCs w:val="6"/>
        </w:rPr>
      </w:pPr>
    </w:p>
    <w:p>
      <w:pPr>
        <w:tabs>
          <w:tab w:pos="4487" w:val="left" w:leader="none"/>
          <w:tab w:pos="5589" w:val="left" w:leader="none"/>
          <w:tab w:pos="6747" w:val="left" w:leader="none"/>
          <w:tab w:pos="7804" w:val="left" w:leader="none"/>
          <w:tab w:pos="9182" w:val="left" w:leader="none"/>
        </w:tabs>
        <w:spacing w:line="278" w:lineRule="exact" w:before="0"/>
        <w:ind w:left="3507" w:right="0" w:firstLine="0"/>
        <w:jc w:val="left"/>
        <w:rPr>
          <w:rFonts w:ascii="Microsoft JhengHei" w:hAnsi="Microsoft JhengHei" w:cs="Microsoft JhengHei" w:eastAsia="Microsoft JhengHei" w:hint="default"/>
          <w:sz w:val="16"/>
          <w:szCs w:val="16"/>
        </w:rPr>
      </w:pPr>
      <w:r>
        <w:rPr/>
        <w:pict>
          <v:group style="position:absolute;margin-left:65.519997pt;margin-top:14.138593pt;width:470.55pt;height:.1pt;mso-position-horizontal-relative:page;mso-position-vertical-relative:paragraph;z-index:4216" coordorigin="1310,283" coordsize="9411,2">
            <v:shape style="position:absolute;left:1310;top:283;width:9411;height:2" coordorigin="1310,283" coordsize="9411,0" path="m1310,283l10721,283e" filled="false" stroked="true" strokeweight=".48pt" strokecolor="#000000">
              <v:path arrowok="t"/>
            </v:shape>
            <w10:wrap type="none"/>
          </v:group>
        </w:pict>
      </w:r>
      <w:r>
        <w:rPr>
          <w:rFonts w:ascii="Microsoft JhengHei" w:hAnsi="Microsoft JhengHei" w:cs="Microsoft JhengHei" w:eastAsia="Microsoft JhengHei" w:hint="default"/>
          <w:b/>
          <w:bCs/>
          <w:sz w:val="16"/>
          <w:szCs w:val="16"/>
        </w:rPr>
        <w:t>比例</w:t>
        <w:tab/>
        <w:t>金额</w:t>
        <w:tab/>
        <w:t>金额</w:t>
        <w:tab/>
        <w:t>金额</w:t>
        <w:tab/>
        <w:t>权益增减</w:t>
        <w:tab/>
        <w:t>金额</w:t>
      </w:r>
      <w:r>
        <w:rPr>
          <w:rFonts w:ascii="Microsoft JhengHei" w:hAnsi="Microsoft JhengHei" w:cs="Microsoft JhengHei" w:eastAsia="Microsoft JhengHei" w:hint="default"/>
          <w:sz w:val="16"/>
          <w:szCs w:val="16"/>
        </w:rPr>
      </w:r>
    </w:p>
    <w:tbl>
      <w:tblPr>
        <w:tblW w:w="0" w:type="auto"/>
        <w:jc w:val="left"/>
        <w:tblInd w:w="550" w:type="dxa"/>
        <w:tblLayout w:type="fixed"/>
        <w:tblCellMar>
          <w:top w:w="0" w:type="dxa"/>
          <w:left w:w="0" w:type="dxa"/>
          <w:bottom w:w="0" w:type="dxa"/>
          <w:right w:w="0" w:type="dxa"/>
        </w:tblCellMar>
        <w:tblLook w:val="01E0"/>
      </w:tblPr>
      <w:tblGrid>
        <w:gridCol w:w="2660"/>
        <w:gridCol w:w="885"/>
        <w:gridCol w:w="1145"/>
        <w:gridCol w:w="1070"/>
        <w:gridCol w:w="1247"/>
        <w:gridCol w:w="1188"/>
        <w:gridCol w:w="1216"/>
      </w:tblGrid>
      <w:tr>
        <w:trPr>
          <w:trHeight w:val="297"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楷体" w:hAnsi="楷体" w:cs="楷体" w:eastAsia="楷体" w:hint="default"/>
                <w:sz w:val="14"/>
                <w:szCs w:val="14"/>
              </w:rPr>
            </w:pPr>
            <w:r>
              <w:rPr>
                <w:rFonts w:ascii="楷体" w:hAnsi="楷体" w:cs="楷体" w:eastAsia="楷体" w:hint="default"/>
                <w:sz w:val="14"/>
                <w:szCs w:val="14"/>
              </w:rPr>
              <w:t>吉林同方科贸有限责任公司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43" w:right="0"/>
              <w:jc w:val="left"/>
              <w:rPr>
                <w:rFonts w:ascii="Times New Roman" w:hAnsi="Times New Roman" w:cs="Times New Roman" w:eastAsia="Times New Roman" w:hint="default"/>
                <w:sz w:val="14"/>
                <w:szCs w:val="14"/>
              </w:rPr>
            </w:pPr>
            <w:r>
              <w:rPr>
                <w:rFonts w:ascii="Times New Roman"/>
                <w:sz w:val="14"/>
              </w:rPr>
              <w:t>20.00%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7"/>
              <w:jc w:val="right"/>
              <w:rPr>
                <w:rFonts w:ascii="Times New Roman" w:hAnsi="Times New Roman" w:cs="Times New Roman" w:eastAsia="Times New Roman" w:hint="default"/>
                <w:sz w:val="14"/>
                <w:szCs w:val="14"/>
              </w:rPr>
            </w:pPr>
            <w:r>
              <w:rPr>
                <w:rFonts w:ascii="Times New Roman"/>
                <w:spacing w:val="-1"/>
                <w:sz w:val="14"/>
              </w:rPr>
              <w:t>1,600,000.00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1"/>
              <w:jc w:val="right"/>
              <w:rPr>
                <w:rFonts w:ascii="Times New Roman" w:hAnsi="Times New Roman" w:cs="Times New Roman" w:eastAsia="Times New Roman" w:hint="default"/>
                <w:sz w:val="14"/>
                <w:szCs w:val="14"/>
              </w:rPr>
            </w:pPr>
            <w:r>
              <w:rPr>
                <w:rFonts w:ascii="Times New Roman"/>
                <w:spacing w:val="-1"/>
                <w:sz w:val="14"/>
              </w:rPr>
              <w:t>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9"/>
              <w:jc w:val="right"/>
              <w:rPr>
                <w:rFonts w:ascii="Times New Roman" w:hAnsi="Times New Roman" w:cs="Times New Roman" w:eastAsia="Times New Roman" w:hint="default"/>
                <w:sz w:val="14"/>
                <w:szCs w:val="14"/>
              </w:rPr>
            </w:pPr>
            <w:r>
              <w:rPr>
                <w:rFonts w:ascii="Times New Roman"/>
                <w:spacing w:val="-1"/>
                <w:sz w:val="14"/>
              </w:rPr>
              <w:t>1,871,023.78</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9"/>
              <w:jc w:val="right"/>
              <w:rPr>
                <w:rFonts w:ascii="Times New Roman" w:hAnsi="Times New Roman" w:cs="Times New Roman" w:eastAsia="Times New Roman" w:hint="default"/>
                <w:sz w:val="14"/>
                <w:szCs w:val="14"/>
              </w:rPr>
            </w:pPr>
            <w:r>
              <w:rPr>
                <w:rFonts w:ascii="Times New Roman"/>
                <w:spacing w:val="-1"/>
                <w:sz w:val="14"/>
              </w:rPr>
              <w:t>-304,167.43</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9"/>
              <w:jc w:val="right"/>
              <w:rPr>
                <w:rFonts w:ascii="Times New Roman" w:hAnsi="Times New Roman" w:cs="Times New Roman" w:eastAsia="Times New Roman" w:hint="default"/>
                <w:sz w:val="14"/>
                <w:szCs w:val="14"/>
              </w:rPr>
            </w:pPr>
            <w:r>
              <w:rPr>
                <w:rFonts w:ascii="Times New Roman"/>
                <w:spacing w:val="-1"/>
                <w:sz w:val="14"/>
              </w:rPr>
              <w:t>1,566,856.35</w:t>
            </w:r>
          </w:p>
        </w:tc>
      </w:tr>
      <w:tr>
        <w:trPr>
          <w:trHeight w:val="283"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郑州同方神火科技有限公司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3" w:right="0"/>
              <w:jc w:val="left"/>
              <w:rPr>
                <w:rFonts w:ascii="Times New Roman" w:hAnsi="Times New Roman" w:cs="Times New Roman" w:eastAsia="Times New Roman" w:hint="default"/>
                <w:sz w:val="14"/>
                <w:szCs w:val="14"/>
              </w:rPr>
            </w:pPr>
            <w:r>
              <w:rPr>
                <w:rFonts w:ascii="Times New Roman"/>
                <w:sz w:val="14"/>
              </w:rPr>
              <w:t>50.00%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7"/>
              <w:jc w:val="right"/>
              <w:rPr>
                <w:rFonts w:ascii="Times New Roman" w:hAnsi="Times New Roman" w:cs="Times New Roman" w:eastAsia="Times New Roman" w:hint="default"/>
                <w:sz w:val="14"/>
                <w:szCs w:val="14"/>
              </w:rPr>
            </w:pPr>
            <w:r>
              <w:rPr>
                <w:rFonts w:ascii="Times New Roman"/>
                <w:spacing w:val="-1"/>
                <w:sz w:val="14"/>
              </w:rPr>
              <w:t>10,000,000.00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2"/>
              <w:jc w:val="right"/>
              <w:rPr>
                <w:rFonts w:ascii="Times New Roman" w:hAnsi="Times New Roman" w:cs="Times New Roman" w:eastAsia="Times New Roman" w:hint="default"/>
                <w:sz w:val="14"/>
                <w:szCs w:val="14"/>
              </w:rPr>
            </w:pPr>
            <w:r>
              <w:rPr>
                <w:rFonts w:ascii="Times New Roman"/>
                <w:spacing w:val="-1"/>
                <w:sz w:val="14"/>
              </w:rPr>
              <w:t>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0"/>
              <w:jc w:val="right"/>
              <w:rPr>
                <w:rFonts w:ascii="Times New Roman" w:hAnsi="Times New Roman" w:cs="Times New Roman" w:eastAsia="Times New Roman" w:hint="default"/>
                <w:sz w:val="14"/>
                <w:szCs w:val="14"/>
              </w:rPr>
            </w:pPr>
            <w:r>
              <w:rPr>
                <w:rFonts w:ascii="Times New Roman"/>
                <w:spacing w:val="-1"/>
                <w:sz w:val="14"/>
              </w:rPr>
              <w:t>10,588,748.88</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Times New Roman" w:hAnsi="Times New Roman" w:cs="Times New Roman" w:eastAsia="Times New Roman" w:hint="default"/>
                <w:sz w:val="14"/>
                <w:szCs w:val="14"/>
              </w:rPr>
            </w:pPr>
            <w:r>
              <w:rPr>
                <w:rFonts w:ascii="Times New Roman"/>
                <w:spacing w:val="-1"/>
                <w:sz w:val="14"/>
              </w:rPr>
              <w:t>-94,606.05</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4"/>
                <w:szCs w:val="14"/>
              </w:rPr>
            </w:pPr>
            <w:r>
              <w:rPr>
                <w:rFonts w:ascii="Times New Roman"/>
                <w:spacing w:val="-1"/>
                <w:sz w:val="14"/>
              </w:rPr>
              <w:t>10,494,142.83</w:t>
            </w:r>
          </w:p>
        </w:tc>
      </w:tr>
      <w:tr>
        <w:trPr>
          <w:trHeight w:val="283"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同方人工环境有限公司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7" w:right="0"/>
              <w:jc w:val="left"/>
              <w:rPr>
                <w:rFonts w:ascii="Times New Roman" w:hAnsi="Times New Roman" w:cs="Times New Roman" w:eastAsia="Times New Roman" w:hint="default"/>
                <w:sz w:val="14"/>
                <w:szCs w:val="14"/>
              </w:rPr>
            </w:pPr>
            <w:r>
              <w:rPr>
                <w:rFonts w:ascii="Times New Roman"/>
                <w:sz w:val="14"/>
              </w:rPr>
              <w:t>40.964%</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8"/>
              <w:jc w:val="right"/>
              <w:rPr>
                <w:rFonts w:ascii="Times New Roman" w:hAnsi="Times New Roman" w:cs="Times New Roman" w:eastAsia="Times New Roman" w:hint="default"/>
                <w:sz w:val="14"/>
                <w:szCs w:val="14"/>
              </w:rPr>
            </w:pPr>
            <w:r>
              <w:rPr>
                <w:rFonts w:ascii="Times New Roman"/>
                <w:spacing w:val="-1"/>
                <w:sz w:val="14"/>
              </w:rPr>
              <w:t>102,000,000.00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2"/>
              <w:jc w:val="right"/>
              <w:rPr>
                <w:rFonts w:ascii="Times New Roman" w:hAnsi="Times New Roman" w:cs="Times New Roman" w:eastAsia="Times New Roman" w:hint="default"/>
                <w:sz w:val="14"/>
                <w:szCs w:val="14"/>
              </w:rPr>
            </w:pPr>
            <w:r>
              <w:rPr>
                <w:rFonts w:ascii="Times New Roman"/>
                <w:spacing w:val="-1"/>
                <w:sz w:val="14"/>
              </w:rPr>
              <w:t>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0"/>
              <w:jc w:val="right"/>
              <w:rPr>
                <w:rFonts w:ascii="Times New Roman" w:hAnsi="Times New Roman" w:cs="Times New Roman" w:eastAsia="Times New Roman" w:hint="default"/>
                <w:sz w:val="14"/>
                <w:szCs w:val="14"/>
              </w:rPr>
            </w:pPr>
            <w:r>
              <w:rPr>
                <w:rFonts w:ascii="Times New Roman"/>
                <w:spacing w:val="-1"/>
                <w:sz w:val="14"/>
              </w:rPr>
              <w:t>102,000,000.00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Times New Roman" w:hAnsi="Times New Roman" w:cs="Times New Roman" w:eastAsia="Times New Roman" w:hint="default"/>
                <w:sz w:val="14"/>
                <w:szCs w:val="14"/>
              </w:rPr>
            </w:pPr>
            <w:r>
              <w:rPr>
                <w:rFonts w:ascii="Times New Roman"/>
                <w:spacing w:val="-1"/>
                <w:sz w:val="14"/>
              </w:rPr>
              <w:t>62,978,435.08</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Times New Roman" w:hAnsi="Times New Roman" w:cs="Times New Roman" w:eastAsia="Times New Roman" w:hint="default"/>
                <w:sz w:val="14"/>
                <w:szCs w:val="14"/>
              </w:rPr>
            </w:pPr>
            <w:r>
              <w:rPr>
                <w:rFonts w:ascii="Times New Roman"/>
                <w:spacing w:val="-1"/>
                <w:sz w:val="14"/>
              </w:rPr>
              <w:t>164,978,435.08</w:t>
            </w:r>
          </w:p>
        </w:tc>
      </w:tr>
      <w:tr>
        <w:trPr>
          <w:trHeight w:val="283"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北京中录同方文化传播有限公司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3" w:right="0"/>
              <w:jc w:val="left"/>
              <w:rPr>
                <w:rFonts w:ascii="Times New Roman" w:hAnsi="Times New Roman" w:cs="Times New Roman" w:eastAsia="Times New Roman" w:hint="default"/>
                <w:sz w:val="14"/>
                <w:szCs w:val="14"/>
              </w:rPr>
            </w:pPr>
            <w:r>
              <w:rPr>
                <w:rFonts w:ascii="Times New Roman"/>
                <w:sz w:val="14"/>
              </w:rPr>
              <w:t>50.00%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7"/>
              <w:jc w:val="right"/>
              <w:rPr>
                <w:rFonts w:ascii="Times New Roman" w:hAnsi="Times New Roman" w:cs="Times New Roman" w:eastAsia="Times New Roman" w:hint="default"/>
                <w:sz w:val="14"/>
                <w:szCs w:val="14"/>
              </w:rPr>
            </w:pPr>
            <w:r>
              <w:rPr>
                <w:rFonts w:ascii="Times New Roman"/>
                <w:spacing w:val="-1"/>
                <w:sz w:val="14"/>
              </w:rPr>
              <w:t>19,000,000.00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Times New Roman" w:hAnsi="Times New Roman" w:cs="Times New Roman" w:eastAsia="Times New Roman" w:hint="default"/>
                <w:sz w:val="14"/>
                <w:szCs w:val="14"/>
              </w:rPr>
            </w:pPr>
            <w:r>
              <w:rPr>
                <w:rFonts w:ascii="Times New Roman"/>
                <w:spacing w:val="-1"/>
                <w:sz w:val="14"/>
              </w:rPr>
              <w:t>10,000,000.00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0"/>
              <w:jc w:val="right"/>
              <w:rPr>
                <w:rFonts w:ascii="Times New Roman" w:hAnsi="Times New Roman" w:cs="Times New Roman" w:eastAsia="Times New Roman" w:hint="default"/>
                <w:sz w:val="14"/>
                <w:szCs w:val="14"/>
              </w:rPr>
            </w:pPr>
            <w:r>
              <w:rPr>
                <w:rFonts w:ascii="Times New Roman"/>
                <w:spacing w:val="-1"/>
                <w:sz w:val="14"/>
              </w:rPr>
              <w:t>0.00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Times New Roman" w:hAnsi="Times New Roman" w:cs="Times New Roman" w:eastAsia="Times New Roman" w:hint="default"/>
                <w:sz w:val="14"/>
                <w:szCs w:val="14"/>
              </w:rPr>
            </w:pPr>
            <w:r>
              <w:rPr>
                <w:rFonts w:ascii="Times New Roman"/>
                <w:spacing w:val="-1"/>
                <w:sz w:val="14"/>
              </w:rPr>
              <w:t>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4"/>
                <w:szCs w:val="14"/>
              </w:rPr>
            </w:pPr>
            <w:r>
              <w:rPr>
                <w:rFonts w:ascii="Times New Roman"/>
                <w:spacing w:val="-1"/>
                <w:sz w:val="14"/>
              </w:rPr>
              <w:t>0.00</w:t>
            </w:r>
          </w:p>
        </w:tc>
      </w:tr>
      <w:tr>
        <w:trPr>
          <w:trHeight w:val="283"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嘉融投资有限公司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3" w:right="0"/>
              <w:jc w:val="left"/>
              <w:rPr>
                <w:rFonts w:ascii="Times New Roman" w:hAnsi="Times New Roman" w:cs="Times New Roman" w:eastAsia="Times New Roman" w:hint="default"/>
                <w:sz w:val="14"/>
                <w:szCs w:val="14"/>
              </w:rPr>
            </w:pPr>
            <w:r>
              <w:rPr>
                <w:rFonts w:ascii="Times New Roman"/>
                <w:sz w:val="14"/>
              </w:rPr>
              <w:t>50.00%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7"/>
              <w:jc w:val="right"/>
              <w:rPr>
                <w:rFonts w:ascii="Times New Roman" w:hAnsi="Times New Roman" w:cs="Times New Roman" w:eastAsia="Times New Roman" w:hint="default"/>
                <w:sz w:val="14"/>
                <w:szCs w:val="14"/>
              </w:rPr>
            </w:pPr>
            <w:r>
              <w:rPr>
                <w:rFonts w:ascii="Times New Roman"/>
                <w:spacing w:val="-1"/>
                <w:sz w:val="14"/>
              </w:rPr>
              <w:t>88,000,000.00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2"/>
              <w:jc w:val="right"/>
              <w:rPr>
                <w:rFonts w:ascii="Times New Roman" w:hAnsi="Times New Roman" w:cs="Times New Roman" w:eastAsia="Times New Roman" w:hint="default"/>
                <w:sz w:val="14"/>
                <w:szCs w:val="14"/>
              </w:rPr>
            </w:pPr>
            <w:r>
              <w:rPr>
                <w:rFonts w:ascii="Times New Roman"/>
                <w:spacing w:val="-1"/>
                <w:sz w:val="14"/>
              </w:rPr>
              <w:t>2,000,000.00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0"/>
              <w:jc w:val="right"/>
              <w:rPr>
                <w:rFonts w:ascii="Times New Roman" w:hAnsi="Times New Roman" w:cs="Times New Roman" w:eastAsia="Times New Roman" w:hint="default"/>
                <w:sz w:val="14"/>
                <w:szCs w:val="14"/>
              </w:rPr>
            </w:pPr>
            <w:r>
              <w:rPr>
                <w:rFonts w:ascii="Times New Roman"/>
                <w:spacing w:val="-1"/>
                <w:sz w:val="14"/>
              </w:rPr>
              <w:t>320,359,464.84</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Times New Roman" w:hAnsi="Times New Roman" w:cs="Times New Roman" w:eastAsia="Times New Roman" w:hint="default"/>
                <w:sz w:val="14"/>
                <w:szCs w:val="14"/>
              </w:rPr>
            </w:pPr>
            <w:r>
              <w:rPr>
                <w:rFonts w:ascii="Times New Roman"/>
                <w:spacing w:val="-1"/>
                <w:sz w:val="14"/>
              </w:rPr>
              <w:t>-187,070,971.59</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Times New Roman" w:hAnsi="Times New Roman" w:cs="Times New Roman" w:eastAsia="Times New Roman" w:hint="default"/>
                <w:sz w:val="14"/>
                <w:szCs w:val="14"/>
              </w:rPr>
            </w:pPr>
            <w:r>
              <w:rPr>
                <w:rFonts w:ascii="Times New Roman"/>
                <w:spacing w:val="-1"/>
                <w:sz w:val="14"/>
              </w:rPr>
              <w:t>133,288,493.25</w:t>
            </w:r>
          </w:p>
        </w:tc>
      </w:tr>
      <w:tr>
        <w:trPr>
          <w:trHeight w:val="283"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云南云电同方科技有限公司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3" w:right="0"/>
              <w:jc w:val="left"/>
              <w:rPr>
                <w:rFonts w:ascii="Times New Roman" w:hAnsi="Times New Roman" w:cs="Times New Roman" w:eastAsia="Times New Roman" w:hint="default"/>
                <w:sz w:val="14"/>
                <w:szCs w:val="14"/>
              </w:rPr>
            </w:pPr>
            <w:r>
              <w:rPr>
                <w:rFonts w:ascii="Times New Roman"/>
                <w:sz w:val="14"/>
              </w:rPr>
              <w:t>37.50%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7"/>
              <w:jc w:val="right"/>
              <w:rPr>
                <w:rFonts w:ascii="Times New Roman" w:hAnsi="Times New Roman" w:cs="Times New Roman" w:eastAsia="Times New Roman" w:hint="default"/>
                <w:sz w:val="14"/>
                <w:szCs w:val="14"/>
              </w:rPr>
            </w:pPr>
            <w:r>
              <w:rPr>
                <w:rFonts w:ascii="Times New Roman"/>
                <w:spacing w:val="-1"/>
                <w:sz w:val="14"/>
              </w:rPr>
              <w:t>30,000,000.00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2"/>
              <w:jc w:val="right"/>
              <w:rPr>
                <w:rFonts w:ascii="Times New Roman" w:hAnsi="Times New Roman" w:cs="Times New Roman" w:eastAsia="Times New Roman" w:hint="default"/>
                <w:sz w:val="14"/>
                <w:szCs w:val="14"/>
              </w:rPr>
            </w:pPr>
            <w:r>
              <w:rPr>
                <w:rFonts w:ascii="Times New Roman"/>
                <w:spacing w:val="-1"/>
                <w:sz w:val="14"/>
              </w:rPr>
              <w:t>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0"/>
              <w:jc w:val="right"/>
              <w:rPr>
                <w:rFonts w:ascii="Times New Roman" w:hAnsi="Times New Roman" w:cs="Times New Roman" w:eastAsia="Times New Roman" w:hint="default"/>
                <w:sz w:val="14"/>
                <w:szCs w:val="14"/>
              </w:rPr>
            </w:pPr>
            <w:r>
              <w:rPr>
                <w:rFonts w:ascii="Times New Roman"/>
                <w:spacing w:val="-2"/>
                <w:sz w:val="14"/>
              </w:rPr>
              <w:t>11,302,927.30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Times New Roman" w:hAnsi="Times New Roman" w:cs="Times New Roman" w:eastAsia="Times New Roman" w:hint="default"/>
                <w:sz w:val="14"/>
                <w:szCs w:val="14"/>
              </w:rPr>
            </w:pPr>
            <w:r>
              <w:rPr>
                <w:rFonts w:ascii="Times New Roman"/>
                <w:spacing w:val="-1"/>
                <w:sz w:val="14"/>
              </w:rPr>
              <w:t>856,743.75</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4"/>
                <w:szCs w:val="14"/>
              </w:rPr>
            </w:pPr>
            <w:r>
              <w:rPr>
                <w:rFonts w:ascii="Times New Roman"/>
                <w:spacing w:val="-1"/>
                <w:sz w:val="14"/>
              </w:rPr>
              <w:t>12,159,671.05</w:t>
            </w:r>
          </w:p>
        </w:tc>
      </w:tr>
      <w:tr>
        <w:trPr>
          <w:trHeight w:val="283"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同方环境股份有限公司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3" w:right="0"/>
              <w:jc w:val="left"/>
              <w:rPr>
                <w:rFonts w:ascii="Times New Roman" w:hAnsi="Times New Roman" w:cs="Times New Roman" w:eastAsia="Times New Roman" w:hint="default"/>
                <w:sz w:val="14"/>
                <w:szCs w:val="14"/>
              </w:rPr>
            </w:pPr>
            <w:r>
              <w:rPr>
                <w:rFonts w:ascii="Times New Roman"/>
                <w:sz w:val="14"/>
              </w:rPr>
              <w:t>31.50%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7"/>
              <w:jc w:val="right"/>
              <w:rPr>
                <w:rFonts w:ascii="Times New Roman" w:hAnsi="Times New Roman" w:cs="Times New Roman" w:eastAsia="Times New Roman" w:hint="default"/>
                <w:sz w:val="14"/>
                <w:szCs w:val="14"/>
              </w:rPr>
            </w:pPr>
            <w:r>
              <w:rPr>
                <w:rFonts w:ascii="Times New Roman"/>
                <w:spacing w:val="-1"/>
                <w:sz w:val="14"/>
              </w:rPr>
              <w:t>35,000,000.00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2"/>
              <w:jc w:val="right"/>
              <w:rPr>
                <w:rFonts w:ascii="Times New Roman" w:hAnsi="Times New Roman" w:cs="Times New Roman" w:eastAsia="Times New Roman" w:hint="default"/>
                <w:sz w:val="14"/>
                <w:szCs w:val="14"/>
              </w:rPr>
            </w:pPr>
            <w:r>
              <w:rPr>
                <w:rFonts w:ascii="Times New Roman"/>
                <w:spacing w:val="-1"/>
                <w:sz w:val="14"/>
              </w:rPr>
              <w:t>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9"/>
              <w:jc w:val="right"/>
              <w:rPr>
                <w:rFonts w:ascii="Times New Roman" w:hAnsi="Times New Roman" w:cs="Times New Roman" w:eastAsia="Times New Roman" w:hint="default"/>
                <w:sz w:val="14"/>
                <w:szCs w:val="14"/>
              </w:rPr>
            </w:pPr>
            <w:r>
              <w:rPr>
                <w:rFonts w:ascii="Times New Roman"/>
                <w:spacing w:val="-1"/>
                <w:sz w:val="14"/>
              </w:rPr>
              <w:t>35,000,000.00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0"/>
              <w:jc w:val="right"/>
              <w:rPr>
                <w:rFonts w:ascii="Times New Roman" w:hAnsi="Times New Roman" w:cs="Times New Roman" w:eastAsia="Times New Roman" w:hint="default"/>
                <w:sz w:val="14"/>
                <w:szCs w:val="14"/>
              </w:rPr>
            </w:pPr>
            <w:r>
              <w:rPr>
                <w:rFonts w:ascii="Times New Roman"/>
                <w:spacing w:val="-1"/>
                <w:sz w:val="14"/>
              </w:rPr>
              <w:t>69,535,476.70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Times New Roman" w:hAnsi="Times New Roman" w:cs="Times New Roman" w:eastAsia="Times New Roman" w:hint="default"/>
                <w:sz w:val="14"/>
                <w:szCs w:val="14"/>
              </w:rPr>
            </w:pPr>
            <w:r>
              <w:rPr>
                <w:rFonts w:ascii="Times New Roman"/>
                <w:spacing w:val="-1"/>
                <w:sz w:val="14"/>
              </w:rPr>
              <w:t>104,535,476.70</w:t>
            </w:r>
          </w:p>
        </w:tc>
      </w:tr>
      <w:tr>
        <w:trPr>
          <w:trHeight w:val="283"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同方投资有限公司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3" w:right="0"/>
              <w:jc w:val="left"/>
              <w:rPr>
                <w:rFonts w:ascii="Times New Roman" w:hAnsi="Times New Roman" w:cs="Times New Roman" w:eastAsia="Times New Roman" w:hint="default"/>
                <w:sz w:val="14"/>
                <w:szCs w:val="14"/>
              </w:rPr>
            </w:pPr>
            <w:r>
              <w:rPr>
                <w:rFonts w:ascii="Times New Roman"/>
                <w:sz w:val="14"/>
              </w:rPr>
              <w:t>36.36%</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8"/>
              <w:jc w:val="right"/>
              <w:rPr>
                <w:rFonts w:ascii="Times New Roman" w:hAnsi="Times New Roman" w:cs="Times New Roman" w:eastAsia="Times New Roman" w:hint="default"/>
                <w:sz w:val="14"/>
                <w:szCs w:val="14"/>
              </w:rPr>
            </w:pPr>
            <w:r>
              <w:rPr>
                <w:rFonts w:ascii="Times New Roman"/>
                <w:spacing w:val="-1"/>
                <w:sz w:val="14"/>
              </w:rPr>
              <w:t>200,000,000.00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2"/>
              <w:jc w:val="right"/>
              <w:rPr>
                <w:rFonts w:ascii="Times New Roman" w:hAnsi="Times New Roman" w:cs="Times New Roman" w:eastAsia="Times New Roman" w:hint="default"/>
                <w:sz w:val="14"/>
                <w:szCs w:val="14"/>
              </w:rPr>
            </w:pPr>
            <w:r>
              <w:rPr>
                <w:rFonts w:ascii="Times New Roman"/>
                <w:spacing w:val="-1"/>
                <w:sz w:val="14"/>
              </w:rPr>
              <w:t>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0"/>
              <w:jc w:val="right"/>
              <w:rPr>
                <w:rFonts w:ascii="Times New Roman" w:hAnsi="Times New Roman" w:cs="Times New Roman" w:eastAsia="Times New Roman" w:hint="default"/>
                <w:sz w:val="14"/>
                <w:szCs w:val="14"/>
              </w:rPr>
            </w:pPr>
            <w:r>
              <w:rPr>
                <w:rFonts w:ascii="Times New Roman"/>
                <w:spacing w:val="-1"/>
                <w:sz w:val="14"/>
              </w:rPr>
              <w:t>715,605,753.42</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Times New Roman" w:hAnsi="Times New Roman" w:cs="Times New Roman" w:eastAsia="Times New Roman" w:hint="default"/>
                <w:sz w:val="14"/>
                <w:szCs w:val="14"/>
              </w:rPr>
            </w:pPr>
            <w:r>
              <w:rPr>
                <w:rFonts w:ascii="Times New Roman"/>
                <w:spacing w:val="-1"/>
                <w:sz w:val="14"/>
              </w:rPr>
              <w:t>-304,884,046.00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Times New Roman" w:hAnsi="Times New Roman" w:cs="Times New Roman" w:eastAsia="Times New Roman" w:hint="default"/>
                <w:sz w:val="14"/>
                <w:szCs w:val="14"/>
              </w:rPr>
            </w:pPr>
            <w:r>
              <w:rPr>
                <w:rFonts w:ascii="Times New Roman"/>
                <w:spacing w:val="-1"/>
                <w:sz w:val="14"/>
              </w:rPr>
              <w:t>410,721,707.42</w:t>
            </w:r>
          </w:p>
        </w:tc>
      </w:tr>
      <w:tr>
        <w:trPr>
          <w:trHeight w:val="283"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北京同方易豪科技有限公司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3" w:right="0"/>
              <w:jc w:val="left"/>
              <w:rPr>
                <w:rFonts w:ascii="Times New Roman" w:hAnsi="Times New Roman" w:cs="Times New Roman" w:eastAsia="Times New Roman" w:hint="default"/>
                <w:sz w:val="14"/>
                <w:szCs w:val="14"/>
              </w:rPr>
            </w:pPr>
            <w:r>
              <w:rPr>
                <w:rFonts w:ascii="Times New Roman"/>
                <w:sz w:val="14"/>
              </w:rPr>
              <w:t>48.37%</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7"/>
              <w:jc w:val="right"/>
              <w:rPr>
                <w:rFonts w:ascii="Times New Roman" w:hAnsi="Times New Roman" w:cs="Times New Roman" w:eastAsia="Times New Roman" w:hint="default"/>
                <w:sz w:val="14"/>
                <w:szCs w:val="14"/>
              </w:rPr>
            </w:pPr>
            <w:r>
              <w:rPr>
                <w:rFonts w:ascii="Times New Roman"/>
                <w:spacing w:val="-1"/>
                <w:sz w:val="14"/>
              </w:rPr>
              <w:t>10,000,000.00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2"/>
              <w:jc w:val="right"/>
              <w:rPr>
                <w:rFonts w:ascii="Times New Roman" w:hAnsi="Times New Roman" w:cs="Times New Roman" w:eastAsia="Times New Roman" w:hint="default"/>
                <w:sz w:val="14"/>
                <w:szCs w:val="14"/>
              </w:rPr>
            </w:pPr>
            <w:r>
              <w:rPr>
                <w:rFonts w:ascii="Times New Roman"/>
                <w:spacing w:val="-1"/>
                <w:sz w:val="14"/>
              </w:rPr>
              <w:t>4,662,000.00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0"/>
              <w:jc w:val="right"/>
              <w:rPr>
                <w:rFonts w:ascii="Times New Roman" w:hAnsi="Times New Roman" w:cs="Times New Roman" w:eastAsia="Times New Roman" w:hint="default"/>
                <w:sz w:val="14"/>
                <w:szCs w:val="14"/>
              </w:rPr>
            </w:pPr>
            <w:r>
              <w:rPr>
                <w:rFonts w:ascii="Times New Roman"/>
                <w:spacing w:val="-1"/>
                <w:sz w:val="14"/>
              </w:rPr>
              <w:t>16,662,000.00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Times New Roman" w:hAnsi="Times New Roman" w:cs="Times New Roman" w:eastAsia="Times New Roman" w:hint="default"/>
                <w:sz w:val="14"/>
                <w:szCs w:val="14"/>
              </w:rPr>
            </w:pPr>
            <w:r>
              <w:rPr>
                <w:rFonts w:ascii="Times New Roman"/>
                <w:spacing w:val="-1"/>
                <w:sz w:val="14"/>
              </w:rPr>
              <w:t>-72,896.86</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Times New Roman" w:hAnsi="Times New Roman" w:cs="Times New Roman" w:eastAsia="Times New Roman" w:hint="default"/>
                <w:sz w:val="14"/>
                <w:szCs w:val="14"/>
              </w:rPr>
            </w:pPr>
            <w:r>
              <w:rPr>
                <w:rFonts w:ascii="Times New Roman"/>
                <w:spacing w:val="-1"/>
                <w:sz w:val="14"/>
              </w:rPr>
              <w:t>16,589,103.14</w:t>
            </w:r>
          </w:p>
        </w:tc>
      </w:tr>
      <w:tr>
        <w:trPr>
          <w:trHeight w:val="283"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北京亚仕同方科技有限公司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2" w:right="0"/>
              <w:jc w:val="left"/>
              <w:rPr>
                <w:rFonts w:ascii="Times New Roman" w:hAnsi="Times New Roman" w:cs="Times New Roman" w:eastAsia="Times New Roman" w:hint="default"/>
                <w:sz w:val="14"/>
                <w:szCs w:val="14"/>
              </w:rPr>
            </w:pPr>
            <w:r>
              <w:rPr>
                <w:rFonts w:ascii="Times New Roman"/>
                <w:sz w:val="14"/>
              </w:rPr>
              <w:t>49.9999%</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9"/>
              <w:jc w:val="right"/>
              <w:rPr>
                <w:rFonts w:ascii="Times New Roman" w:hAnsi="Times New Roman" w:cs="Times New Roman" w:eastAsia="Times New Roman" w:hint="default"/>
                <w:sz w:val="14"/>
                <w:szCs w:val="14"/>
              </w:rPr>
            </w:pPr>
            <w:r>
              <w:rPr>
                <w:rFonts w:ascii="Times New Roman"/>
                <w:spacing w:val="-1"/>
                <w:sz w:val="14"/>
              </w:rPr>
              <w:t>2,149,600.70</w:t>
            </w:r>
            <w:r>
              <w:rPr>
                <w:rFonts w:ascii="Times New Roman"/>
                <w:sz w:val="14"/>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3"/>
              <w:jc w:val="right"/>
              <w:rPr>
                <w:rFonts w:ascii="Times New Roman" w:hAnsi="Times New Roman" w:cs="Times New Roman" w:eastAsia="Times New Roman" w:hint="default"/>
                <w:sz w:val="14"/>
                <w:szCs w:val="14"/>
              </w:rPr>
            </w:pPr>
            <w:r>
              <w:rPr>
                <w:rFonts w:ascii="Times New Roman"/>
                <w:spacing w:val="-1"/>
                <w:sz w:val="14"/>
              </w:rPr>
              <w:t>7,788,812.50</w:t>
            </w:r>
            <w:r>
              <w:rPr>
                <w:rFonts w:ascii="Times New Roman"/>
                <w:sz w:val="14"/>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Times New Roman" w:hAnsi="Times New Roman" w:cs="Times New Roman" w:eastAsia="Times New Roman" w:hint="default"/>
                <w:sz w:val="14"/>
                <w:szCs w:val="14"/>
              </w:rPr>
            </w:pPr>
            <w:r>
              <w:rPr>
                <w:rFonts w:ascii="Times New Roman"/>
                <w:spacing w:val="-1"/>
                <w:sz w:val="14"/>
              </w:rPr>
              <w:t>3,140,992.43</w:t>
            </w:r>
            <w:r>
              <w:rPr>
                <w:rFonts w:ascii="Times New Roman"/>
                <w:sz w:val="14"/>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3"/>
              <w:jc w:val="right"/>
              <w:rPr>
                <w:rFonts w:ascii="Times New Roman" w:hAnsi="Times New Roman" w:cs="Times New Roman" w:eastAsia="Times New Roman" w:hint="default"/>
                <w:sz w:val="14"/>
                <w:szCs w:val="14"/>
              </w:rPr>
            </w:pPr>
            <w:r>
              <w:rPr>
                <w:rFonts w:ascii="Times New Roman"/>
                <w:spacing w:val="-1"/>
                <w:sz w:val="14"/>
              </w:rPr>
              <w:t>4,582,885.26</w:t>
            </w:r>
            <w:r>
              <w:rPr>
                <w:rFonts w:ascii="Times New Roman"/>
                <w:sz w:val="14"/>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2"/>
              <w:jc w:val="right"/>
              <w:rPr>
                <w:rFonts w:ascii="Times New Roman" w:hAnsi="Times New Roman" w:cs="Times New Roman" w:eastAsia="Times New Roman" w:hint="default"/>
                <w:sz w:val="14"/>
                <w:szCs w:val="14"/>
              </w:rPr>
            </w:pPr>
            <w:r>
              <w:rPr>
                <w:rFonts w:ascii="Times New Roman"/>
                <w:spacing w:val="-1"/>
                <w:sz w:val="14"/>
              </w:rPr>
              <w:t>7,723,877.69</w:t>
            </w:r>
            <w:r>
              <w:rPr>
                <w:rFonts w:ascii="Times New Roman"/>
                <w:sz w:val="14"/>
              </w:rPr>
            </w:r>
          </w:p>
        </w:tc>
      </w:tr>
      <w:tr>
        <w:trPr>
          <w:trHeight w:val="283"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上海百视通电视传媒有限公司</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3" w:right="0"/>
              <w:jc w:val="left"/>
              <w:rPr>
                <w:rFonts w:ascii="Times New Roman" w:hAnsi="Times New Roman" w:cs="Times New Roman" w:eastAsia="Times New Roman" w:hint="default"/>
                <w:sz w:val="14"/>
                <w:szCs w:val="14"/>
              </w:rPr>
            </w:pPr>
            <w:r>
              <w:rPr>
                <w:rFonts w:ascii="Times New Roman"/>
                <w:sz w:val="14"/>
              </w:rPr>
              <w:t>40.00%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8"/>
              <w:jc w:val="right"/>
              <w:rPr>
                <w:rFonts w:ascii="Times New Roman" w:hAnsi="Times New Roman" w:cs="Times New Roman" w:eastAsia="Times New Roman" w:hint="default"/>
                <w:sz w:val="14"/>
                <w:szCs w:val="14"/>
              </w:rPr>
            </w:pPr>
            <w:r>
              <w:rPr>
                <w:rFonts w:ascii="Times New Roman"/>
                <w:spacing w:val="-1"/>
                <w:sz w:val="14"/>
              </w:rPr>
              <w:t>5,920,000.00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2"/>
              <w:jc w:val="right"/>
              <w:rPr>
                <w:rFonts w:ascii="Times New Roman" w:hAnsi="Times New Roman" w:cs="Times New Roman" w:eastAsia="Times New Roman" w:hint="default"/>
                <w:sz w:val="14"/>
                <w:szCs w:val="14"/>
              </w:rPr>
            </w:pPr>
            <w:r>
              <w:rPr>
                <w:rFonts w:ascii="Times New Roman"/>
                <w:spacing w:val="-1"/>
                <w:sz w:val="14"/>
              </w:rPr>
              <w:t>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0"/>
              <w:jc w:val="right"/>
              <w:rPr>
                <w:rFonts w:ascii="Times New Roman" w:hAnsi="Times New Roman" w:cs="Times New Roman" w:eastAsia="Times New Roman" w:hint="default"/>
                <w:sz w:val="14"/>
                <w:szCs w:val="14"/>
              </w:rPr>
            </w:pPr>
            <w:r>
              <w:rPr>
                <w:rFonts w:ascii="Times New Roman"/>
                <w:spacing w:val="-1"/>
                <w:sz w:val="14"/>
              </w:rPr>
              <w:t>0.00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Times New Roman" w:hAnsi="Times New Roman" w:cs="Times New Roman" w:eastAsia="Times New Roman" w:hint="default"/>
                <w:sz w:val="14"/>
                <w:szCs w:val="14"/>
              </w:rPr>
            </w:pPr>
            <w:r>
              <w:rPr>
                <w:rFonts w:ascii="Times New Roman"/>
                <w:spacing w:val="-1"/>
                <w:sz w:val="14"/>
              </w:rPr>
              <w:t>6,465,285.90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4"/>
                <w:szCs w:val="14"/>
              </w:rPr>
            </w:pPr>
            <w:r>
              <w:rPr>
                <w:rFonts w:ascii="Times New Roman"/>
                <w:spacing w:val="-1"/>
                <w:sz w:val="14"/>
              </w:rPr>
              <w:t>6,465,285.90</w:t>
            </w:r>
          </w:p>
        </w:tc>
      </w:tr>
      <w:tr>
        <w:trPr>
          <w:trHeight w:val="275" w:hRule="exact"/>
        </w:trPr>
        <w:tc>
          <w:tcPr>
            <w:tcW w:w="266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楷体" w:hAnsi="楷体" w:cs="楷体" w:eastAsia="楷体" w:hint="default"/>
                <w:sz w:val="14"/>
                <w:szCs w:val="14"/>
              </w:rPr>
            </w:pPr>
            <w:r>
              <w:rPr>
                <w:rFonts w:ascii="楷体" w:hAnsi="楷体" w:cs="楷体" w:eastAsia="楷体" w:hint="default"/>
                <w:sz w:val="14"/>
                <w:szCs w:val="14"/>
              </w:rPr>
              <w:t>百视通网络电视技术发展有限责任公司</w:t>
            </w:r>
          </w:p>
        </w:tc>
        <w:tc>
          <w:tcPr>
            <w:tcW w:w="88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243" w:right="0"/>
              <w:jc w:val="left"/>
              <w:rPr>
                <w:rFonts w:ascii="Times New Roman" w:hAnsi="Times New Roman" w:cs="Times New Roman" w:eastAsia="Times New Roman" w:hint="default"/>
                <w:sz w:val="14"/>
                <w:szCs w:val="14"/>
              </w:rPr>
            </w:pPr>
            <w:r>
              <w:rPr>
                <w:rFonts w:ascii="Times New Roman"/>
                <w:sz w:val="14"/>
              </w:rPr>
              <w:t>40.00%</w:t>
            </w:r>
          </w:p>
        </w:tc>
        <w:tc>
          <w:tcPr>
            <w:tcW w:w="114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28"/>
              <w:jc w:val="right"/>
              <w:rPr>
                <w:rFonts w:ascii="Times New Roman" w:hAnsi="Times New Roman" w:cs="Times New Roman" w:eastAsia="Times New Roman" w:hint="default"/>
                <w:sz w:val="14"/>
                <w:szCs w:val="14"/>
              </w:rPr>
            </w:pPr>
            <w:r>
              <w:rPr>
                <w:rFonts w:ascii="Times New Roman"/>
                <w:spacing w:val="-1"/>
                <w:sz w:val="14"/>
              </w:rPr>
              <w:t>144,080,000.00</w:t>
            </w:r>
          </w:p>
        </w:tc>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32"/>
              <w:jc w:val="right"/>
              <w:rPr>
                <w:rFonts w:ascii="Times New Roman" w:hAnsi="Times New Roman" w:cs="Times New Roman" w:eastAsia="Times New Roman" w:hint="default"/>
                <w:sz w:val="14"/>
                <w:szCs w:val="14"/>
              </w:rPr>
            </w:pPr>
            <w:r>
              <w:rPr>
                <w:rFonts w:ascii="Times New Roman"/>
                <w:spacing w:val="-1"/>
                <w:sz w:val="14"/>
              </w:rPr>
              <w:t>0.00</w:t>
            </w:r>
          </w:p>
        </w:tc>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30"/>
              <w:jc w:val="right"/>
              <w:rPr>
                <w:rFonts w:ascii="Times New Roman" w:hAnsi="Times New Roman" w:cs="Times New Roman" w:eastAsia="Times New Roman" w:hint="default"/>
                <w:sz w:val="14"/>
                <w:szCs w:val="14"/>
              </w:rPr>
            </w:pPr>
            <w:r>
              <w:rPr>
                <w:rFonts w:ascii="Times New Roman"/>
                <w:spacing w:val="-1"/>
                <w:sz w:val="14"/>
              </w:rPr>
              <w:t>0.00</w:t>
            </w: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31"/>
              <w:jc w:val="right"/>
              <w:rPr>
                <w:rFonts w:ascii="Times New Roman" w:hAnsi="Times New Roman" w:cs="Times New Roman" w:eastAsia="Times New Roman" w:hint="default"/>
                <w:sz w:val="14"/>
                <w:szCs w:val="14"/>
              </w:rPr>
            </w:pPr>
            <w:r>
              <w:rPr>
                <w:rFonts w:ascii="Times New Roman"/>
                <w:spacing w:val="-1"/>
                <w:sz w:val="14"/>
              </w:rPr>
              <w:t>149,438,152.29</w:t>
            </w:r>
          </w:p>
        </w:tc>
        <w:tc>
          <w:tcPr>
            <w:tcW w:w="121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1"/>
              <w:jc w:val="right"/>
              <w:rPr>
                <w:rFonts w:ascii="Times New Roman" w:hAnsi="Times New Roman" w:cs="Times New Roman" w:eastAsia="Times New Roman" w:hint="default"/>
                <w:sz w:val="14"/>
                <w:szCs w:val="14"/>
              </w:rPr>
            </w:pPr>
            <w:r>
              <w:rPr>
                <w:rFonts w:ascii="Times New Roman"/>
                <w:spacing w:val="-1"/>
                <w:sz w:val="14"/>
              </w:rPr>
              <w:t>149,438,152.29</w:t>
            </w:r>
          </w:p>
        </w:tc>
      </w:tr>
      <w:tr>
        <w:trPr>
          <w:trHeight w:val="304" w:hRule="exact"/>
        </w:trPr>
        <w:tc>
          <w:tcPr>
            <w:tcW w:w="2660" w:type="dxa"/>
            <w:tcBorders>
              <w:top w:val="single" w:sz="4" w:space="0" w:color="000000"/>
              <w:left w:val="nil" w:sz="6" w:space="0" w:color="auto"/>
              <w:bottom w:val="single" w:sz="12" w:space="0" w:color="000000"/>
              <w:right w:val="nil" w:sz="6" w:space="0" w:color="auto"/>
            </w:tcBorders>
          </w:tcPr>
          <w:p>
            <w:pPr>
              <w:pStyle w:val="TableParagraph"/>
              <w:spacing w:line="236" w:lineRule="exact"/>
              <w:ind w:left="108"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合计</w:t>
            </w:r>
            <w:r>
              <w:rPr>
                <w:rFonts w:ascii="Microsoft JhengHei" w:hAnsi="Microsoft JhengHei" w:cs="Microsoft JhengHei" w:eastAsia="Microsoft JhengHei" w:hint="default"/>
                <w:sz w:val="14"/>
                <w:szCs w:val="14"/>
              </w:rPr>
            </w:r>
          </w:p>
        </w:tc>
        <w:tc>
          <w:tcPr>
            <w:tcW w:w="885" w:type="dxa"/>
            <w:tcBorders>
              <w:top w:val="single" w:sz="4" w:space="0" w:color="000000"/>
              <w:left w:val="nil" w:sz="6" w:space="0" w:color="auto"/>
              <w:bottom w:val="single" w:sz="12" w:space="0" w:color="000000"/>
              <w:right w:val="nil" w:sz="6" w:space="0" w:color="auto"/>
            </w:tcBorders>
          </w:tcPr>
          <w:p>
            <w:pPr/>
          </w:p>
        </w:tc>
        <w:tc>
          <w:tcPr>
            <w:tcW w:w="1145"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28"/>
              <w:jc w:val="right"/>
              <w:rPr>
                <w:rFonts w:ascii="Times New Roman" w:hAnsi="Times New Roman" w:cs="Times New Roman" w:eastAsia="Times New Roman" w:hint="default"/>
                <w:sz w:val="14"/>
                <w:szCs w:val="14"/>
              </w:rPr>
            </w:pPr>
            <w:r>
              <w:rPr>
                <w:rFonts w:ascii="Times New Roman"/>
                <w:b/>
                <w:spacing w:val="-1"/>
                <w:sz w:val="14"/>
              </w:rPr>
              <w:t>647,749,600.70</w:t>
            </w:r>
            <w:r>
              <w:rPr>
                <w:rFonts w:ascii="Times New Roman"/>
                <w:spacing w:val="-1"/>
                <w:sz w:val="14"/>
              </w:rPr>
            </w:r>
          </w:p>
        </w:tc>
        <w:tc>
          <w:tcPr>
            <w:tcW w:w="1070"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32"/>
              <w:jc w:val="right"/>
              <w:rPr>
                <w:rFonts w:ascii="Times New Roman" w:hAnsi="Times New Roman" w:cs="Times New Roman" w:eastAsia="Times New Roman" w:hint="default"/>
                <w:sz w:val="14"/>
                <w:szCs w:val="14"/>
              </w:rPr>
            </w:pPr>
            <w:r>
              <w:rPr>
                <w:rFonts w:ascii="Times New Roman"/>
                <w:b/>
                <w:spacing w:val="-1"/>
                <w:sz w:val="14"/>
              </w:rPr>
              <w:t>24,450,812.50</w:t>
            </w:r>
            <w:r>
              <w:rPr>
                <w:rFonts w:ascii="Times New Roman"/>
                <w:spacing w:val="-1"/>
                <w:sz w:val="14"/>
              </w:rPr>
            </w:r>
          </w:p>
        </w:tc>
        <w:tc>
          <w:tcPr>
            <w:tcW w:w="1247"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30"/>
              <w:jc w:val="right"/>
              <w:rPr>
                <w:rFonts w:ascii="Times New Roman" w:hAnsi="Times New Roman" w:cs="Times New Roman" w:eastAsia="Times New Roman" w:hint="default"/>
                <w:sz w:val="14"/>
                <w:szCs w:val="14"/>
              </w:rPr>
            </w:pPr>
            <w:r>
              <w:rPr>
                <w:rFonts w:ascii="Times New Roman"/>
                <w:b/>
                <w:spacing w:val="-1"/>
                <w:sz w:val="14"/>
              </w:rPr>
              <w:t>1,216,530,910.65</w:t>
            </w:r>
            <w:r>
              <w:rPr>
                <w:rFonts w:ascii="Times New Roman"/>
                <w:spacing w:val="-1"/>
                <w:sz w:val="14"/>
              </w:rPr>
            </w:r>
          </w:p>
        </w:tc>
        <w:tc>
          <w:tcPr>
            <w:tcW w:w="1188"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31"/>
              <w:jc w:val="right"/>
              <w:rPr>
                <w:rFonts w:ascii="Times New Roman" w:hAnsi="Times New Roman" w:cs="Times New Roman" w:eastAsia="Times New Roman" w:hint="default"/>
                <w:sz w:val="14"/>
                <w:szCs w:val="14"/>
              </w:rPr>
            </w:pPr>
            <w:r>
              <w:rPr>
                <w:rFonts w:ascii="Times New Roman"/>
                <w:b/>
                <w:spacing w:val="-1"/>
                <w:sz w:val="14"/>
              </w:rPr>
              <w:t>-198,569,708.95</w:t>
            </w:r>
            <w:r>
              <w:rPr>
                <w:rFonts w:ascii="Times New Roman"/>
                <w:spacing w:val="-1"/>
                <w:sz w:val="14"/>
              </w:rPr>
            </w:r>
          </w:p>
        </w:tc>
        <w:tc>
          <w:tcPr>
            <w:tcW w:w="1216"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01"/>
              <w:jc w:val="right"/>
              <w:rPr>
                <w:rFonts w:ascii="Times New Roman" w:hAnsi="Times New Roman" w:cs="Times New Roman" w:eastAsia="Times New Roman" w:hint="default"/>
                <w:sz w:val="14"/>
                <w:szCs w:val="14"/>
              </w:rPr>
            </w:pPr>
            <w:r>
              <w:rPr>
                <w:rFonts w:ascii="Times New Roman"/>
                <w:b/>
                <w:spacing w:val="-1"/>
                <w:sz w:val="14"/>
              </w:rPr>
              <w:t>1,017,961,201.70</w:t>
            </w:r>
            <w:r>
              <w:rPr>
                <w:rFonts w:ascii="Times New Roman"/>
                <w:spacing w:val="-1"/>
                <w:sz w:val="14"/>
              </w:rPr>
            </w:r>
          </w:p>
        </w:tc>
      </w:tr>
    </w:tbl>
    <w:p>
      <w:pPr>
        <w:spacing w:before="88"/>
        <w:ind w:left="111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对联营企业的投资</w:t>
      </w:r>
    </w:p>
    <w:p>
      <w:pPr>
        <w:tabs>
          <w:tab w:pos="4487" w:val="left" w:leader="none"/>
          <w:tab w:pos="6557" w:val="left" w:leader="none"/>
          <w:tab w:pos="8896" w:val="left" w:leader="none"/>
        </w:tabs>
        <w:spacing w:before="68"/>
        <w:ind w:left="1044" w:right="0" w:firstLine="0"/>
        <w:jc w:val="left"/>
        <w:rPr>
          <w:rFonts w:ascii="Microsoft JhengHei" w:hAnsi="Microsoft JhengHei" w:cs="Microsoft JhengHei" w:eastAsia="Microsoft JhengHei" w:hint="default"/>
          <w:sz w:val="18"/>
          <w:szCs w:val="18"/>
        </w:rPr>
      </w:pPr>
      <w:r>
        <w:rPr/>
        <w:pict>
          <v:group style="position:absolute;margin-left:84.839996pt;margin-top:8.065549pt;width:431.9pt;height:.1pt;mso-position-horizontal-relative:page;mso-position-vertical-relative:paragraph;z-index:-897208" coordorigin="1697,161" coordsize="8638,2">
            <v:shape style="position:absolute;left:1697;top:161;width:8638;height:2" coordorigin="1697,161" coordsize="8638,0" path="m1697,161l10334,161e" filled="false" stroked="true" strokeweight="1.5pt" strokecolor="#000000">
              <v:path arrowok="t"/>
            </v:shape>
            <w10:wrap type="none"/>
          </v:group>
        </w:pict>
      </w:r>
      <w:r>
        <w:rPr/>
        <w:pict>
          <v:shape style="position:absolute;margin-left:84.839996pt;margin-top:19.026875pt;width:431.9pt;height:182.3pt;mso-position-horizontal-relative:page;mso-position-vertical-relative:paragraph;z-index:4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5"/>
                    <w:gridCol w:w="993"/>
                    <w:gridCol w:w="3345"/>
                    <w:gridCol w:w="985"/>
                  </w:tblGrid>
                  <w:tr>
                    <w:trPr>
                      <w:trHeight w:val="200" w:hRule="exact"/>
                    </w:trPr>
                    <w:tc>
                      <w:tcPr>
                        <w:tcW w:w="7653" w:type="dxa"/>
                        <w:gridSpan w:val="3"/>
                        <w:tcBorders>
                          <w:top w:val="nil" w:sz="6" w:space="0" w:color="auto"/>
                          <w:left w:val="nil" w:sz="6" w:space="0" w:color="auto"/>
                          <w:bottom w:val="single" w:sz="4" w:space="0" w:color="000000"/>
                          <w:right w:val="nil" w:sz="6" w:space="0" w:color="auto"/>
                        </w:tcBorders>
                      </w:tcPr>
                      <w:p>
                        <w:pPr/>
                      </w:p>
                    </w:tc>
                    <w:tc>
                      <w:tcPr>
                        <w:tcW w:w="985" w:type="dxa"/>
                        <w:tcBorders>
                          <w:top w:val="nil" w:sz="6" w:space="0" w:color="auto"/>
                          <w:left w:val="nil" w:sz="6" w:space="0" w:color="auto"/>
                          <w:bottom w:val="single" w:sz="4" w:space="0" w:color="000000"/>
                          <w:right w:val="nil" w:sz="6" w:space="0" w:color="auto"/>
                        </w:tcBorders>
                      </w:tcPr>
                      <w:p>
                        <w:pPr>
                          <w:pStyle w:val="TableParagraph"/>
                          <w:spacing w:line="200" w:lineRule="exact"/>
                          <w:ind w:right="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r>
                  <w:tr>
                    <w:trPr>
                      <w:trHeight w:val="287" w:hRule="exact"/>
                    </w:trPr>
                    <w:tc>
                      <w:tcPr>
                        <w:tcW w:w="331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郑州同方神火科技有限公司</w:t>
                        </w:r>
                      </w:p>
                    </w:tc>
                    <w:tc>
                      <w:tcPr>
                        <w:tcW w:w="993" w:type="dxa"/>
                        <w:tcBorders>
                          <w:top w:val="single" w:sz="4" w:space="0" w:color="000000"/>
                          <w:left w:val="nil" w:sz="6" w:space="0" w:color="auto"/>
                          <w:bottom w:val="nil" w:sz="6" w:space="0" w:color="auto"/>
                          <w:right w:val="nil" w:sz="6" w:space="0" w:color="auto"/>
                        </w:tcBorders>
                      </w:tcPr>
                      <w:p>
                        <w:pPr>
                          <w:pStyle w:val="TableParagraph"/>
                          <w:spacing w:line="226" w:lineRule="exact"/>
                          <w:ind w:left="147" w:right="0"/>
                          <w:jc w:val="left"/>
                          <w:rPr>
                            <w:rFonts w:ascii="楷体" w:hAnsi="楷体" w:cs="楷体" w:eastAsia="楷体" w:hint="default"/>
                            <w:sz w:val="18"/>
                            <w:szCs w:val="18"/>
                          </w:rPr>
                        </w:pPr>
                        <w:r>
                          <w:rPr>
                            <w:rFonts w:ascii="楷体" w:hAnsi="楷体" w:cs="楷体" w:eastAsia="楷体" w:hint="default"/>
                            <w:sz w:val="18"/>
                            <w:szCs w:val="18"/>
                          </w:rPr>
                          <w:t>河南郑州</w:t>
                        </w:r>
                      </w:p>
                    </w:tc>
                    <w:tc>
                      <w:tcPr>
                        <w:tcW w:w="3345" w:type="dxa"/>
                        <w:tcBorders>
                          <w:top w:val="single" w:sz="4" w:space="0" w:color="000000"/>
                          <w:left w:val="nil" w:sz="6" w:space="0" w:color="auto"/>
                          <w:bottom w:val="nil" w:sz="6" w:space="0" w:color="auto"/>
                          <w:right w:val="nil" w:sz="6" w:space="0" w:color="auto"/>
                        </w:tcBorders>
                      </w:tcPr>
                      <w:p>
                        <w:pPr>
                          <w:pStyle w:val="TableParagraph"/>
                          <w:spacing w:line="226" w:lineRule="exact"/>
                          <w:ind w:left="126" w:right="0"/>
                          <w:jc w:val="left"/>
                          <w:rPr>
                            <w:rFonts w:ascii="楷体" w:hAnsi="楷体" w:cs="楷体" w:eastAsia="楷体" w:hint="default"/>
                            <w:sz w:val="18"/>
                            <w:szCs w:val="18"/>
                          </w:rPr>
                        </w:pPr>
                        <w:r>
                          <w:rPr>
                            <w:rFonts w:ascii="楷体" w:hAnsi="楷体" w:cs="楷体" w:eastAsia="楷体" w:hint="default"/>
                            <w:sz w:val="18"/>
                            <w:szCs w:val="18"/>
                          </w:rPr>
                          <w:t>电子、通信、计算机软硬件，医疗仪器</w:t>
                        </w:r>
                      </w:p>
                    </w:tc>
                    <w:tc>
                      <w:tcPr>
                        <w:tcW w:w="98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
                          <w:jc w:val="center"/>
                          <w:rPr>
                            <w:rFonts w:ascii="Times New Roman" w:hAnsi="Times New Roman" w:cs="Times New Roman" w:eastAsia="Times New Roman" w:hint="default"/>
                            <w:sz w:val="18"/>
                            <w:szCs w:val="18"/>
                          </w:rPr>
                        </w:pPr>
                        <w:r>
                          <w:rPr>
                            <w:rFonts w:ascii="Times New Roman"/>
                            <w:sz w:val="18"/>
                          </w:rPr>
                          <w:t>50.00%</w:t>
                        </w:r>
                      </w:p>
                    </w:tc>
                  </w:tr>
                  <w:tr>
                    <w:trPr>
                      <w:trHeight w:val="28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北京中录同方文化传播有限公司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27" w:lineRule="exact"/>
                          <w:ind w:left="147" w:right="0"/>
                          <w:jc w:val="left"/>
                          <w:rPr>
                            <w:rFonts w:ascii="楷体" w:hAnsi="楷体" w:cs="楷体" w:eastAsia="楷体" w:hint="default"/>
                            <w:sz w:val="18"/>
                            <w:szCs w:val="18"/>
                          </w:rPr>
                        </w:pPr>
                        <w:r>
                          <w:rPr>
                            <w:rFonts w:ascii="楷体" w:hAnsi="楷体" w:cs="楷体" w:eastAsia="楷体" w:hint="default"/>
                            <w:sz w:val="18"/>
                            <w:szCs w:val="18"/>
                          </w:rPr>
                          <w:t>北京昌平</w:t>
                        </w:r>
                      </w:p>
                    </w:tc>
                    <w:tc>
                      <w:tcPr>
                        <w:tcW w:w="3345" w:type="dxa"/>
                        <w:tcBorders>
                          <w:top w:val="nil" w:sz="6" w:space="0" w:color="auto"/>
                          <w:left w:val="nil" w:sz="6" w:space="0" w:color="auto"/>
                          <w:bottom w:val="nil" w:sz="6" w:space="0" w:color="auto"/>
                          <w:right w:val="nil" w:sz="6" w:space="0" w:color="auto"/>
                        </w:tcBorders>
                      </w:tcPr>
                      <w:p>
                        <w:pPr>
                          <w:pStyle w:val="TableParagraph"/>
                          <w:spacing w:line="227" w:lineRule="exact"/>
                          <w:ind w:left="126" w:right="0"/>
                          <w:jc w:val="left"/>
                          <w:rPr>
                            <w:rFonts w:ascii="楷体" w:hAnsi="楷体" w:cs="楷体" w:eastAsia="楷体" w:hint="default"/>
                            <w:sz w:val="18"/>
                            <w:szCs w:val="18"/>
                          </w:rPr>
                        </w:pPr>
                        <w:r>
                          <w:rPr>
                            <w:rFonts w:ascii="楷体" w:hAnsi="楷体" w:cs="楷体" w:eastAsia="楷体" w:hint="default"/>
                            <w:sz w:val="18"/>
                            <w:szCs w:val="18"/>
                          </w:rPr>
                          <w:t>音像制品、数字多媒体、宽频网络</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
                          <w:jc w:val="center"/>
                          <w:rPr>
                            <w:rFonts w:ascii="Times New Roman" w:hAnsi="Times New Roman" w:cs="Times New Roman" w:eastAsia="Times New Roman" w:hint="default"/>
                            <w:sz w:val="18"/>
                            <w:szCs w:val="18"/>
                          </w:rPr>
                        </w:pPr>
                        <w:r>
                          <w:rPr>
                            <w:rFonts w:ascii="Times New Roman"/>
                            <w:sz w:val="18"/>
                          </w:rPr>
                          <w:t>50.00%</w:t>
                        </w:r>
                      </w:p>
                    </w:tc>
                  </w:tr>
                  <w:tr>
                    <w:trPr>
                      <w:trHeight w:val="28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嘉融投资有限公司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27" w:lineRule="exact"/>
                          <w:ind w:left="147" w:right="0"/>
                          <w:jc w:val="left"/>
                          <w:rPr>
                            <w:rFonts w:ascii="楷体" w:hAnsi="楷体" w:cs="楷体" w:eastAsia="楷体" w:hint="default"/>
                            <w:sz w:val="18"/>
                            <w:szCs w:val="18"/>
                          </w:rPr>
                        </w:pPr>
                        <w:r>
                          <w:rPr>
                            <w:rFonts w:ascii="楷体" w:hAnsi="楷体" w:cs="楷体" w:eastAsia="楷体" w:hint="default"/>
                            <w:sz w:val="18"/>
                            <w:szCs w:val="18"/>
                          </w:rPr>
                          <w:t>上海浦东</w:t>
                        </w:r>
                      </w:p>
                    </w:tc>
                    <w:tc>
                      <w:tcPr>
                        <w:tcW w:w="3345" w:type="dxa"/>
                        <w:tcBorders>
                          <w:top w:val="nil" w:sz="6" w:space="0" w:color="auto"/>
                          <w:left w:val="nil" w:sz="6" w:space="0" w:color="auto"/>
                          <w:bottom w:val="nil" w:sz="6" w:space="0" w:color="auto"/>
                          <w:right w:val="nil" w:sz="6" w:space="0" w:color="auto"/>
                        </w:tcBorders>
                      </w:tcPr>
                      <w:p>
                        <w:pPr>
                          <w:pStyle w:val="TableParagraph"/>
                          <w:spacing w:line="227" w:lineRule="exact"/>
                          <w:ind w:left="126" w:right="0"/>
                          <w:jc w:val="left"/>
                          <w:rPr>
                            <w:rFonts w:ascii="楷体" w:hAnsi="楷体" w:cs="楷体" w:eastAsia="楷体" w:hint="default"/>
                            <w:sz w:val="18"/>
                            <w:szCs w:val="18"/>
                          </w:rPr>
                        </w:pPr>
                        <w:r>
                          <w:rPr>
                            <w:rFonts w:ascii="楷体" w:hAnsi="楷体" w:cs="楷体" w:eastAsia="楷体" w:hint="default"/>
                            <w:sz w:val="18"/>
                            <w:szCs w:val="18"/>
                          </w:rPr>
                          <w:t>实业投资、创业投资、投资咨询与管理</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
                          <w:jc w:val="center"/>
                          <w:rPr>
                            <w:rFonts w:ascii="Times New Roman" w:hAnsi="Times New Roman" w:cs="Times New Roman" w:eastAsia="Times New Roman" w:hint="default"/>
                            <w:sz w:val="18"/>
                            <w:szCs w:val="18"/>
                          </w:rPr>
                        </w:pPr>
                        <w:r>
                          <w:rPr>
                            <w:rFonts w:ascii="Times New Roman"/>
                            <w:sz w:val="18"/>
                          </w:rPr>
                          <w:t>50.00%</w:t>
                        </w:r>
                      </w:p>
                    </w:tc>
                  </w:tr>
                  <w:tr>
                    <w:trPr>
                      <w:trHeight w:val="28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吉林同方科贸有限责任公司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27" w:lineRule="exact"/>
                          <w:ind w:left="147" w:right="0"/>
                          <w:jc w:val="left"/>
                          <w:rPr>
                            <w:rFonts w:ascii="楷体" w:hAnsi="楷体" w:cs="楷体" w:eastAsia="楷体" w:hint="default"/>
                            <w:sz w:val="18"/>
                            <w:szCs w:val="18"/>
                          </w:rPr>
                        </w:pPr>
                        <w:r>
                          <w:rPr>
                            <w:rFonts w:ascii="楷体" w:hAnsi="楷体" w:cs="楷体" w:eastAsia="楷体" w:hint="default"/>
                            <w:sz w:val="18"/>
                            <w:szCs w:val="18"/>
                          </w:rPr>
                          <w:t>吉林长春</w:t>
                        </w:r>
                      </w:p>
                    </w:tc>
                    <w:tc>
                      <w:tcPr>
                        <w:tcW w:w="3345" w:type="dxa"/>
                        <w:tcBorders>
                          <w:top w:val="nil" w:sz="6" w:space="0" w:color="auto"/>
                          <w:left w:val="nil" w:sz="6" w:space="0" w:color="auto"/>
                          <w:bottom w:val="nil" w:sz="6" w:space="0" w:color="auto"/>
                          <w:right w:val="nil" w:sz="6" w:space="0" w:color="auto"/>
                        </w:tcBorders>
                      </w:tcPr>
                      <w:p>
                        <w:pPr>
                          <w:pStyle w:val="TableParagraph"/>
                          <w:spacing w:line="227" w:lineRule="exact"/>
                          <w:ind w:left="126" w:right="0"/>
                          <w:jc w:val="left"/>
                          <w:rPr>
                            <w:rFonts w:ascii="楷体" w:hAnsi="楷体" w:cs="楷体" w:eastAsia="楷体" w:hint="default"/>
                            <w:sz w:val="18"/>
                            <w:szCs w:val="18"/>
                          </w:rPr>
                        </w:pPr>
                        <w:r>
                          <w:rPr>
                            <w:rFonts w:ascii="楷体" w:hAnsi="楷体" w:cs="楷体" w:eastAsia="楷体" w:hint="default"/>
                            <w:sz w:val="18"/>
                            <w:szCs w:val="18"/>
                          </w:rPr>
                          <w:t>计算机及信息产品、人环控制设备</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
                          <w:jc w:val="center"/>
                          <w:rPr>
                            <w:rFonts w:ascii="Times New Roman" w:hAnsi="Times New Roman" w:cs="Times New Roman" w:eastAsia="Times New Roman" w:hint="default"/>
                            <w:sz w:val="18"/>
                            <w:szCs w:val="18"/>
                          </w:rPr>
                        </w:pPr>
                        <w:r>
                          <w:rPr>
                            <w:rFonts w:ascii="Times New Roman"/>
                            <w:sz w:val="18"/>
                          </w:rPr>
                          <w:t>20.00%</w:t>
                        </w:r>
                      </w:p>
                    </w:tc>
                  </w:tr>
                  <w:tr>
                    <w:trPr>
                      <w:trHeight w:val="28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同方人工环境有限公司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27" w:lineRule="exact"/>
                          <w:ind w:left="147" w:right="0"/>
                          <w:jc w:val="left"/>
                          <w:rPr>
                            <w:rFonts w:ascii="楷体" w:hAnsi="楷体" w:cs="楷体" w:eastAsia="楷体" w:hint="default"/>
                            <w:sz w:val="18"/>
                            <w:szCs w:val="18"/>
                          </w:rPr>
                        </w:pPr>
                        <w:r>
                          <w:rPr>
                            <w:rFonts w:ascii="楷体" w:hAnsi="楷体" w:cs="楷体" w:eastAsia="楷体" w:hint="default"/>
                            <w:sz w:val="18"/>
                            <w:szCs w:val="18"/>
                          </w:rPr>
                          <w:t>北京海淀</w:t>
                        </w:r>
                      </w:p>
                    </w:tc>
                    <w:tc>
                      <w:tcPr>
                        <w:tcW w:w="3345" w:type="dxa"/>
                        <w:tcBorders>
                          <w:top w:val="nil" w:sz="6" w:space="0" w:color="auto"/>
                          <w:left w:val="nil" w:sz="6" w:space="0" w:color="auto"/>
                          <w:bottom w:val="nil" w:sz="6" w:space="0" w:color="auto"/>
                          <w:right w:val="nil" w:sz="6" w:space="0" w:color="auto"/>
                        </w:tcBorders>
                      </w:tcPr>
                      <w:p>
                        <w:pPr>
                          <w:pStyle w:val="TableParagraph"/>
                          <w:spacing w:line="227" w:lineRule="exact"/>
                          <w:ind w:left="126" w:right="0"/>
                          <w:jc w:val="left"/>
                          <w:rPr>
                            <w:rFonts w:ascii="楷体" w:hAnsi="楷体" w:cs="楷体" w:eastAsia="楷体" w:hint="default"/>
                            <w:sz w:val="18"/>
                            <w:szCs w:val="18"/>
                          </w:rPr>
                        </w:pPr>
                        <w:r>
                          <w:rPr>
                            <w:rFonts w:ascii="楷体" w:hAnsi="楷体" w:cs="楷体" w:eastAsia="楷体" w:hint="default"/>
                            <w:sz w:val="18"/>
                            <w:szCs w:val="18"/>
                          </w:rPr>
                          <w:t>中央空调机组、空气和水净化系统</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
                          <w:jc w:val="center"/>
                          <w:rPr>
                            <w:rFonts w:ascii="Times New Roman" w:hAnsi="Times New Roman" w:cs="Times New Roman" w:eastAsia="Times New Roman" w:hint="default"/>
                            <w:sz w:val="18"/>
                            <w:szCs w:val="18"/>
                          </w:rPr>
                        </w:pPr>
                        <w:r>
                          <w:rPr>
                            <w:rFonts w:ascii="Times New Roman"/>
                            <w:sz w:val="18"/>
                          </w:rPr>
                          <w:t>40.964%</w:t>
                        </w:r>
                      </w:p>
                    </w:tc>
                  </w:tr>
                  <w:tr>
                    <w:trPr>
                      <w:trHeight w:val="28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云南云电同方科技有限公司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26" w:lineRule="exact"/>
                          <w:ind w:left="147" w:right="0"/>
                          <w:jc w:val="left"/>
                          <w:rPr>
                            <w:rFonts w:ascii="楷体" w:hAnsi="楷体" w:cs="楷体" w:eastAsia="楷体" w:hint="default"/>
                            <w:sz w:val="18"/>
                            <w:szCs w:val="18"/>
                          </w:rPr>
                        </w:pPr>
                        <w:r>
                          <w:rPr>
                            <w:rFonts w:ascii="楷体" w:hAnsi="楷体" w:cs="楷体" w:eastAsia="楷体" w:hint="default"/>
                            <w:sz w:val="18"/>
                            <w:szCs w:val="18"/>
                          </w:rPr>
                          <w:t>云南昆明</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exact"/>
                          <w:ind w:left="126"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与电力高科技产品</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
                          <w:jc w:val="center"/>
                          <w:rPr>
                            <w:rFonts w:ascii="Times New Roman" w:hAnsi="Times New Roman" w:cs="Times New Roman" w:eastAsia="Times New Roman" w:hint="default"/>
                            <w:sz w:val="18"/>
                            <w:szCs w:val="18"/>
                          </w:rPr>
                        </w:pPr>
                        <w:r>
                          <w:rPr>
                            <w:rFonts w:ascii="Times New Roman"/>
                            <w:sz w:val="18"/>
                          </w:rPr>
                          <w:t>37.50%</w:t>
                        </w:r>
                      </w:p>
                    </w:tc>
                  </w:tr>
                  <w:tr>
                    <w:trPr>
                      <w:trHeight w:val="28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同方环境股份有限公司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27" w:lineRule="exact"/>
                          <w:ind w:left="146" w:right="0"/>
                          <w:jc w:val="left"/>
                          <w:rPr>
                            <w:rFonts w:ascii="楷体" w:hAnsi="楷体" w:cs="楷体" w:eastAsia="楷体" w:hint="default"/>
                            <w:sz w:val="18"/>
                            <w:szCs w:val="18"/>
                          </w:rPr>
                        </w:pPr>
                        <w:r>
                          <w:rPr>
                            <w:rFonts w:ascii="楷体" w:hAnsi="楷体" w:cs="楷体" w:eastAsia="楷体" w:hint="default"/>
                            <w:sz w:val="18"/>
                            <w:szCs w:val="18"/>
                          </w:rPr>
                          <w:t>北京海淀</w:t>
                        </w:r>
                      </w:p>
                    </w:tc>
                    <w:tc>
                      <w:tcPr>
                        <w:tcW w:w="3345" w:type="dxa"/>
                        <w:tcBorders>
                          <w:top w:val="nil" w:sz="6" w:space="0" w:color="auto"/>
                          <w:left w:val="nil" w:sz="6" w:space="0" w:color="auto"/>
                          <w:bottom w:val="nil" w:sz="6" w:space="0" w:color="auto"/>
                          <w:right w:val="nil" w:sz="6" w:space="0" w:color="auto"/>
                        </w:tcBorders>
                      </w:tcPr>
                      <w:p>
                        <w:pPr>
                          <w:pStyle w:val="TableParagraph"/>
                          <w:spacing w:line="227" w:lineRule="exact"/>
                          <w:ind w:left="125" w:right="0"/>
                          <w:jc w:val="left"/>
                          <w:rPr>
                            <w:rFonts w:ascii="楷体" w:hAnsi="楷体" w:cs="楷体" w:eastAsia="楷体" w:hint="default"/>
                            <w:sz w:val="18"/>
                            <w:szCs w:val="18"/>
                          </w:rPr>
                        </w:pPr>
                        <w:r>
                          <w:rPr>
                            <w:rFonts w:ascii="楷体" w:hAnsi="楷体" w:cs="楷体" w:eastAsia="楷体" w:hint="default"/>
                            <w:sz w:val="18"/>
                            <w:szCs w:val="18"/>
                          </w:rPr>
                          <w:t>环保工程、新能源发电、垃圾处理</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
                          <w:jc w:val="center"/>
                          <w:rPr>
                            <w:rFonts w:ascii="Times New Roman" w:hAnsi="Times New Roman" w:cs="Times New Roman" w:eastAsia="Times New Roman" w:hint="default"/>
                            <w:sz w:val="18"/>
                            <w:szCs w:val="18"/>
                          </w:rPr>
                        </w:pPr>
                        <w:r>
                          <w:rPr>
                            <w:rFonts w:ascii="Times New Roman"/>
                            <w:sz w:val="18"/>
                          </w:rPr>
                          <w:t>31.50%</w:t>
                        </w:r>
                      </w:p>
                    </w:tc>
                  </w:tr>
                  <w:tr>
                    <w:trPr>
                      <w:trHeight w:val="28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同方投资有限公司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27" w:lineRule="exact"/>
                          <w:ind w:left="146" w:right="0"/>
                          <w:jc w:val="left"/>
                          <w:rPr>
                            <w:rFonts w:ascii="楷体" w:hAnsi="楷体" w:cs="楷体" w:eastAsia="楷体" w:hint="default"/>
                            <w:sz w:val="18"/>
                            <w:szCs w:val="18"/>
                          </w:rPr>
                        </w:pPr>
                        <w:r>
                          <w:rPr>
                            <w:rFonts w:ascii="楷体" w:hAnsi="楷体" w:cs="楷体" w:eastAsia="楷体" w:hint="default"/>
                            <w:sz w:val="18"/>
                            <w:szCs w:val="18"/>
                          </w:rPr>
                          <w:t>山东潍坊</w:t>
                        </w:r>
                      </w:p>
                    </w:tc>
                    <w:tc>
                      <w:tcPr>
                        <w:tcW w:w="3345" w:type="dxa"/>
                        <w:tcBorders>
                          <w:top w:val="nil" w:sz="6" w:space="0" w:color="auto"/>
                          <w:left w:val="nil" w:sz="6" w:space="0" w:color="auto"/>
                          <w:bottom w:val="nil" w:sz="6" w:space="0" w:color="auto"/>
                          <w:right w:val="nil" w:sz="6" w:space="0" w:color="auto"/>
                        </w:tcBorders>
                      </w:tcPr>
                      <w:p>
                        <w:pPr>
                          <w:pStyle w:val="TableParagraph"/>
                          <w:spacing w:line="227" w:lineRule="exact"/>
                          <w:ind w:left="125" w:right="0"/>
                          <w:jc w:val="left"/>
                          <w:rPr>
                            <w:rFonts w:ascii="楷体" w:hAnsi="楷体" w:cs="楷体" w:eastAsia="楷体" w:hint="default"/>
                            <w:sz w:val="18"/>
                            <w:szCs w:val="18"/>
                          </w:rPr>
                        </w:pPr>
                        <w:r>
                          <w:rPr>
                            <w:rFonts w:ascii="楷体" w:hAnsi="楷体" w:cs="楷体" w:eastAsia="楷体" w:hint="default"/>
                            <w:sz w:val="18"/>
                            <w:szCs w:val="18"/>
                          </w:rPr>
                          <w:t>项目投资及管理、咨询服务</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
                          <w:jc w:val="center"/>
                          <w:rPr>
                            <w:rFonts w:ascii="Times New Roman" w:hAnsi="Times New Roman" w:cs="Times New Roman" w:eastAsia="Times New Roman" w:hint="default"/>
                            <w:sz w:val="18"/>
                            <w:szCs w:val="18"/>
                          </w:rPr>
                        </w:pPr>
                        <w:r>
                          <w:rPr>
                            <w:rFonts w:ascii="Times New Roman"/>
                            <w:sz w:val="18"/>
                          </w:rPr>
                          <w:t>36.36%</w:t>
                        </w:r>
                      </w:p>
                    </w:tc>
                  </w:tr>
                  <w:tr>
                    <w:trPr>
                      <w:trHeight w:val="28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北京同方易豪科技有限公司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27" w:lineRule="exact"/>
                          <w:ind w:left="146" w:right="0"/>
                          <w:jc w:val="left"/>
                          <w:rPr>
                            <w:rFonts w:ascii="楷体" w:hAnsi="楷体" w:cs="楷体" w:eastAsia="楷体" w:hint="default"/>
                            <w:sz w:val="18"/>
                            <w:szCs w:val="18"/>
                          </w:rPr>
                        </w:pPr>
                        <w:r>
                          <w:rPr>
                            <w:rFonts w:ascii="楷体" w:hAnsi="楷体" w:cs="楷体" w:eastAsia="楷体" w:hint="default"/>
                            <w:sz w:val="18"/>
                            <w:szCs w:val="18"/>
                          </w:rPr>
                          <w:t>北京海淀</w:t>
                        </w:r>
                      </w:p>
                    </w:tc>
                    <w:tc>
                      <w:tcPr>
                        <w:tcW w:w="3345" w:type="dxa"/>
                        <w:tcBorders>
                          <w:top w:val="nil" w:sz="6" w:space="0" w:color="auto"/>
                          <w:left w:val="nil" w:sz="6" w:space="0" w:color="auto"/>
                          <w:bottom w:val="nil" w:sz="6" w:space="0" w:color="auto"/>
                          <w:right w:val="nil" w:sz="6" w:space="0" w:color="auto"/>
                        </w:tcBorders>
                      </w:tcPr>
                      <w:p>
                        <w:pPr>
                          <w:pStyle w:val="TableParagraph"/>
                          <w:spacing w:line="227" w:lineRule="exact"/>
                          <w:ind w:left="125" w:right="0"/>
                          <w:jc w:val="left"/>
                          <w:rPr>
                            <w:rFonts w:ascii="楷体" w:hAnsi="楷体" w:cs="楷体" w:eastAsia="楷体" w:hint="default"/>
                            <w:sz w:val="18"/>
                            <w:szCs w:val="18"/>
                          </w:rPr>
                        </w:pPr>
                        <w:r>
                          <w:rPr>
                            <w:rFonts w:ascii="楷体" w:hAnsi="楷体" w:cs="楷体" w:eastAsia="楷体" w:hint="default"/>
                            <w:sz w:val="18"/>
                            <w:szCs w:val="18"/>
                          </w:rPr>
                          <w:t>酒店宽带与互动数字电视系统解决方案</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
                          <w:jc w:val="center"/>
                          <w:rPr>
                            <w:rFonts w:ascii="Times New Roman" w:hAnsi="Times New Roman" w:cs="Times New Roman" w:eastAsia="Times New Roman" w:hint="default"/>
                            <w:sz w:val="18"/>
                            <w:szCs w:val="18"/>
                          </w:rPr>
                        </w:pPr>
                        <w:r>
                          <w:rPr>
                            <w:rFonts w:ascii="Times New Roman"/>
                            <w:sz w:val="18"/>
                          </w:rPr>
                          <w:t>48.37%</w:t>
                        </w:r>
                      </w:p>
                    </w:tc>
                  </w:tr>
                  <w:tr>
                    <w:trPr>
                      <w:trHeight w:val="28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北京亚仕同方科技有限公司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27" w:lineRule="exact"/>
                          <w:ind w:left="146" w:right="0"/>
                          <w:jc w:val="left"/>
                          <w:rPr>
                            <w:rFonts w:ascii="楷体" w:hAnsi="楷体" w:cs="楷体" w:eastAsia="楷体" w:hint="default"/>
                            <w:sz w:val="18"/>
                            <w:szCs w:val="18"/>
                          </w:rPr>
                        </w:pPr>
                        <w:r>
                          <w:rPr>
                            <w:rFonts w:ascii="楷体" w:hAnsi="楷体" w:cs="楷体" w:eastAsia="楷体" w:hint="default"/>
                            <w:sz w:val="18"/>
                            <w:szCs w:val="18"/>
                          </w:rPr>
                          <w:t>北京海淀</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exact"/>
                          <w:ind w:left="125"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4"/>
                            <w:sz w:val="18"/>
                            <w:szCs w:val="18"/>
                          </w:rPr>
                          <w:t> </w:t>
                        </w:r>
                        <w:r>
                          <w:rPr>
                            <w:rFonts w:ascii="楷体" w:hAnsi="楷体" w:cs="楷体" w:eastAsia="楷体" w:hint="default"/>
                            <w:sz w:val="18"/>
                            <w:szCs w:val="18"/>
                          </w:rPr>
                          <w:t>电子标签识别技术产品</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
                          <w:jc w:val="center"/>
                          <w:rPr>
                            <w:rFonts w:ascii="Times New Roman" w:hAnsi="Times New Roman" w:cs="Times New Roman" w:eastAsia="Times New Roman" w:hint="default"/>
                            <w:sz w:val="18"/>
                            <w:szCs w:val="18"/>
                          </w:rPr>
                        </w:pPr>
                        <w:r>
                          <w:rPr>
                            <w:rFonts w:ascii="Times New Roman"/>
                            <w:sz w:val="18"/>
                          </w:rPr>
                          <w:t>49.9999%</w:t>
                        </w:r>
                      </w:p>
                    </w:tc>
                  </w:tr>
                  <w:tr>
                    <w:trPr>
                      <w:trHeight w:val="28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上海百视通电视传媒有限公司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27" w:lineRule="exact"/>
                          <w:ind w:left="146" w:right="0"/>
                          <w:jc w:val="left"/>
                          <w:rPr>
                            <w:rFonts w:ascii="楷体" w:hAnsi="楷体" w:cs="楷体" w:eastAsia="楷体" w:hint="default"/>
                            <w:sz w:val="18"/>
                            <w:szCs w:val="18"/>
                          </w:rPr>
                        </w:pPr>
                        <w:r>
                          <w:rPr>
                            <w:rFonts w:ascii="楷体" w:hAnsi="楷体" w:cs="楷体" w:eastAsia="楷体" w:hint="default"/>
                            <w:sz w:val="18"/>
                            <w:szCs w:val="18"/>
                          </w:rPr>
                          <w:t>上海虹口</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exact"/>
                          <w:ind w:left="125"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29"/>
                            <w:sz w:val="18"/>
                            <w:szCs w:val="18"/>
                          </w:rPr>
                          <w:t> </w:t>
                        </w:r>
                        <w:r>
                          <w:rPr>
                            <w:rFonts w:ascii="楷体" w:hAnsi="楷体" w:cs="楷体" w:eastAsia="楷体" w:hint="default"/>
                            <w:sz w:val="18"/>
                            <w:szCs w:val="18"/>
                          </w:rPr>
                          <w:t>视听节目、广告及相关</w:t>
                        </w:r>
                        <w:r>
                          <w:rPr>
                            <w:rFonts w:ascii="Times New Roman" w:hAnsi="Times New Roman" w:cs="Times New Roman" w:eastAsia="Times New Roman" w:hint="default"/>
                            <w:sz w:val="18"/>
                            <w:szCs w:val="18"/>
                          </w:rPr>
                          <w:t>”</w:t>
                        </w:r>
                        <w:r>
                          <w:rPr>
                            <w:rFonts w:ascii="楷体" w:hAnsi="楷体" w:cs="楷体" w:eastAsia="楷体" w:hint="default"/>
                            <w:sz w:val="18"/>
                            <w:szCs w:val="18"/>
                          </w:rPr>
                          <w:t>四技</w:t>
                        </w:r>
                        <w:r>
                          <w:rPr>
                            <w:rFonts w:ascii="Times New Roman" w:hAnsi="Times New Roman" w:cs="Times New Roman" w:eastAsia="Times New Roman" w:hint="default"/>
                            <w:sz w:val="18"/>
                            <w:szCs w:val="18"/>
                          </w:rPr>
                          <w:t>”</w:t>
                        </w:r>
                        <w:r>
                          <w:rPr>
                            <w:rFonts w:ascii="楷体" w:hAnsi="楷体" w:cs="楷体" w:eastAsia="楷体" w:hint="default"/>
                            <w:sz w:val="18"/>
                            <w:szCs w:val="18"/>
                          </w:rPr>
                          <w:t>业务</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
                          <w:jc w:val="center"/>
                          <w:rPr>
                            <w:rFonts w:ascii="Times New Roman" w:hAnsi="Times New Roman" w:cs="Times New Roman" w:eastAsia="Times New Roman" w:hint="default"/>
                            <w:sz w:val="18"/>
                            <w:szCs w:val="18"/>
                          </w:rPr>
                        </w:pPr>
                        <w:r>
                          <w:rPr>
                            <w:rFonts w:ascii="Times New Roman"/>
                            <w:sz w:val="18"/>
                          </w:rPr>
                          <w:t>40.00%</w:t>
                        </w:r>
                      </w:p>
                    </w:tc>
                  </w:tr>
                  <w:tr>
                    <w:trPr>
                      <w:trHeight w:val="299" w:hRule="exact"/>
                    </w:trPr>
                    <w:tc>
                      <w:tcPr>
                        <w:tcW w:w="3315" w:type="dxa"/>
                        <w:tcBorders>
                          <w:top w:val="nil" w:sz="6" w:space="0" w:color="auto"/>
                          <w:left w:val="nil" w:sz="6" w:space="0" w:color="auto"/>
                          <w:bottom w:val="single" w:sz="12"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百视通网络电视技术发展有限责任公司</w:t>
                        </w:r>
                      </w:p>
                    </w:tc>
                    <w:tc>
                      <w:tcPr>
                        <w:tcW w:w="993" w:type="dxa"/>
                        <w:tcBorders>
                          <w:top w:val="nil" w:sz="6" w:space="0" w:color="auto"/>
                          <w:left w:val="nil" w:sz="6" w:space="0" w:color="auto"/>
                          <w:bottom w:val="single" w:sz="12" w:space="0" w:color="000000"/>
                          <w:right w:val="nil" w:sz="6" w:space="0" w:color="auto"/>
                        </w:tcBorders>
                      </w:tcPr>
                      <w:p>
                        <w:pPr>
                          <w:pStyle w:val="TableParagraph"/>
                          <w:spacing w:line="226" w:lineRule="exact"/>
                          <w:ind w:left="146" w:right="0"/>
                          <w:jc w:val="left"/>
                          <w:rPr>
                            <w:rFonts w:ascii="楷体" w:hAnsi="楷体" w:cs="楷体" w:eastAsia="楷体" w:hint="default"/>
                            <w:sz w:val="18"/>
                            <w:szCs w:val="18"/>
                          </w:rPr>
                        </w:pPr>
                        <w:r>
                          <w:rPr>
                            <w:rFonts w:ascii="楷体" w:hAnsi="楷体" w:cs="楷体" w:eastAsia="楷体" w:hint="default"/>
                            <w:sz w:val="18"/>
                            <w:szCs w:val="18"/>
                          </w:rPr>
                          <w:t>上海长宁</w:t>
                        </w:r>
                      </w:p>
                    </w:tc>
                    <w:tc>
                      <w:tcPr>
                        <w:tcW w:w="3345" w:type="dxa"/>
                        <w:tcBorders>
                          <w:top w:val="nil" w:sz="6" w:space="0" w:color="auto"/>
                          <w:left w:val="nil" w:sz="6" w:space="0" w:color="auto"/>
                          <w:bottom w:val="single" w:sz="12" w:space="0" w:color="000000"/>
                          <w:right w:val="nil" w:sz="6" w:space="0" w:color="auto"/>
                        </w:tcBorders>
                      </w:tcPr>
                      <w:p>
                        <w:pPr>
                          <w:pStyle w:val="TableParagraph"/>
                          <w:spacing w:line="240" w:lineRule="exact"/>
                          <w:ind w:left="125"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信息、网络及应用技术服务</w:t>
                        </w:r>
                      </w:p>
                    </w:tc>
                    <w:tc>
                      <w:tcPr>
                        <w:tcW w:w="985"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5"/>
                          <w:jc w:val="center"/>
                          <w:rPr>
                            <w:rFonts w:ascii="Times New Roman" w:hAnsi="Times New Roman" w:cs="Times New Roman" w:eastAsia="Times New Roman" w:hint="default"/>
                            <w:sz w:val="18"/>
                            <w:szCs w:val="18"/>
                          </w:rPr>
                        </w:pPr>
                        <w:r>
                          <w:rPr>
                            <w:rFonts w:ascii="Times New Roman"/>
                            <w:sz w:val="18"/>
                          </w:rPr>
                          <w:t>40.00%</w:t>
                        </w:r>
                      </w:p>
                    </w:tc>
                  </w:tr>
                </w:tbl>
                <w:p>
                  <w:pPr/>
                </w:p>
              </w:txbxContent>
            </v:textbox>
            <w10:wrap type="none"/>
          </v:shape>
        </w:pict>
      </w:r>
      <w:r>
        <w:rPr>
          <w:rFonts w:ascii="Microsoft JhengHei" w:hAnsi="Microsoft JhengHei" w:cs="Microsoft JhengHei" w:eastAsia="Microsoft JhengHei" w:hint="default"/>
          <w:b/>
          <w:bCs/>
          <w:sz w:val="18"/>
          <w:szCs w:val="18"/>
        </w:rPr>
        <w:t>被投资单位名称</w:t>
        <w:tab/>
        <w:t>注册地</w:t>
        <w:tab/>
        <w:t>主营业务</w:t>
        <w:tab/>
      </w:r>
      <w:r>
        <w:rPr>
          <w:rFonts w:ascii="Microsoft JhengHei" w:hAnsi="Microsoft JhengHei" w:cs="Microsoft JhengHei" w:eastAsia="Microsoft JhengHei" w:hint="default"/>
          <w:b/>
          <w:bCs/>
          <w:position w:val="10"/>
          <w:sz w:val="18"/>
          <w:szCs w:val="18"/>
        </w:rPr>
        <w:t>持股</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600" w:bottom="280" w:left="760" w:right="6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5"/>
          <w:szCs w:val="15"/>
        </w:rPr>
      </w:pPr>
    </w:p>
    <w:p>
      <w:pPr>
        <w:spacing w:line="30" w:lineRule="exact"/>
        <w:ind w:left="409"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line="240" w:lineRule="auto" w:before="8"/>
        <w:rPr>
          <w:rFonts w:ascii="Microsoft JhengHei" w:hAnsi="Microsoft JhengHei" w:cs="Microsoft JhengHei" w:eastAsia="Microsoft JhengHei" w:hint="default"/>
          <w:b/>
          <w:bCs/>
          <w:sz w:val="4"/>
          <w:szCs w:val="4"/>
        </w:rPr>
      </w:pPr>
    </w:p>
    <w:p>
      <w:pPr>
        <w:spacing w:line="300" w:lineRule="exact" w:before="0"/>
        <w:ind w:left="524" w:right="6555" w:firstLine="0"/>
        <w:jc w:val="left"/>
        <w:rPr>
          <w:rFonts w:ascii="Microsoft JhengHei" w:hAnsi="Microsoft JhengHei" w:cs="Microsoft JhengHei" w:eastAsia="Microsoft JhengHei" w:hint="default"/>
          <w:sz w:val="18"/>
          <w:szCs w:val="18"/>
        </w:rPr>
      </w:pPr>
      <w:r>
        <w:rPr/>
        <w:pict>
          <v:shape style="position:absolute;margin-left:84.839996pt;margin-top:-215.541565pt;width:431.9pt;height:444.85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43"/>
                    <w:gridCol w:w="3172"/>
                    <w:gridCol w:w="1523"/>
                  </w:tblGrid>
                  <w:tr>
                    <w:trPr>
                      <w:trHeight w:val="965" w:hRule="exact"/>
                    </w:trPr>
                    <w:tc>
                      <w:tcPr>
                        <w:tcW w:w="3943" w:type="dxa"/>
                        <w:tcBorders>
                          <w:top w:val="nil" w:sz="6" w:space="0" w:color="auto"/>
                          <w:left w:val="nil" w:sz="6" w:space="0" w:color="auto"/>
                          <w:bottom w:val="single" w:sz="12" w:space="0" w:color="000000"/>
                          <w:right w:val="nil" w:sz="6" w:space="0" w:color="auto"/>
                        </w:tcBorders>
                      </w:tcPr>
                      <w:p>
                        <w:pPr>
                          <w:pStyle w:val="TableParagraph"/>
                          <w:tabs>
                            <w:tab w:pos="628" w:val="left" w:leader="none"/>
                          </w:tabs>
                          <w:spacing w:line="240" w:lineRule="auto" w:before="31"/>
                          <w:ind w:left="161" w:right="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4.</w:t>
                          <w:tab/>
                        </w:r>
                        <w:r>
                          <w:rPr>
                            <w:rFonts w:ascii="楷体" w:hAnsi="楷体" w:cs="楷体" w:eastAsia="楷体" w:hint="default"/>
                            <w:sz w:val="22"/>
                            <w:szCs w:val="22"/>
                          </w:rPr>
                          <w:t>营业收入、营业成本</w:t>
                        </w:r>
                      </w:p>
                      <w:p>
                        <w:pPr>
                          <w:pStyle w:val="TableParagraph"/>
                          <w:spacing w:line="240" w:lineRule="auto" w:before="162"/>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营业收入及成本</w:t>
                        </w:r>
                      </w:p>
                    </w:tc>
                    <w:tc>
                      <w:tcPr>
                        <w:tcW w:w="4695"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94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17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0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52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394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主营业务收入</w:t>
                        </w:r>
                      </w:p>
                    </w:tc>
                    <w:tc>
                      <w:tcPr>
                        <w:tcW w:w="317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152" w:right="0"/>
                          <w:jc w:val="left"/>
                          <w:rPr>
                            <w:rFonts w:ascii="Times New Roman" w:hAnsi="Times New Roman" w:cs="Times New Roman" w:eastAsia="Times New Roman" w:hint="default"/>
                            <w:sz w:val="18"/>
                            <w:szCs w:val="18"/>
                          </w:rPr>
                        </w:pPr>
                        <w:r>
                          <w:rPr>
                            <w:rFonts w:ascii="Times New Roman"/>
                            <w:sz w:val="18"/>
                          </w:rPr>
                          <w:t>6,275,148,310.72</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6,496,968,172.42</w:t>
                        </w:r>
                      </w:p>
                    </w:tc>
                  </w:tr>
                  <w:tr>
                    <w:trPr>
                      <w:trHeight w:val="289" w:hRule="exact"/>
                    </w:trPr>
                    <w:tc>
                      <w:tcPr>
                        <w:tcW w:w="3943"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其他业务收入</w:t>
                        </w:r>
                      </w:p>
                    </w:tc>
                    <w:tc>
                      <w:tcPr>
                        <w:tcW w:w="317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376" w:right="0"/>
                          <w:jc w:val="left"/>
                          <w:rPr>
                            <w:rFonts w:ascii="Times New Roman" w:hAnsi="Times New Roman" w:cs="Times New Roman" w:eastAsia="Times New Roman" w:hint="default"/>
                            <w:sz w:val="18"/>
                            <w:szCs w:val="18"/>
                          </w:rPr>
                        </w:pPr>
                        <w:r>
                          <w:rPr>
                            <w:rFonts w:ascii="Times New Roman"/>
                            <w:sz w:val="18"/>
                          </w:rPr>
                          <w:t>20,243,469.32</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40,300,823.13</w:t>
                        </w:r>
                      </w:p>
                    </w:tc>
                  </w:tr>
                  <w:tr>
                    <w:trPr>
                      <w:trHeight w:val="303" w:hRule="exact"/>
                    </w:trPr>
                    <w:tc>
                      <w:tcPr>
                        <w:tcW w:w="3943"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152" w:right="0"/>
                          <w:jc w:val="left"/>
                          <w:rPr>
                            <w:rFonts w:ascii="Times New Roman" w:hAnsi="Times New Roman" w:cs="Times New Roman" w:eastAsia="Times New Roman" w:hint="default"/>
                            <w:sz w:val="18"/>
                            <w:szCs w:val="18"/>
                          </w:rPr>
                        </w:pPr>
                        <w:r>
                          <w:rPr>
                            <w:rFonts w:ascii="Times New Roman"/>
                            <w:b/>
                            <w:sz w:val="18"/>
                          </w:rPr>
                          <w:t>6,295,391,780.04</w:t>
                        </w:r>
                        <w:r>
                          <w:rPr>
                            <w:rFonts w:ascii="Times New Roman"/>
                            <w:sz w:val="18"/>
                          </w:rPr>
                        </w:r>
                      </w:p>
                    </w:tc>
                    <w:tc>
                      <w:tcPr>
                        <w:tcW w:w="15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6,537,268,995.55</w:t>
                        </w:r>
                        <w:r>
                          <w:rPr>
                            <w:rFonts w:ascii="Times New Roman"/>
                            <w:spacing w:val="-1"/>
                            <w:sz w:val="18"/>
                          </w:rPr>
                        </w:r>
                      </w:p>
                    </w:tc>
                  </w:tr>
                  <w:tr>
                    <w:trPr>
                      <w:trHeight w:val="303" w:hRule="exact"/>
                    </w:trPr>
                    <w:tc>
                      <w:tcPr>
                        <w:tcW w:w="3943" w:type="dxa"/>
                        <w:tcBorders>
                          <w:top w:val="single" w:sz="12" w:space="0" w:color="000000"/>
                          <w:left w:val="nil" w:sz="6" w:space="0" w:color="auto"/>
                          <w:bottom w:val="single" w:sz="4" w:space="0" w:color="000000"/>
                          <w:right w:val="nil" w:sz="6" w:space="0" w:color="auto"/>
                        </w:tcBorders>
                      </w:tcPr>
                      <w:p>
                        <w:pPr>
                          <w:pStyle w:val="TableParagraph"/>
                          <w:spacing w:line="239" w:lineRule="exact"/>
                          <w:ind w:left="107" w:right="0"/>
                          <w:jc w:val="left"/>
                          <w:rPr>
                            <w:rFonts w:ascii="楷体" w:hAnsi="楷体" w:cs="楷体" w:eastAsia="楷体" w:hint="default"/>
                            <w:sz w:val="18"/>
                            <w:szCs w:val="18"/>
                          </w:rPr>
                        </w:pPr>
                        <w:r>
                          <w:rPr>
                            <w:rFonts w:ascii="楷体" w:hAnsi="楷体" w:cs="楷体" w:eastAsia="楷体" w:hint="default"/>
                            <w:sz w:val="18"/>
                            <w:szCs w:val="18"/>
                          </w:rPr>
                          <w:t>前</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名客户销售额</w:t>
                        </w:r>
                      </w:p>
                    </w:tc>
                    <w:tc>
                      <w:tcPr>
                        <w:tcW w:w="3172" w:type="dxa"/>
                        <w:tcBorders>
                          <w:top w:val="single" w:sz="12" w:space="0" w:color="000000"/>
                          <w:left w:val="nil" w:sz="6" w:space="0" w:color="auto"/>
                          <w:bottom w:val="single" w:sz="4" w:space="0" w:color="000000"/>
                          <w:right w:val="nil" w:sz="6" w:space="0" w:color="auto"/>
                        </w:tcBorders>
                      </w:tcPr>
                      <w:p>
                        <w:pPr>
                          <w:pStyle w:val="TableParagraph"/>
                          <w:spacing w:line="240" w:lineRule="auto" w:before="32"/>
                          <w:ind w:left="1152" w:right="0"/>
                          <w:jc w:val="left"/>
                          <w:rPr>
                            <w:rFonts w:ascii="Times New Roman" w:hAnsi="Times New Roman" w:cs="Times New Roman" w:eastAsia="Times New Roman" w:hint="default"/>
                            <w:sz w:val="18"/>
                            <w:szCs w:val="18"/>
                          </w:rPr>
                        </w:pPr>
                        <w:r>
                          <w:rPr>
                            <w:rFonts w:ascii="Times New Roman"/>
                            <w:sz w:val="18"/>
                          </w:rPr>
                          <w:t>1,073,887,547.08</w:t>
                        </w:r>
                      </w:p>
                    </w:tc>
                    <w:tc>
                      <w:tcPr>
                        <w:tcW w:w="1523" w:type="dxa"/>
                        <w:tcBorders>
                          <w:top w:val="single" w:sz="12"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1,141,863,059.14</w:t>
                        </w:r>
                      </w:p>
                    </w:tc>
                  </w:tr>
                  <w:tr>
                    <w:trPr>
                      <w:trHeight w:val="303" w:hRule="exact"/>
                    </w:trPr>
                    <w:tc>
                      <w:tcPr>
                        <w:tcW w:w="394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所占比例</w:t>
                        </w:r>
                      </w:p>
                    </w:tc>
                    <w:tc>
                      <w:tcPr>
                        <w:tcW w:w="3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856" w:right="0"/>
                          <w:jc w:val="left"/>
                          <w:rPr>
                            <w:rFonts w:ascii="Times New Roman" w:hAnsi="Times New Roman" w:cs="Times New Roman" w:eastAsia="Times New Roman" w:hint="default"/>
                            <w:sz w:val="18"/>
                            <w:szCs w:val="18"/>
                          </w:rPr>
                        </w:pPr>
                        <w:r>
                          <w:rPr>
                            <w:rFonts w:ascii="Times New Roman"/>
                            <w:sz w:val="18"/>
                          </w:rPr>
                          <w:t>17.06%</w:t>
                        </w:r>
                      </w:p>
                    </w:tc>
                    <w:tc>
                      <w:tcPr>
                        <w:tcW w:w="15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17.47%</w:t>
                        </w:r>
                      </w:p>
                    </w:tc>
                  </w:tr>
                  <w:tr>
                    <w:trPr>
                      <w:trHeight w:val="297" w:hRule="exact"/>
                    </w:trPr>
                    <w:tc>
                      <w:tcPr>
                        <w:tcW w:w="3943" w:type="dxa"/>
                        <w:tcBorders>
                          <w:top w:val="single" w:sz="12"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主营业务成本</w:t>
                        </w:r>
                      </w:p>
                    </w:tc>
                    <w:tc>
                      <w:tcPr>
                        <w:tcW w:w="3172" w:type="dxa"/>
                        <w:tcBorders>
                          <w:top w:val="single" w:sz="12" w:space="0" w:color="000000"/>
                          <w:left w:val="nil" w:sz="6" w:space="0" w:color="auto"/>
                          <w:bottom w:val="nil" w:sz="6" w:space="0" w:color="auto"/>
                          <w:right w:val="nil" w:sz="6" w:space="0" w:color="auto"/>
                        </w:tcBorders>
                      </w:tcPr>
                      <w:p>
                        <w:pPr>
                          <w:pStyle w:val="TableParagraph"/>
                          <w:spacing w:line="240" w:lineRule="auto" w:before="32"/>
                          <w:ind w:left="1152" w:right="0"/>
                          <w:jc w:val="left"/>
                          <w:rPr>
                            <w:rFonts w:ascii="Times New Roman" w:hAnsi="Times New Roman" w:cs="Times New Roman" w:eastAsia="Times New Roman" w:hint="default"/>
                            <w:sz w:val="18"/>
                            <w:szCs w:val="18"/>
                          </w:rPr>
                        </w:pPr>
                        <w:r>
                          <w:rPr>
                            <w:rFonts w:ascii="Times New Roman"/>
                            <w:sz w:val="18"/>
                          </w:rPr>
                          <w:t>5,754,898,280.27</w:t>
                        </w:r>
                      </w:p>
                    </w:tc>
                    <w:tc>
                      <w:tcPr>
                        <w:tcW w:w="1523" w:type="dxa"/>
                        <w:tcBorders>
                          <w:top w:val="single" w:sz="12"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6,050,290,218.49</w:t>
                        </w:r>
                      </w:p>
                    </w:tc>
                  </w:tr>
                  <w:tr>
                    <w:trPr>
                      <w:trHeight w:val="289" w:hRule="exact"/>
                    </w:trPr>
                    <w:tc>
                      <w:tcPr>
                        <w:tcW w:w="3943"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其他业务成本</w:t>
                        </w:r>
                      </w:p>
                    </w:tc>
                    <w:tc>
                      <w:tcPr>
                        <w:tcW w:w="317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601" w:right="0"/>
                          <w:jc w:val="left"/>
                          <w:rPr>
                            <w:rFonts w:ascii="Times New Roman" w:hAnsi="Times New Roman" w:cs="Times New Roman" w:eastAsia="Times New Roman" w:hint="default"/>
                            <w:sz w:val="18"/>
                            <w:szCs w:val="18"/>
                          </w:rPr>
                        </w:pPr>
                        <w:r>
                          <w:rPr>
                            <w:rFonts w:ascii="Times New Roman"/>
                            <w:sz w:val="18"/>
                          </w:rPr>
                          <w:t>257,270.84</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9,611,180.49</w:t>
                        </w:r>
                      </w:p>
                    </w:tc>
                  </w:tr>
                  <w:tr>
                    <w:trPr>
                      <w:trHeight w:val="303" w:hRule="exact"/>
                    </w:trPr>
                    <w:tc>
                      <w:tcPr>
                        <w:tcW w:w="3943"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161" w:right="0"/>
                          <w:jc w:val="left"/>
                          <w:rPr>
                            <w:rFonts w:ascii="Times New Roman" w:hAnsi="Times New Roman" w:cs="Times New Roman" w:eastAsia="Times New Roman" w:hint="default"/>
                            <w:sz w:val="18"/>
                            <w:szCs w:val="18"/>
                          </w:rPr>
                        </w:pPr>
                        <w:r>
                          <w:rPr>
                            <w:rFonts w:ascii="Times New Roman"/>
                            <w:b/>
                            <w:sz w:val="18"/>
                          </w:rPr>
                          <w:t>5,755,155,551.11</w:t>
                        </w:r>
                        <w:r>
                          <w:rPr>
                            <w:rFonts w:ascii="Times New Roman"/>
                            <w:sz w:val="18"/>
                          </w:rPr>
                        </w:r>
                      </w:p>
                    </w:tc>
                    <w:tc>
                      <w:tcPr>
                        <w:tcW w:w="15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6,059,901,398.98</w:t>
                        </w:r>
                        <w:r>
                          <w:rPr>
                            <w:rFonts w:ascii="Times New Roman"/>
                            <w:spacing w:val="-1"/>
                            <w:sz w:val="18"/>
                          </w:rPr>
                        </w:r>
                      </w:p>
                    </w:tc>
                  </w:tr>
                  <w:tr>
                    <w:trPr>
                      <w:trHeight w:val="409" w:hRule="exact"/>
                    </w:trPr>
                    <w:tc>
                      <w:tcPr>
                        <w:tcW w:w="3943"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主营业务</w:t>
                        </w:r>
                        <w:r>
                          <w:rPr>
                            <w:rFonts w:ascii="Times New Roman" w:hAnsi="Times New Roman" w:cs="Times New Roman" w:eastAsia="Times New Roman" w:hint="default"/>
                            <w:sz w:val="22"/>
                            <w:szCs w:val="22"/>
                          </w:rPr>
                          <w:t>—</w:t>
                        </w:r>
                        <w:r>
                          <w:rPr>
                            <w:rFonts w:ascii="楷体" w:hAnsi="楷体" w:cs="楷体" w:eastAsia="楷体" w:hint="default"/>
                            <w:sz w:val="22"/>
                            <w:szCs w:val="22"/>
                          </w:rPr>
                          <w:t>按业务类别分类</w:t>
                        </w:r>
                      </w:p>
                    </w:tc>
                    <w:tc>
                      <w:tcPr>
                        <w:tcW w:w="3172" w:type="dxa"/>
                        <w:tcBorders>
                          <w:top w:val="single" w:sz="12" w:space="0" w:color="000000"/>
                          <w:left w:val="nil" w:sz="6" w:space="0" w:color="auto"/>
                          <w:bottom w:val="nil" w:sz="6" w:space="0" w:color="auto"/>
                          <w:right w:val="nil" w:sz="6" w:space="0" w:color="auto"/>
                        </w:tcBorders>
                      </w:tcPr>
                      <w:p>
                        <w:pPr/>
                      </w:p>
                    </w:tc>
                    <w:tc>
                      <w:tcPr>
                        <w:tcW w:w="1523" w:type="dxa"/>
                        <w:tcBorders>
                          <w:top w:val="single" w:sz="12" w:space="0" w:color="000000"/>
                          <w:left w:val="nil" w:sz="6" w:space="0" w:color="auto"/>
                          <w:bottom w:val="nil" w:sz="6" w:space="0" w:color="auto"/>
                          <w:right w:val="nil" w:sz="6" w:space="0" w:color="auto"/>
                        </w:tcBorders>
                      </w:tcPr>
                      <w:p>
                        <w:pPr/>
                      </w:p>
                    </w:tc>
                  </w:tr>
                  <w:tr>
                    <w:trPr>
                      <w:trHeight w:val="470" w:hRule="exact"/>
                    </w:trPr>
                    <w:tc>
                      <w:tcPr>
                        <w:tcW w:w="8638" w:type="dxa"/>
                        <w:gridSpan w:val="3"/>
                        <w:tcBorders>
                          <w:top w:val="nil" w:sz="6" w:space="0" w:color="auto"/>
                          <w:left w:val="nil" w:sz="6" w:space="0" w:color="auto"/>
                          <w:bottom w:val="nil" w:sz="6" w:space="0" w:color="auto"/>
                          <w:right w:val="nil" w:sz="6" w:space="0" w:color="auto"/>
                        </w:tcBorders>
                      </w:tcPr>
                      <w:p>
                        <w:pPr>
                          <w:pStyle w:val="TableParagraph"/>
                          <w:tabs>
                            <w:tab w:pos="6697" w:val="left" w:leader="none"/>
                          </w:tabs>
                          <w:spacing w:line="240" w:lineRule="auto" w:before="114"/>
                          <w:ind w:left="35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tab/>
                          <w:t>上年金额</w:t>
                        </w:r>
                        <w:r>
                          <w:rPr>
                            <w:rFonts w:ascii="Microsoft JhengHei" w:hAnsi="Microsoft JhengHei" w:cs="Microsoft JhengHei" w:eastAsia="Microsoft JhengHei" w:hint="default"/>
                            <w:sz w:val="18"/>
                            <w:szCs w:val="18"/>
                          </w:rPr>
                        </w:r>
                      </w:p>
                    </w:tc>
                  </w:tr>
                  <w:tr>
                    <w:trPr>
                      <w:trHeight w:val="293" w:hRule="exact"/>
                    </w:trPr>
                    <w:tc>
                      <w:tcPr>
                        <w:tcW w:w="3943"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255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主营业务收入</w:t>
                        </w:r>
                        <w:r>
                          <w:rPr>
                            <w:rFonts w:ascii="Microsoft JhengHei" w:hAnsi="Microsoft JhengHei" w:cs="Microsoft JhengHei" w:eastAsia="Microsoft JhengHei" w:hint="default"/>
                            <w:sz w:val="18"/>
                            <w:szCs w:val="18"/>
                          </w:rPr>
                        </w:r>
                      </w:p>
                    </w:tc>
                    <w:tc>
                      <w:tcPr>
                        <w:tcW w:w="3172" w:type="dxa"/>
                        <w:tcBorders>
                          <w:top w:val="single" w:sz="4" w:space="0" w:color="000000"/>
                          <w:left w:val="nil" w:sz="6" w:space="0" w:color="auto"/>
                          <w:bottom w:val="single" w:sz="4" w:space="0" w:color="000000"/>
                          <w:right w:val="nil" w:sz="6" w:space="0" w:color="auto"/>
                        </w:tcBorders>
                      </w:tcPr>
                      <w:p>
                        <w:pPr>
                          <w:pStyle w:val="TableParagraph"/>
                          <w:tabs>
                            <w:tab w:pos="1782" w:val="left" w:leader="none"/>
                          </w:tabs>
                          <w:spacing w:line="246" w:lineRule="exact"/>
                          <w:ind w:left="1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主营业务成本</w:t>
                          <w:tab/>
                          <w:t>主营业务收入</w:t>
                        </w:r>
                        <w:r>
                          <w:rPr>
                            <w:rFonts w:ascii="Microsoft JhengHei" w:hAnsi="Microsoft JhengHei" w:cs="Microsoft JhengHei" w:eastAsia="Microsoft JhengHei" w:hint="default"/>
                            <w:sz w:val="18"/>
                            <w:szCs w:val="18"/>
                          </w:rPr>
                        </w:r>
                      </w:p>
                    </w:tc>
                    <w:tc>
                      <w:tcPr>
                        <w:tcW w:w="1523"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1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主营业务成本</w:t>
                        </w:r>
                        <w:r>
                          <w:rPr>
                            <w:rFonts w:ascii="Microsoft JhengHei" w:hAnsi="Microsoft JhengHei" w:cs="Microsoft JhengHei" w:eastAsia="Microsoft JhengHei" w:hint="default"/>
                            <w:sz w:val="18"/>
                            <w:szCs w:val="18"/>
                          </w:rPr>
                        </w:r>
                      </w:p>
                    </w:tc>
                  </w:tr>
                  <w:tr>
                    <w:trPr>
                      <w:trHeight w:val="287" w:hRule="exact"/>
                    </w:trPr>
                    <w:tc>
                      <w:tcPr>
                        <w:tcW w:w="3943" w:type="dxa"/>
                        <w:tcBorders>
                          <w:top w:val="single" w:sz="4" w:space="0" w:color="000000"/>
                          <w:left w:val="nil" w:sz="6" w:space="0" w:color="auto"/>
                          <w:bottom w:val="nil" w:sz="6" w:space="0" w:color="auto"/>
                          <w:right w:val="nil" w:sz="6" w:space="0" w:color="auto"/>
                        </w:tcBorders>
                      </w:tcPr>
                      <w:p>
                        <w:pPr>
                          <w:pStyle w:val="TableParagraph"/>
                          <w:tabs>
                            <w:tab w:pos="2518" w:val="left" w:leader="none"/>
                          </w:tabs>
                          <w:spacing w:line="239"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信息技术</w:t>
                          <w:tab/>
                        </w:r>
                        <w:r>
                          <w:rPr>
                            <w:rFonts w:ascii="Times New Roman" w:hAnsi="Times New Roman" w:cs="Times New Roman" w:eastAsia="Times New Roman" w:hint="default"/>
                            <w:sz w:val="18"/>
                            <w:szCs w:val="18"/>
                          </w:rPr>
                          <w:t>5,870,675,402.94</w:t>
                        </w:r>
                      </w:p>
                    </w:tc>
                    <w:tc>
                      <w:tcPr>
                        <w:tcW w:w="3172" w:type="dxa"/>
                        <w:tcBorders>
                          <w:top w:val="single" w:sz="4" w:space="0" w:color="000000"/>
                          <w:left w:val="nil" w:sz="6" w:space="0" w:color="auto"/>
                          <w:bottom w:val="nil" w:sz="6" w:space="0" w:color="auto"/>
                          <w:right w:val="nil" w:sz="6" w:space="0" w:color="auto"/>
                        </w:tcBorders>
                      </w:tcPr>
                      <w:p>
                        <w:pPr>
                          <w:pStyle w:val="TableParagraph"/>
                          <w:tabs>
                            <w:tab w:pos="1586" w:val="left" w:leader="none"/>
                          </w:tabs>
                          <w:spacing w:line="240" w:lineRule="auto" w:before="32"/>
                          <w:ind w:right="160"/>
                          <w:jc w:val="right"/>
                          <w:rPr>
                            <w:rFonts w:ascii="Times New Roman" w:hAnsi="Times New Roman" w:cs="Times New Roman" w:eastAsia="Times New Roman" w:hint="default"/>
                            <w:sz w:val="18"/>
                            <w:szCs w:val="18"/>
                          </w:rPr>
                        </w:pPr>
                        <w:r>
                          <w:rPr>
                            <w:rFonts w:ascii="Times New Roman"/>
                            <w:spacing w:val="-1"/>
                            <w:sz w:val="18"/>
                          </w:rPr>
                          <w:t>5,396,135,297.93</w:t>
                          <w:tab/>
                          <w:t>6,087,277,601.37</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5,678,425,193.97</w:t>
                        </w:r>
                      </w:p>
                    </w:tc>
                  </w:tr>
                  <w:tr>
                    <w:trPr>
                      <w:trHeight w:val="289" w:hRule="exact"/>
                    </w:trPr>
                    <w:tc>
                      <w:tcPr>
                        <w:tcW w:w="3943" w:type="dxa"/>
                        <w:tcBorders>
                          <w:top w:val="nil" w:sz="6" w:space="0" w:color="auto"/>
                          <w:left w:val="nil" w:sz="6" w:space="0" w:color="auto"/>
                          <w:bottom w:val="single" w:sz="4" w:space="0" w:color="000000"/>
                          <w:right w:val="nil" w:sz="6" w:space="0" w:color="auto"/>
                        </w:tcBorders>
                      </w:tcPr>
                      <w:p>
                        <w:pPr>
                          <w:pStyle w:val="TableParagraph"/>
                          <w:tabs>
                            <w:tab w:pos="2654" w:val="left" w:leader="none"/>
                          </w:tabs>
                          <w:spacing w:line="240" w:lineRule="exact"/>
                          <w:ind w:left="107" w:right="0"/>
                          <w:jc w:val="left"/>
                          <w:rPr>
                            <w:rFonts w:ascii="Times New Roman" w:hAnsi="Times New Roman" w:cs="Times New Roman" w:eastAsia="Times New Roman" w:hint="default"/>
                            <w:sz w:val="18"/>
                            <w:szCs w:val="18"/>
                          </w:rPr>
                        </w:pPr>
                        <w:r>
                          <w:rPr>
                            <w:rFonts w:ascii="楷体" w:hAnsi="楷体" w:cs="楷体" w:eastAsia="楷体" w:hint="default"/>
                            <w:sz w:val="18"/>
                            <w:szCs w:val="18"/>
                          </w:rPr>
                          <w:t>能源环境</w:t>
                          <w:tab/>
                        </w:r>
                        <w:r>
                          <w:rPr>
                            <w:rFonts w:ascii="Times New Roman" w:hAnsi="Times New Roman" w:cs="Times New Roman" w:eastAsia="Times New Roman" w:hint="default"/>
                            <w:sz w:val="18"/>
                            <w:szCs w:val="18"/>
                          </w:rPr>
                          <w:t>404,472,907.78</w:t>
                        </w:r>
                      </w:p>
                    </w:tc>
                    <w:tc>
                      <w:tcPr>
                        <w:tcW w:w="3172" w:type="dxa"/>
                        <w:tcBorders>
                          <w:top w:val="nil" w:sz="6" w:space="0" w:color="auto"/>
                          <w:left w:val="nil" w:sz="6" w:space="0" w:color="auto"/>
                          <w:bottom w:val="single" w:sz="4" w:space="0" w:color="000000"/>
                          <w:right w:val="nil" w:sz="6" w:space="0" w:color="auto"/>
                        </w:tcBorders>
                      </w:tcPr>
                      <w:p>
                        <w:pPr>
                          <w:pStyle w:val="TableParagraph"/>
                          <w:tabs>
                            <w:tab w:pos="1586" w:val="left" w:leader="none"/>
                          </w:tabs>
                          <w:spacing w:line="240" w:lineRule="auto" w:before="33"/>
                          <w:ind w:right="159"/>
                          <w:jc w:val="right"/>
                          <w:rPr>
                            <w:rFonts w:ascii="Times New Roman" w:hAnsi="Times New Roman" w:cs="Times New Roman" w:eastAsia="Times New Roman" w:hint="default"/>
                            <w:sz w:val="18"/>
                            <w:szCs w:val="18"/>
                          </w:rPr>
                        </w:pPr>
                        <w:r>
                          <w:rPr>
                            <w:rFonts w:ascii="Times New Roman"/>
                            <w:spacing w:val="-1"/>
                            <w:sz w:val="18"/>
                          </w:rPr>
                          <w:t>358,762,982.34</w:t>
                          <w:tab/>
                          <w:t>409,690,571.05</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371,865,024.52</w:t>
                        </w:r>
                      </w:p>
                    </w:tc>
                  </w:tr>
                  <w:tr>
                    <w:trPr>
                      <w:trHeight w:val="303" w:hRule="exact"/>
                    </w:trPr>
                    <w:tc>
                      <w:tcPr>
                        <w:tcW w:w="3943" w:type="dxa"/>
                        <w:tcBorders>
                          <w:top w:val="single" w:sz="4" w:space="0" w:color="000000"/>
                          <w:left w:val="nil" w:sz="6" w:space="0" w:color="auto"/>
                          <w:bottom w:val="single" w:sz="12" w:space="0" w:color="000000"/>
                          <w:right w:val="nil" w:sz="6" w:space="0" w:color="auto"/>
                        </w:tcBorders>
                      </w:tcPr>
                      <w:p>
                        <w:pPr>
                          <w:pStyle w:val="TableParagraph"/>
                          <w:tabs>
                            <w:tab w:pos="2518" w:val="left" w:leader="none"/>
                          </w:tabs>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6,275,148,310.72</w:t>
                        </w:r>
                        <w:r>
                          <w:rPr>
                            <w:rFonts w:ascii="Times New Roman" w:hAnsi="Times New Roman" w:cs="Times New Roman" w:eastAsia="Times New Roman" w:hint="default"/>
                            <w:sz w:val="18"/>
                            <w:szCs w:val="18"/>
                          </w:rPr>
                        </w:r>
                      </w:p>
                    </w:tc>
                    <w:tc>
                      <w:tcPr>
                        <w:tcW w:w="3172" w:type="dxa"/>
                        <w:tcBorders>
                          <w:top w:val="single" w:sz="4" w:space="0" w:color="000000"/>
                          <w:left w:val="nil" w:sz="6" w:space="0" w:color="auto"/>
                          <w:bottom w:val="single" w:sz="12" w:space="0" w:color="000000"/>
                          <w:right w:val="nil" w:sz="6" w:space="0" w:color="auto"/>
                        </w:tcBorders>
                      </w:tcPr>
                      <w:p>
                        <w:pPr>
                          <w:pStyle w:val="TableParagraph"/>
                          <w:tabs>
                            <w:tab w:pos="1585" w:val="left" w:leader="none"/>
                          </w:tabs>
                          <w:spacing w:line="240" w:lineRule="auto" w:before="32"/>
                          <w:ind w:right="160"/>
                          <w:jc w:val="right"/>
                          <w:rPr>
                            <w:rFonts w:ascii="Times New Roman" w:hAnsi="Times New Roman" w:cs="Times New Roman" w:eastAsia="Times New Roman" w:hint="default"/>
                            <w:sz w:val="18"/>
                            <w:szCs w:val="18"/>
                          </w:rPr>
                        </w:pPr>
                        <w:r>
                          <w:rPr>
                            <w:rFonts w:ascii="Times New Roman"/>
                            <w:b/>
                            <w:spacing w:val="-1"/>
                            <w:sz w:val="18"/>
                          </w:rPr>
                          <w:t>5,754,898,280.27</w:t>
                          <w:tab/>
                          <w:t>6,496,968,172.42</w:t>
                        </w:r>
                        <w:r>
                          <w:rPr>
                            <w:rFonts w:ascii="Times New Roman"/>
                            <w:spacing w:val="-1"/>
                            <w:sz w:val="18"/>
                          </w:rPr>
                        </w:r>
                      </w:p>
                    </w:tc>
                    <w:tc>
                      <w:tcPr>
                        <w:tcW w:w="15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6,050,290,218.49</w:t>
                        </w:r>
                        <w:r>
                          <w:rPr>
                            <w:rFonts w:ascii="Times New Roman"/>
                            <w:spacing w:val="-1"/>
                            <w:sz w:val="18"/>
                          </w:rPr>
                        </w:r>
                      </w:p>
                    </w:tc>
                  </w:tr>
                  <w:tr>
                    <w:trPr>
                      <w:trHeight w:val="576" w:hRule="exact"/>
                    </w:trPr>
                    <w:tc>
                      <w:tcPr>
                        <w:tcW w:w="3943" w:type="dxa"/>
                        <w:tcBorders>
                          <w:top w:val="single" w:sz="12" w:space="0" w:color="000000"/>
                          <w:left w:val="nil" w:sz="6" w:space="0" w:color="auto"/>
                          <w:bottom w:val="single" w:sz="12" w:space="0" w:color="000000"/>
                          <w:right w:val="nil" w:sz="6" w:space="0" w:color="auto"/>
                        </w:tcBorders>
                      </w:tcPr>
                      <w:p>
                        <w:pPr>
                          <w:pStyle w:val="TableParagraph"/>
                          <w:tabs>
                            <w:tab w:pos="628" w:val="left" w:leader="none"/>
                          </w:tabs>
                          <w:spacing w:line="240" w:lineRule="auto" w:before="94"/>
                          <w:ind w:left="161" w:right="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5.</w:t>
                          <w:tab/>
                        </w:r>
                        <w:r>
                          <w:rPr>
                            <w:rFonts w:ascii="楷体" w:hAnsi="楷体" w:cs="楷体" w:eastAsia="楷体" w:hint="default"/>
                            <w:sz w:val="22"/>
                            <w:szCs w:val="22"/>
                          </w:rPr>
                          <w:t>投资收益</w:t>
                        </w:r>
                      </w:p>
                    </w:tc>
                    <w:tc>
                      <w:tcPr>
                        <w:tcW w:w="3172" w:type="dxa"/>
                        <w:tcBorders>
                          <w:top w:val="single" w:sz="12" w:space="0" w:color="000000"/>
                          <w:left w:val="nil" w:sz="6" w:space="0" w:color="auto"/>
                          <w:bottom w:val="single" w:sz="12" w:space="0" w:color="000000"/>
                          <w:right w:val="nil" w:sz="6" w:space="0" w:color="auto"/>
                        </w:tcBorders>
                      </w:tcPr>
                      <w:p>
                        <w:pPr/>
                      </w:p>
                    </w:tc>
                    <w:tc>
                      <w:tcPr>
                        <w:tcW w:w="1523"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394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17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4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52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394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成本法核算的长期股权投资收益</w:t>
                        </w:r>
                      </w:p>
                    </w:tc>
                    <w:tc>
                      <w:tcPr>
                        <w:tcW w:w="317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314" w:right="0"/>
                          <w:jc w:val="left"/>
                          <w:rPr>
                            <w:rFonts w:ascii="Times New Roman" w:hAnsi="Times New Roman" w:cs="Times New Roman" w:eastAsia="Times New Roman" w:hint="default"/>
                            <w:sz w:val="18"/>
                            <w:szCs w:val="18"/>
                          </w:rPr>
                        </w:pPr>
                        <w:r>
                          <w:rPr>
                            <w:rFonts w:ascii="Times New Roman"/>
                            <w:sz w:val="18"/>
                          </w:rPr>
                          <w:t>246,511,266.01</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153,481,444.36</w:t>
                        </w:r>
                      </w:p>
                    </w:tc>
                  </w:tr>
                  <w:tr>
                    <w:trPr>
                      <w:trHeight w:val="283" w:hRule="exact"/>
                    </w:trPr>
                    <w:tc>
                      <w:tcPr>
                        <w:tcW w:w="394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权益法核算的长期股权投资收益</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08" w:right="0"/>
                          <w:jc w:val="left"/>
                          <w:rPr>
                            <w:rFonts w:ascii="Times New Roman" w:hAnsi="Times New Roman" w:cs="Times New Roman" w:eastAsia="Times New Roman" w:hint="default"/>
                            <w:sz w:val="18"/>
                            <w:szCs w:val="18"/>
                          </w:rPr>
                        </w:pPr>
                        <w:r>
                          <w:rPr>
                            <w:rFonts w:ascii="Times New Roman"/>
                            <w:sz w:val="18"/>
                          </w:rPr>
                          <w:t>105,571,234.88</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38,628,191.78</w:t>
                        </w:r>
                      </w:p>
                    </w:tc>
                  </w:tr>
                  <w:tr>
                    <w:trPr>
                      <w:trHeight w:val="283" w:hRule="exact"/>
                    </w:trPr>
                    <w:tc>
                      <w:tcPr>
                        <w:tcW w:w="3943"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处置长期股权投资产生的投资收益</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87" w:right="0"/>
                          <w:jc w:val="left"/>
                          <w:rPr>
                            <w:rFonts w:ascii="Times New Roman" w:hAnsi="Times New Roman" w:cs="Times New Roman" w:eastAsia="Times New Roman" w:hint="default"/>
                            <w:sz w:val="18"/>
                            <w:szCs w:val="18"/>
                          </w:rPr>
                        </w:pPr>
                        <w:r>
                          <w:rPr>
                            <w:rFonts w:ascii="Times New Roman"/>
                            <w:sz w:val="18"/>
                          </w:rPr>
                          <w:t>1,152,000.00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175,356,635.47</w:t>
                        </w:r>
                      </w:p>
                    </w:tc>
                  </w:tr>
                  <w:tr>
                    <w:trPr>
                      <w:trHeight w:val="283" w:hRule="exact"/>
                    </w:trPr>
                    <w:tc>
                      <w:tcPr>
                        <w:tcW w:w="3943"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处置交易性金融资产取得的投资收益</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38" w:right="0"/>
                          <w:jc w:val="left"/>
                          <w:rPr>
                            <w:rFonts w:ascii="Times New Roman" w:hAnsi="Times New Roman" w:cs="Times New Roman" w:eastAsia="Times New Roman" w:hint="default"/>
                            <w:sz w:val="18"/>
                            <w:szCs w:val="18"/>
                          </w:rPr>
                        </w:pPr>
                        <w:r>
                          <w:rPr>
                            <w:rFonts w:ascii="Times New Roman"/>
                            <w:sz w:val="18"/>
                          </w:rPr>
                          <w:t>-12,793,295.84</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27,780,362.54</w:t>
                        </w:r>
                      </w:p>
                    </w:tc>
                  </w:tr>
                  <w:tr>
                    <w:trPr>
                      <w:trHeight w:val="283" w:hRule="exact"/>
                    </w:trPr>
                    <w:tc>
                      <w:tcPr>
                        <w:tcW w:w="3943"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处置可供出售金融资产取得的投资收益</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87" w:right="0"/>
                          <w:jc w:val="left"/>
                          <w:rPr>
                            <w:rFonts w:ascii="Times New Roman" w:hAnsi="Times New Roman" w:cs="Times New Roman" w:eastAsia="Times New Roman" w:hint="default"/>
                            <w:sz w:val="18"/>
                            <w:szCs w:val="18"/>
                          </w:rPr>
                        </w:pPr>
                        <w:r>
                          <w:rPr>
                            <w:rFonts w:ascii="Times New Roman"/>
                            <w:sz w:val="18"/>
                          </w:rPr>
                          <w:t>9,859,365.23</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943"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委托贷款收益</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03" w:right="0"/>
                          <w:jc w:val="left"/>
                          <w:rPr>
                            <w:rFonts w:ascii="Times New Roman" w:hAnsi="Times New Roman" w:cs="Times New Roman" w:eastAsia="Times New Roman" w:hint="default"/>
                            <w:sz w:val="18"/>
                            <w:szCs w:val="18"/>
                          </w:rPr>
                        </w:pPr>
                        <w:r>
                          <w:rPr>
                            <w:rFonts w:ascii="Times New Roman"/>
                            <w:sz w:val="18"/>
                          </w:rPr>
                          <w:t>11,140,992.00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9,023,670.00</w:t>
                        </w:r>
                      </w:p>
                    </w:tc>
                  </w:tr>
                  <w:tr>
                    <w:trPr>
                      <w:trHeight w:val="288" w:hRule="exact"/>
                    </w:trPr>
                    <w:tc>
                      <w:tcPr>
                        <w:tcW w:w="3943"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其他</w:t>
                        </w:r>
                      </w:p>
                    </w:tc>
                    <w:tc>
                      <w:tcPr>
                        <w:tcW w:w="317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737"/>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-248,763.90</w:t>
                        </w:r>
                      </w:p>
                    </w:tc>
                  </w:tr>
                  <w:tr>
                    <w:trPr>
                      <w:trHeight w:val="304" w:hRule="exact"/>
                    </w:trPr>
                    <w:tc>
                      <w:tcPr>
                        <w:tcW w:w="3943"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308" w:right="0"/>
                          <w:jc w:val="left"/>
                          <w:rPr>
                            <w:rFonts w:ascii="Times New Roman" w:hAnsi="Times New Roman" w:cs="Times New Roman" w:eastAsia="Times New Roman" w:hint="default"/>
                            <w:sz w:val="18"/>
                            <w:szCs w:val="18"/>
                          </w:rPr>
                        </w:pPr>
                        <w:r>
                          <w:rPr>
                            <w:rFonts w:ascii="Times New Roman"/>
                            <w:b/>
                            <w:sz w:val="18"/>
                          </w:rPr>
                          <w:t>361,441,562.28</w:t>
                        </w:r>
                        <w:r>
                          <w:rPr>
                            <w:rFonts w:ascii="Times New Roman"/>
                            <w:sz w:val="18"/>
                          </w:rPr>
                        </w:r>
                      </w:p>
                    </w:tc>
                    <w:tc>
                      <w:tcPr>
                        <w:tcW w:w="15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404,021,540.25</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8"/>
          <w:szCs w:val="28"/>
        </w:rPr>
      </w:pPr>
    </w:p>
    <w:p>
      <w:pPr>
        <w:pStyle w:val="Heading3"/>
        <w:spacing w:line="367" w:lineRule="exact"/>
        <w:ind w:left="620" w:right="6555"/>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九、</w:t>
      </w:r>
      <w:r>
        <w:rPr>
          <w:rFonts w:ascii="Microsoft JhengHei" w:hAnsi="Microsoft JhengHei" w:cs="Microsoft JhengHei" w:eastAsia="Microsoft JhengHei" w:hint="default"/>
          <w:spacing w:val="2"/>
        </w:rPr>
        <w:t> </w:t>
      </w:r>
      <w:r>
        <w:rPr>
          <w:rFonts w:ascii="Microsoft JhengHei" w:hAnsi="Microsoft JhengHei" w:cs="Microsoft JhengHei" w:eastAsia="Microsoft JhengHei" w:hint="default"/>
        </w:rPr>
        <w:t>债务重组</w:t>
      </w:r>
      <w:r>
        <w:rPr>
          <w:rFonts w:ascii="Microsoft JhengHei" w:hAnsi="Microsoft JhengHei" w:cs="Microsoft JhengHei" w:eastAsia="Microsoft JhengHei" w:hint="default"/>
          <w:b w:val="0"/>
          <w:bCs w:val="0"/>
        </w:rPr>
      </w:r>
    </w:p>
    <w:p>
      <w:pPr>
        <w:spacing w:before="142"/>
        <w:ind w:left="578" w:right="2246" w:firstLine="0"/>
        <w:jc w:val="left"/>
        <w:rPr>
          <w:rFonts w:ascii="楷体" w:hAnsi="楷体" w:cs="楷体" w:eastAsia="楷体" w:hint="default"/>
          <w:sz w:val="22"/>
          <w:szCs w:val="22"/>
        </w:rPr>
      </w:pPr>
      <w:r>
        <w:rPr>
          <w:rFonts w:ascii="楷体" w:hAnsi="楷体" w:cs="楷体" w:eastAsia="楷体" w:hint="default"/>
          <w:sz w:val="22"/>
          <w:szCs w:val="22"/>
        </w:rPr>
        <w:t>本公司本年度无需要披露的债务重组事项。</w:t>
      </w:r>
    </w:p>
    <w:p>
      <w:pPr>
        <w:spacing w:line="316" w:lineRule="auto" w:before="87"/>
        <w:ind w:left="578" w:right="3826" w:firstLine="42"/>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w:t>
      </w:r>
      <w:r>
        <w:rPr>
          <w:rFonts w:ascii="Microsoft JhengHei" w:hAnsi="Microsoft JhengHei" w:cs="Microsoft JhengHei" w:eastAsia="Microsoft JhengHei" w:hint="default"/>
          <w:b/>
          <w:bCs/>
          <w:spacing w:val="-3"/>
          <w:sz w:val="24"/>
          <w:szCs w:val="24"/>
        </w:rPr>
        <w:t> </w:t>
      </w:r>
      <w:r>
        <w:rPr>
          <w:rFonts w:ascii="Microsoft JhengHei" w:hAnsi="Microsoft JhengHei" w:cs="Microsoft JhengHei" w:eastAsia="Microsoft JhengHei" w:hint="default"/>
          <w:b/>
          <w:bCs/>
          <w:sz w:val="24"/>
          <w:szCs w:val="24"/>
        </w:rPr>
        <w:t>非货币性资产交换</w:t>
      </w:r>
      <w:r>
        <w:rPr>
          <w:rFonts w:ascii="Microsoft JhengHei" w:hAnsi="Microsoft JhengHei" w:cs="Microsoft JhengHei" w:eastAsia="Microsoft JhengHei" w:hint="default"/>
          <w:b/>
          <w:bCs/>
          <w:spacing w:val="1"/>
          <w:sz w:val="24"/>
          <w:szCs w:val="24"/>
        </w:rPr>
        <w:t> </w:t>
      </w:r>
      <w:r>
        <w:rPr>
          <w:rFonts w:ascii="楷体" w:hAnsi="楷体" w:cs="楷体" w:eastAsia="楷体" w:hint="default"/>
          <w:sz w:val="22"/>
          <w:szCs w:val="22"/>
        </w:rPr>
        <w:t>本公司本年度无需要披露的非货币性资产交换事项。</w:t>
      </w:r>
      <w:r>
        <w:rPr>
          <w:rFonts w:ascii="楷体" w:hAnsi="楷体" w:cs="楷体" w:eastAsia="楷体" w:hint="default"/>
          <w:w w:val="99"/>
          <w:sz w:val="22"/>
          <w:szCs w:val="22"/>
        </w:rPr>
        <w:t> </w:t>
      </w:r>
      <w:r>
        <w:rPr>
          <w:rFonts w:ascii="Microsoft JhengHei" w:hAnsi="Microsoft JhengHei" w:cs="Microsoft JhengHei" w:eastAsia="Microsoft JhengHei" w:hint="default"/>
          <w:b/>
          <w:bCs/>
          <w:sz w:val="24"/>
          <w:szCs w:val="24"/>
        </w:rPr>
        <w:t>十一、</w:t>
      </w:r>
      <w:r>
        <w:rPr>
          <w:rFonts w:ascii="Microsoft JhengHei" w:hAnsi="Microsoft JhengHei" w:cs="Microsoft JhengHei" w:eastAsia="Microsoft JhengHei" w:hint="default"/>
          <w:b/>
          <w:bCs/>
          <w:spacing w:val="5"/>
          <w:sz w:val="24"/>
          <w:szCs w:val="24"/>
        </w:rPr>
        <w:t> </w:t>
      </w:r>
      <w:r>
        <w:rPr>
          <w:rFonts w:ascii="Microsoft JhengHei" w:hAnsi="Microsoft JhengHei" w:cs="Microsoft JhengHei" w:eastAsia="Microsoft JhengHei" w:hint="default"/>
          <w:b/>
          <w:bCs/>
          <w:sz w:val="24"/>
          <w:szCs w:val="24"/>
        </w:rPr>
        <w:t>关联方关系及其交易</w:t>
      </w:r>
      <w:r>
        <w:rPr>
          <w:rFonts w:ascii="Microsoft JhengHei" w:hAnsi="Microsoft JhengHei" w:cs="Microsoft JhengHei" w:eastAsia="Microsoft JhengHei" w:hint="default"/>
          <w:sz w:val="24"/>
          <w:szCs w:val="24"/>
        </w:rPr>
      </w:r>
    </w:p>
    <w:p>
      <w:pPr>
        <w:spacing w:line="354" w:lineRule="exact" w:before="0"/>
        <w:ind w:left="580" w:right="6555"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（一）</w:t>
      </w:r>
      <w:r>
        <w:rPr>
          <w:rFonts w:ascii="Microsoft JhengHei" w:hAnsi="Microsoft JhengHei" w:cs="Microsoft JhengHei" w:eastAsia="Microsoft JhengHei" w:hint="default"/>
          <w:b/>
          <w:bCs/>
          <w:spacing w:val="14"/>
          <w:sz w:val="22"/>
          <w:szCs w:val="22"/>
        </w:rPr>
        <w:t> </w:t>
      </w:r>
      <w:r>
        <w:rPr>
          <w:rFonts w:ascii="Microsoft JhengHei" w:hAnsi="Microsoft JhengHei" w:cs="Microsoft JhengHei" w:eastAsia="Microsoft JhengHei" w:hint="default"/>
          <w:b/>
          <w:bCs/>
          <w:sz w:val="22"/>
          <w:szCs w:val="22"/>
        </w:rPr>
        <w:t>关联方关系</w:t>
      </w:r>
      <w:r>
        <w:rPr>
          <w:rFonts w:ascii="Microsoft JhengHei" w:hAnsi="Microsoft JhengHei" w:cs="Microsoft JhengHei" w:eastAsia="Microsoft JhengHei" w:hint="default"/>
          <w:sz w:val="22"/>
          <w:szCs w:val="22"/>
        </w:rPr>
      </w:r>
    </w:p>
    <w:p>
      <w:pPr>
        <w:spacing w:before="85"/>
        <w:ind w:left="591"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11"/>
          <w:sz w:val="22"/>
          <w:szCs w:val="22"/>
        </w:rPr>
        <w:t> </w:t>
      </w:r>
      <w:r>
        <w:rPr>
          <w:rFonts w:ascii="楷体" w:hAnsi="楷体" w:cs="楷体" w:eastAsia="楷体" w:hint="default"/>
          <w:sz w:val="22"/>
          <w:szCs w:val="22"/>
        </w:rPr>
        <w:t>母公司</w:t>
      </w:r>
    </w:p>
    <w:p>
      <w:pPr>
        <w:spacing w:before="155"/>
        <w:ind w:left="591"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母公司基本情况</w:t>
      </w:r>
    </w:p>
    <w:p>
      <w:pPr>
        <w:tabs>
          <w:tab w:pos="2425" w:val="left" w:leader="none"/>
          <w:tab w:pos="4055" w:val="left" w:leader="none"/>
          <w:tab w:pos="5505" w:val="left" w:leader="none"/>
          <w:tab w:pos="6727" w:val="left" w:leader="none"/>
          <w:tab w:pos="7950" w:val="left" w:leader="none"/>
        </w:tabs>
        <w:spacing w:before="109"/>
        <w:ind w:left="524" w:right="0" w:firstLine="0"/>
        <w:jc w:val="left"/>
        <w:rPr>
          <w:rFonts w:ascii="Microsoft JhengHei" w:hAnsi="Microsoft JhengHei" w:cs="Microsoft JhengHei" w:eastAsia="Microsoft JhengHei" w:hint="default"/>
          <w:sz w:val="18"/>
          <w:szCs w:val="18"/>
        </w:rPr>
      </w:pPr>
      <w:r>
        <w:rPr/>
        <w:pict>
          <v:group style="position:absolute;margin-left:84.839996pt;margin-top:8.055533pt;width:431.9pt;height:.1pt;mso-position-horizontal-relative:page;mso-position-vertical-relative:paragraph;z-index:-897088" coordorigin="1697,161" coordsize="8638,2">
            <v:shape style="position:absolute;left:1697;top:161;width:8638;height:2" coordorigin="1697,161" coordsize="8638,0" path="m1697,161l10334,161e" filled="false" stroked="true" strokeweight="1.5pt" strokecolor="#000000">
              <v:path arrowok="t"/>
            </v:shape>
            <w10:wrap type="none"/>
          </v:group>
        </w:pict>
      </w:r>
      <w:r>
        <w:rPr/>
        <w:pict>
          <v:group style="position:absolute;margin-left:84.839996pt;margin-top:23.145533pt;width:431.9pt;height:.1pt;mso-position-horizontal-relative:page;mso-position-vertical-relative:paragraph;z-index:-897064" coordorigin="1697,463" coordsize="8638,2">
            <v:shape style="position:absolute;left:1697;top:463;width:8638;height:2" coordorigin="1697,463" coordsize="8638,0" path="m1697,463l10334,463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母公司</w:t>
        <w:tab/>
        <w:t>企业类型</w:t>
        <w:tab/>
        <w:t>注册地</w:t>
        <w:tab/>
        <w:t>法人代表</w:t>
        <w:tab/>
        <w:t>业务性质</w:t>
        <w:tab/>
        <w:t>最终控制方</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pgSz w:w="11910" w:h="16840"/>
          <w:pgMar w:header="610" w:footer="784" w:top="1080" w:bottom="980" w:left="1280" w:right="1140"/>
        </w:sectPr>
      </w:pPr>
    </w:p>
    <w:p>
      <w:pPr>
        <w:tabs>
          <w:tab w:pos="2426" w:val="left" w:leader="none"/>
          <w:tab w:pos="3461" w:val="left" w:leader="none"/>
          <w:tab w:pos="5687" w:val="left" w:leader="none"/>
          <w:tab w:pos="6541" w:val="left" w:leader="none"/>
        </w:tabs>
        <w:spacing w:line="263" w:lineRule="exact" w:before="0"/>
        <w:ind w:left="524" w:right="0" w:firstLine="0"/>
        <w:jc w:val="left"/>
        <w:rPr>
          <w:rFonts w:ascii="楷体" w:hAnsi="楷体" w:cs="楷体" w:eastAsia="楷体" w:hint="default"/>
          <w:sz w:val="18"/>
          <w:szCs w:val="18"/>
        </w:rPr>
      </w:pPr>
      <w:r>
        <w:rPr>
          <w:rFonts w:ascii="楷体" w:hAnsi="楷体" w:cs="楷体" w:eastAsia="楷体" w:hint="default"/>
          <w:sz w:val="18"/>
          <w:szCs w:val="18"/>
        </w:rPr>
        <w:t>清华控股有限公司</w:t>
        <w:tab/>
        <w:t>国有独资</w:t>
        <w:tab/>
        <w:t>北京市海淀区中关村</w:t>
        <w:tab/>
        <w:t>宋军</w:t>
        <w:tab/>
      </w:r>
      <w:r>
        <w:rPr>
          <w:rFonts w:ascii="楷体" w:hAnsi="楷体" w:cs="楷体" w:eastAsia="楷体" w:hint="default"/>
          <w:position w:val="10"/>
          <w:sz w:val="18"/>
          <w:szCs w:val="18"/>
        </w:rPr>
        <w:t>资产管理</w:t>
      </w:r>
      <w:r>
        <w:rPr>
          <w:rFonts w:ascii="楷体" w:hAnsi="楷体" w:cs="楷体" w:eastAsia="楷体" w:hint="default"/>
          <w:sz w:val="18"/>
          <w:szCs w:val="18"/>
        </w:rPr>
      </w:r>
    </w:p>
    <w:p>
      <w:pPr>
        <w:spacing w:line="168" w:lineRule="exact" w:before="0"/>
        <w:ind w:left="0" w:right="0" w:firstLine="0"/>
        <w:jc w:val="right"/>
        <w:rPr>
          <w:rFonts w:ascii="楷体" w:hAnsi="楷体" w:cs="楷体" w:eastAsia="楷体" w:hint="default"/>
          <w:sz w:val="18"/>
          <w:szCs w:val="18"/>
        </w:rPr>
      </w:pPr>
      <w:r>
        <w:rPr>
          <w:rFonts w:ascii="楷体" w:hAnsi="楷体" w:cs="楷体" w:eastAsia="楷体" w:hint="default"/>
          <w:sz w:val="18"/>
          <w:szCs w:val="18"/>
        </w:rPr>
        <w:t>实业投资等</w:t>
      </w:r>
    </w:p>
    <w:p>
      <w:pPr>
        <w:spacing w:before="94"/>
        <w:ind w:left="524" w:right="0" w:firstLine="0"/>
        <w:jc w:val="left"/>
        <w:rPr>
          <w:rFonts w:ascii="楷体" w:hAnsi="楷体" w:cs="楷体" w:eastAsia="楷体" w:hint="default"/>
          <w:sz w:val="18"/>
          <w:szCs w:val="18"/>
        </w:rPr>
      </w:pPr>
      <w:r>
        <w:rPr/>
        <w:br w:type="column"/>
      </w:r>
      <w:r>
        <w:rPr>
          <w:rFonts w:ascii="楷体" w:hAnsi="楷体" w:cs="楷体" w:eastAsia="楷体" w:hint="default"/>
          <w:sz w:val="18"/>
          <w:szCs w:val="18"/>
        </w:rPr>
        <w:t>清华大学</w:t>
      </w:r>
    </w:p>
    <w:p>
      <w:pPr>
        <w:spacing w:after="0"/>
        <w:jc w:val="left"/>
        <w:rPr>
          <w:rFonts w:ascii="楷体" w:hAnsi="楷体" w:cs="楷体" w:eastAsia="楷体" w:hint="default"/>
          <w:sz w:val="18"/>
          <w:szCs w:val="18"/>
        </w:rPr>
        <w:sectPr>
          <w:type w:val="continuous"/>
          <w:pgSz w:w="11910" w:h="16840"/>
          <w:pgMar w:top="1600" w:bottom="280" w:left="1280" w:right="1140"/>
          <w:cols w:num="2" w:equalWidth="0">
            <w:col w:w="7442" w:space="76"/>
            <w:col w:w="1972"/>
          </w:cols>
        </w:sectPr>
      </w:pPr>
    </w:p>
    <w:p>
      <w:pPr>
        <w:spacing w:line="30" w:lineRule="exact"/>
        <w:ind w:left="387"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4.5pt;height:1.5pt;mso-position-horizontal-relative:char;mso-position-vertical-relative:line" coordorigin="0,0" coordsize="8690,30">
            <v:group style="position:absolute;left:15;top:15;width:1820;height:2" coordorigin="15,15" coordsize="1820,2">
              <v:shape style="position:absolute;left:15;top:15;width:1820;height:2" coordorigin="15,15" coordsize="1820,0" path="m15,15l1834,15e" filled="false" stroked="true" strokeweight="1.5pt" strokecolor="#000000">
                <v:path arrowok="t"/>
              </v:shape>
            </v:group>
            <v:group style="position:absolute;left:1820;top:15;width:1146;height:2" coordorigin="1820,15" coordsize="1146,2">
              <v:shape style="position:absolute;left:1820;top:15;width:1146;height:2" coordorigin="1820,15" coordsize="1146,0" path="m1820,15l2966,15e" filled="false" stroked="true" strokeweight="1.5pt" strokecolor="#000000">
                <v:path arrowok="t"/>
              </v:shape>
            </v:group>
            <v:group style="position:absolute;left:2951;top:15;width:1964;height:2" coordorigin="2951,15" coordsize="1964,2">
              <v:shape style="position:absolute;left:2951;top:15;width:1964;height:2" coordorigin="2951,15" coordsize="1964,0" path="m2951,15l4915,15e" filled="false" stroked="true" strokeweight="1.5pt" strokecolor="#000000">
                <v:path arrowok="t"/>
              </v:shape>
            </v:group>
            <v:group style="position:absolute;left:4900;top:15;width:1146;height:2" coordorigin="4900,15" coordsize="1146,2">
              <v:shape style="position:absolute;left:4900;top:15;width:1146;height:2" coordorigin="4900,15" coordsize="1146,0" path="m4900,15l6046,15e" filled="false" stroked="true" strokeweight="1.5pt" strokecolor="#000000">
                <v:path arrowok="t"/>
              </v:shape>
            </v:group>
            <v:group style="position:absolute;left:6032;top:15;width:1326;height:2" coordorigin="6032,15" coordsize="1326,2">
              <v:shape style="position:absolute;left:6032;top:15;width:1326;height:2" coordorigin="6032,15" coordsize="1326,0" path="m6032,15l7358,15e" filled="false" stroked="true" strokeweight="1.5pt" strokecolor="#000000">
                <v:path arrowok="t"/>
              </v:shape>
            </v:group>
            <v:group style="position:absolute;left:7343;top:15;width:1331;height:2" coordorigin="7343,15" coordsize="1331,2">
              <v:shape style="position:absolute;left:7343;top:15;width:1331;height:2" coordorigin="7343,15" coordsize="1331,0" path="m7343,15l8674,15e" filled="false" stroked="true" strokeweight="1.5pt" strokecolor="#000000">
                <v:path arrowok="t"/>
              </v:shape>
            </v:group>
          </v:group>
        </w:pict>
      </w:r>
      <w:r>
        <w:rPr>
          <w:rFonts w:ascii="楷体" w:hAnsi="楷体" w:cs="楷体" w:eastAsia="楷体" w:hint="default"/>
          <w:position w:val="0"/>
          <w:sz w:val="3"/>
          <w:szCs w:val="3"/>
        </w:rPr>
      </w:r>
    </w:p>
    <w:p>
      <w:pPr>
        <w:spacing w:after="0" w:line="30" w:lineRule="exact"/>
        <w:rPr>
          <w:rFonts w:ascii="楷体" w:hAnsi="楷体" w:cs="楷体" w:eastAsia="楷体" w:hint="default"/>
          <w:sz w:val="3"/>
          <w:szCs w:val="3"/>
        </w:rPr>
        <w:sectPr>
          <w:type w:val="continuous"/>
          <w:pgSz w:w="11910" w:h="16840"/>
          <w:pgMar w:top="1600" w:bottom="280" w:left="1280" w:right="11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before="31"/>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母公司注册资本及其变化</w:t>
      </w:r>
    </w:p>
    <w:p>
      <w:pPr>
        <w:spacing w:line="240" w:lineRule="auto" w:before="4"/>
        <w:rPr>
          <w:rFonts w:ascii="楷体" w:hAnsi="楷体" w:cs="楷体" w:eastAsia="楷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145"/>
        <w:gridCol w:w="2212"/>
        <w:gridCol w:w="1550"/>
        <w:gridCol w:w="1481"/>
        <w:gridCol w:w="1792"/>
      </w:tblGrid>
      <w:tr>
        <w:trPr>
          <w:trHeight w:val="303" w:hRule="exact"/>
        </w:trPr>
        <w:tc>
          <w:tcPr>
            <w:tcW w:w="214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w:t>
            </w:r>
            <w:r>
              <w:rPr>
                <w:rFonts w:ascii="Microsoft JhengHei" w:hAnsi="Microsoft JhengHei" w:cs="Microsoft JhengHei" w:eastAsia="Microsoft JhengHei" w:hint="default"/>
                <w:sz w:val="18"/>
                <w:szCs w:val="18"/>
              </w:rPr>
            </w:r>
          </w:p>
        </w:tc>
        <w:tc>
          <w:tcPr>
            <w:tcW w:w="221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年初余额</w:t>
            </w:r>
            <w:r>
              <w:rPr>
                <w:rFonts w:ascii="Microsoft JhengHei" w:hAnsi="Microsoft JhengHei" w:cs="Microsoft JhengHei" w:eastAsia="Microsoft JhengHei" w:hint="default"/>
                <w:sz w:val="18"/>
                <w:szCs w:val="18"/>
              </w:rPr>
            </w:r>
          </w:p>
        </w:tc>
        <w:tc>
          <w:tcPr>
            <w:tcW w:w="1550"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48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79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年末余额</w:t>
            </w:r>
            <w:r>
              <w:rPr>
                <w:rFonts w:ascii="Microsoft JhengHei" w:hAnsi="Microsoft JhengHei" w:cs="Microsoft JhengHei" w:eastAsia="Microsoft JhengHei" w:hint="default"/>
                <w:sz w:val="18"/>
                <w:szCs w:val="18"/>
              </w:rPr>
            </w:r>
          </w:p>
        </w:tc>
      </w:tr>
      <w:tr>
        <w:trPr>
          <w:trHeight w:val="303" w:hRule="exact"/>
        </w:trPr>
        <w:tc>
          <w:tcPr>
            <w:tcW w:w="214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清华控股有限公司</w:t>
            </w:r>
          </w:p>
        </w:tc>
        <w:tc>
          <w:tcPr>
            <w:tcW w:w="2212"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198" w:right="0"/>
              <w:jc w:val="center"/>
              <w:rPr>
                <w:rFonts w:ascii="楷体" w:hAnsi="楷体" w:cs="楷体" w:eastAsia="楷体" w:hint="default"/>
                <w:sz w:val="18"/>
                <w:szCs w:val="18"/>
              </w:rPr>
            </w:pP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15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6"/>
              <w:jc w:val="center"/>
              <w:rPr>
                <w:rFonts w:ascii="Times New Roman" w:hAnsi="Times New Roman" w:cs="Times New Roman" w:eastAsia="Times New Roman" w:hint="default"/>
                <w:sz w:val="18"/>
                <w:szCs w:val="18"/>
              </w:rPr>
            </w:pPr>
            <w:r>
              <w:rPr>
                <w:rFonts w:ascii="Times New Roman"/>
                <w:sz w:val="18"/>
              </w:rPr>
              <w:t>0.00</w:t>
            </w:r>
          </w:p>
        </w:tc>
        <w:tc>
          <w:tcPr>
            <w:tcW w:w="14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99" w:right="0"/>
              <w:jc w:val="center"/>
              <w:rPr>
                <w:rFonts w:ascii="Times New Roman" w:hAnsi="Times New Roman" w:cs="Times New Roman" w:eastAsia="Times New Roman" w:hint="default"/>
                <w:sz w:val="18"/>
                <w:szCs w:val="18"/>
              </w:rPr>
            </w:pPr>
            <w:r>
              <w:rPr>
                <w:rFonts w:ascii="Times New Roman"/>
                <w:sz w:val="18"/>
              </w:rPr>
              <w:t>0.00</w:t>
            </w:r>
          </w:p>
        </w:tc>
        <w:tc>
          <w:tcPr>
            <w:tcW w:w="1792"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83" w:right="0"/>
              <w:jc w:val="center"/>
              <w:rPr>
                <w:rFonts w:ascii="楷体" w:hAnsi="楷体" w:cs="楷体" w:eastAsia="楷体" w:hint="default"/>
                <w:sz w:val="18"/>
                <w:szCs w:val="18"/>
              </w:rPr>
            </w:pP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r>
    </w:tbl>
    <w:p>
      <w:pPr>
        <w:spacing w:before="79"/>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母公司所持股份及其变化</w:t>
      </w:r>
    </w:p>
    <w:p>
      <w:pPr>
        <w:spacing w:line="240" w:lineRule="auto" w:before="3"/>
        <w:rPr>
          <w:rFonts w:ascii="楷体" w:hAnsi="楷体" w:cs="楷体" w:eastAsia="楷体" w:hint="default"/>
          <w:sz w:val="11"/>
          <w:szCs w:val="11"/>
        </w:rPr>
      </w:pPr>
    </w:p>
    <w:p>
      <w:pPr>
        <w:spacing w:line="30" w:lineRule="exact"/>
        <w:ind w:left="130"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2.8pt;height:1.5pt;mso-position-horizontal-relative:char;mso-position-vertical-relative:line" coordorigin="0,0" coordsize="8656,30">
            <v:group style="position:absolute;left:15;top:15;width:8626;height:2" coordorigin="15,15" coordsize="8626,2">
              <v:shape style="position:absolute;left:15;top:15;width:8626;height:2" coordorigin="15,15" coordsize="8626,0" path="m15,15l8641,15e" filled="false" stroked="true" strokeweight="1.5pt" strokecolor="#000000">
                <v:path arrowok="t"/>
              </v:shape>
            </v:group>
          </v:group>
        </w:pict>
      </w:r>
      <w:r>
        <w:rPr>
          <w:rFonts w:ascii="楷体" w:hAnsi="楷体" w:cs="楷体" w:eastAsia="楷体" w:hint="default"/>
          <w:position w:val="0"/>
          <w:sz w:val="3"/>
          <w:szCs w:val="3"/>
        </w:rPr>
      </w:r>
    </w:p>
    <w:p>
      <w:pPr>
        <w:spacing w:after="0" w:line="30" w:lineRule="exact"/>
        <w:rPr>
          <w:rFonts w:ascii="楷体" w:hAnsi="楷体" w:cs="楷体" w:eastAsia="楷体" w:hint="default"/>
          <w:sz w:val="3"/>
          <w:szCs w:val="3"/>
        </w:rPr>
        <w:sectPr>
          <w:pgSz w:w="11910" w:h="16840"/>
          <w:pgMar w:header="610" w:footer="784" w:top="1080" w:bottom="980" w:left="1280" w:right="1140"/>
        </w:sectPr>
      </w:pPr>
    </w:p>
    <w:p>
      <w:pPr>
        <w:spacing w:before="60"/>
        <w:ind w:left="246" w:right="-16" w:firstLine="0"/>
        <w:jc w:val="left"/>
        <w:rPr>
          <w:rFonts w:ascii="Microsoft JhengHei" w:hAnsi="Microsoft JhengHei" w:cs="Microsoft JhengHei" w:eastAsia="Microsoft JhengHei" w:hint="default"/>
          <w:sz w:val="18"/>
          <w:szCs w:val="18"/>
        </w:rPr>
      </w:pPr>
      <w:r>
        <w:rPr/>
        <w:pict>
          <v:shape style="position:absolute;margin-left:70.919998pt;margin-top:16.443842pt;width:431.65pt;height:28.8pt;mso-position-horizontal-relative:page;mso-position-vertical-relative:paragraph;z-index:4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65"/>
                    <w:gridCol w:w="1913"/>
                    <w:gridCol w:w="1678"/>
                    <w:gridCol w:w="1408"/>
                    <w:gridCol w:w="1569"/>
                  </w:tblGrid>
                  <w:tr>
                    <w:trPr>
                      <w:trHeight w:val="242" w:hRule="exact"/>
                    </w:trPr>
                    <w:tc>
                      <w:tcPr>
                        <w:tcW w:w="2065" w:type="dxa"/>
                        <w:tcBorders>
                          <w:top w:val="nil" w:sz="6" w:space="0" w:color="auto"/>
                          <w:left w:val="nil" w:sz="6" w:space="0" w:color="auto"/>
                          <w:bottom w:val="single" w:sz="4" w:space="0" w:color="000000"/>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spacing w:line="200" w:lineRule="exact"/>
                          <w:ind w:left="24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78" w:type="dxa"/>
                        <w:tcBorders>
                          <w:top w:val="nil" w:sz="6" w:space="0" w:color="auto"/>
                          <w:left w:val="nil" w:sz="6" w:space="0" w:color="auto"/>
                          <w:bottom w:val="single" w:sz="4" w:space="0" w:color="000000"/>
                          <w:right w:val="nil" w:sz="6" w:space="0" w:color="auto"/>
                        </w:tcBorders>
                      </w:tcPr>
                      <w:p>
                        <w:pPr>
                          <w:pStyle w:val="TableParagraph"/>
                          <w:spacing w:line="200" w:lineRule="exact"/>
                          <w:ind w:right="1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408" w:type="dxa"/>
                        <w:tcBorders>
                          <w:top w:val="nil" w:sz="6" w:space="0" w:color="auto"/>
                          <w:left w:val="nil" w:sz="6" w:space="0" w:color="auto"/>
                          <w:bottom w:val="single" w:sz="4" w:space="0" w:color="000000"/>
                          <w:right w:val="nil" w:sz="6" w:space="0" w:color="auto"/>
                        </w:tcBorders>
                      </w:tcPr>
                      <w:p>
                        <w:pPr>
                          <w:pStyle w:val="TableParagraph"/>
                          <w:spacing w:line="200" w:lineRule="exact"/>
                          <w:ind w:right="11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年末比例</w:t>
                        </w:r>
                        <w:r>
                          <w:rPr>
                            <w:rFonts w:ascii="Microsoft JhengHei" w:hAnsi="Microsoft JhengHei" w:cs="Microsoft JhengHei" w:eastAsia="Microsoft JhengHei" w:hint="default"/>
                            <w:sz w:val="18"/>
                            <w:szCs w:val="18"/>
                          </w:rPr>
                        </w:r>
                      </w:p>
                    </w:tc>
                    <w:tc>
                      <w:tcPr>
                        <w:tcW w:w="1569" w:type="dxa"/>
                        <w:tcBorders>
                          <w:top w:val="nil" w:sz="6" w:space="0" w:color="auto"/>
                          <w:left w:val="nil" w:sz="6" w:space="0" w:color="auto"/>
                          <w:bottom w:val="single" w:sz="4" w:space="0" w:color="000000"/>
                          <w:right w:val="nil" w:sz="6" w:space="0" w:color="auto"/>
                        </w:tcBorders>
                      </w:tcPr>
                      <w:p>
                        <w:pPr>
                          <w:pStyle w:val="TableParagraph"/>
                          <w:spacing w:line="200" w:lineRule="exact"/>
                          <w:ind w:right="3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年初比例</w:t>
                        </w:r>
                        <w:r>
                          <w:rPr>
                            <w:rFonts w:ascii="Microsoft JhengHei" w:hAnsi="Microsoft JhengHei" w:cs="Microsoft JhengHei" w:eastAsia="Microsoft JhengHei" w:hint="default"/>
                            <w:sz w:val="18"/>
                            <w:szCs w:val="18"/>
                          </w:rPr>
                        </w:r>
                      </w:p>
                    </w:tc>
                  </w:tr>
                  <w:tr>
                    <w:trPr>
                      <w:trHeight w:val="303" w:hRule="exact"/>
                    </w:trPr>
                    <w:tc>
                      <w:tcPr>
                        <w:tcW w:w="206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清华控股有限公司</w:t>
                        </w:r>
                      </w:p>
                    </w:tc>
                    <w:tc>
                      <w:tcPr>
                        <w:tcW w:w="19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47" w:right="0"/>
                          <w:jc w:val="center"/>
                          <w:rPr>
                            <w:rFonts w:ascii="Times New Roman" w:hAnsi="Times New Roman" w:cs="Times New Roman" w:eastAsia="Times New Roman" w:hint="default"/>
                            <w:sz w:val="18"/>
                            <w:szCs w:val="18"/>
                          </w:rPr>
                        </w:pPr>
                        <w:r>
                          <w:rPr>
                            <w:rFonts w:ascii="Times New Roman"/>
                            <w:sz w:val="18"/>
                          </w:rPr>
                          <w:t>296,379,689.00</w:t>
                        </w:r>
                      </w:p>
                    </w:tc>
                    <w:tc>
                      <w:tcPr>
                        <w:tcW w:w="167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
                          <w:jc w:val="center"/>
                          <w:rPr>
                            <w:rFonts w:ascii="Times New Roman" w:hAnsi="Times New Roman" w:cs="Times New Roman" w:eastAsia="Times New Roman" w:hint="default"/>
                            <w:sz w:val="18"/>
                            <w:szCs w:val="18"/>
                          </w:rPr>
                        </w:pPr>
                        <w:r>
                          <w:rPr>
                            <w:rFonts w:ascii="Times New Roman"/>
                            <w:sz w:val="18"/>
                          </w:rPr>
                          <w:t>189,986,980.00</w:t>
                        </w:r>
                      </w:p>
                    </w:tc>
                    <w:tc>
                      <w:tcPr>
                        <w:tcW w:w="140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9"/>
                          <w:jc w:val="center"/>
                          <w:rPr>
                            <w:rFonts w:ascii="Times New Roman" w:hAnsi="Times New Roman" w:cs="Times New Roman" w:eastAsia="Times New Roman" w:hint="default"/>
                            <w:sz w:val="18"/>
                            <w:szCs w:val="18"/>
                          </w:rPr>
                        </w:pPr>
                        <w:r>
                          <w:rPr>
                            <w:rFonts w:ascii="Times New Roman"/>
                            <w:sz w:val="18"/>
                          </w:rPr>
                          <w:t>30.34%</w:t>
                        </w:r>
                      </w:p>
                    </w:tc>
                    <w:tc>
                      <w:tcPr>
                        <w:tcW w:w="156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6"/>
                          <w:jc w:val="center"/>
                          <w:rPr>
                            <w:rFonts w:ascii="Times New Roman" w:hAnsi="Times New Roman" w:cs="Times New Roman" w:eastAsia="Times New Roman" w:hint="default"/>
                            <w:sz w:val="18"/>
                            <w:szCs w:val="18"/>
                          </w:rPr>
                        </w:pPr>
                        <w:r>
                          <w:rPr>
                            <w:rFonts w:ascii="Times New Roman"/>
                            <w:sz w:val="18"/>
                          </w:rPr>
                          <w:t>30.22%</w:t>
                        </w:r>
                      </w:p>
                    </w:tc>
                  </w:tr>
                </w:tbl>
                <w:p>
                  <w:pPr/>
                </w:p>
              </w:txbxContent>
            </v:textbox>
            <w10:wrap type="none"/>
          </v:shape>
        </w:pict>
      </w:r>
      <w:r>
        <w:rPr>
          <w:rFonts w:ascii="Microsoft JhengHei" w:hAnsi="Microsoft JhengHei" w:cs="Microsoft JhengHei" w:eastAsia="Microsoft JhengHei" w:hint="default"/>
          <w:b/>
          <w:bCs/>
          <w:sz w:val="18"/>
          <w:szCs w:val="18"/>
        </w:rPr>
        <w:t>母公司</w:t>
      </w:r>
      <w:r>
        <w:rPr>
          <w:rFonts w:ascii="Microsoft JhengHei" w:hAnsi="Microsoft JhengHei" w:cs="Microsoft JhengHei" w:eastAsia="Microsoft JhengHei" w:hint="default"/>
          <w:sz w:val="18"/>
          <w:szCs w:val="18"/>
        </w:rPr>
      </w:r>
    </w:p>
    <w:p>
      <w:pPr>
        <w:tabs>
          <w:tab w:pos="3441" w:val="left" w:leader="none"/>
        </w:tabs>
        <w:spacing w:line="246" w:lineRule="exact" w:before="0"/>
        <w:ind w:left="246"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持股金额</w:t>
        <w:tab/>
        <w:t>持股比例</w:t>
      </w:r>
      <w:r>
        <w:rPr>
          <w:rFonts w:ascii="Microsoft JhengHei" w:hAnsi="Microsoft JhengHei" w:cs="Microsoft JhengHei" w:eastAsia="Microsoft JhengHei" w:hint="default"/>
          <w:sz w:val="18"/>
          <w:szCs w:val="18"/>
        </w:rPr>
      </w:r>
    </w:p>
    <w:p>
      <w:pPr>
        <w:spacing w:after="0" w:line="246" w:lineRule="exact"/>
        <w:jc w:val="left"/>
        <w:rPr>
          <w:rFonts w:ascii="Microsoft JhengHei" w:hAnsi="Microsoft JhengHei" w:cs="Microsoft JhengHei" w:eastAsia="Microsoft JhengHei" w:hint="default"/>
          <w:sz w:val="18"/>
          <w:szCs w:val="18"/>
        </w:rPr>
        <w:sectPr>
          <w:type w:val="continuous"/>
          <w:pgSz w:w="11910" w:h="16840"/>
          <w:pgMar w:top="1600" w:bottom="280" w:left="1280" w:right="1140"/>
          <w:cols w:num="2" w:equalWidth="0">
            <w:col w:w="791" w:space="2653"/>
            <w:col w:w="6046"/>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3"/>
          <w:szCs w:val="13"/>
        </w:rPr>
      </w:pPr>
    </w:p>
    <w:p>
      <w:pPr>
        <w:spacing w:line="345" w:lineRule="exact" w:before="0"/>
        <w:ind w:left="578"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楷体" w:hAnsi="楷体" w:cs="楷体" w:eastAsia="楷体" w:hint="default"/>
          <w:sz w:val="22"/>
          <w:szCs w:val="22"/>
        </w:rPr>
        <w:t>子公司</w:t>
      </w:r>
    </w:p>
    <w:p>
      <w:pPr>
        <w:spacing w:before="155"/>
        <w:ind w:left="579" w:right="2246" w:firstLine="0"/>
        <w:jc w:val="left"/>
        <w:rPr>
          <w:rFonts w:ascii="楷体" w:hAnsi="楷体" w:cs="楷体" w:eastAsia="楷体" w:hint="default"/>
          <w:sz w:val="22"/>
          <w:szCs w:val="22"/>
        </w:rPr>
      </w:pPr>
      <w:r>
        <w:rPr>
          <w:rFonts w:ascii="楷体" w:hAnsi="楷体" w:cs="楷体" w:eastAsia="楷体" w:hint="default"/>
          <w:sz w:val="22"/>
          <w:szCs w:val="22"/>
        </w:rPr>
        <w:t>存在控制关系的子公司详见附注六、企业合并及合并财务报表。</w:t>
      </w:r>
    </w:p>
    <w:p>
      <w:pPr>
        <w:spacing w:before="110"/>
        <w:ind w:left="579"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楷体" w:hAnsi="楷体" w:cs="楷体" w:eastAsia="楷体" w:hint="default"/>
          <w:sz w:val="22"/>
          <w:szCs w:val="22"/>
        </w:rPr>
        <w:t>不存在控制关系的关联方的性质</w:t>
      </w:r>
    </w:p>
    <w:p>
      <w:pPr>
        <w:tabs>
          <w:tab w:pos="6845" w:val="left" w:leader="none"/>
        </w:tabs>
        <w:spacing w:before="101"/>
        <w:ind w:left="524" w:right="0" w:firstLine="0"/>
        <w:jc w:val="left"/>
        <w:rPr>
          <w:rFonts w:ascii="Microsoft JhengHei" w:hAnsi="Microsoft JhengHei" w:cs="Microsoft JhengHei" w:eastAsia="Microsoft JhengHei" w:hint="default"/>
          <w:sz w:val="18"/>
          <w:szCs w:val="18"/>
        </w:rPr>
      </w:pPr>
      <w:r>
        <w:rPr/>
        <w:pict>
          <v:group style="position:absolute;margin-left:84.839996pt;margin-top:7.655566pt;width:431.9pt;height:.1pt;mso-position-horizontal-relative:page;mso-position-vertical-relative:paragraph;z-index:-896944" coordorigin="1697,153" coordsize="8638,2">
            <v:shape style="position:absolute;left:1697;top:153;width:8638;height:2" coordorigin="1697,153" coordsize="8638,0" path="m1697,153l10334,153e" filled="false" stroked="true" strokeweight="1.5pt" strokecolor="#000000">
              <v:path arrowok="t"/>
            </v:shape>
            <w10:wrap type="none"/>
          </v:group>
        </w:pict>
      </w:r>
      <w:r>
        <w:rPr>
          <w:rFonts w:ascii="Microsoft JhengHei" w:hAnsi="Microsoft JhengHei" w:cs="Microsoft JhengHei" w:eastAsia="Microsoft JhengHei" w:hint="default"/>
          <w:b/>
          <w:bCs/>
          <w:sz w:val="18"/>
          <w:szCs w:val="18"/>
        </w:rPr>
        <w:t>关联方名称</w:t>
        <w:tab/>
        <w:t>关联方性质</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4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6127" w:val="left" w:leader="none"/>
        </w:tabs>
        <w:spacing w:before="0"/>
        <w:ind w:left="524" w:right="0" w:firstLine="0"/>
        <w:jc w:val="left"/>
        <w:rPr>
          <w:rFonts w:ascii="楷体" w:hAnsi="楷体" w:cs="楷体" w:eastAsia="楷体" w:hint="default"/>
          <w:sz w:val="18"/>
          <w:szCs w:val="18"/>
        </w:rPr>
      </w:pPr>
      <w:r>
        <w:rPr>
          <w:rFonts w:ascii="楷体" w:hAnsi="楷体" w:cs="楷体" w:eastAsia="楷体" w:hint="default"/>
          <w:sz w:val="18"/>
          <w:szCs w:val="18"/>
        </w:rPr>
        <w:t>紫光集团有限公司</w:t>
        <w:tab/>
        <w:t>受同一母公司控制的其他企业</w:t>
      </w:r>
    </w:p>
    <w:p>
      <w:pPr>
        <w:tabs>
          <w:tab w:pos="612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诚志股份有限公司</w:t>
        <w:tab/>
        <w:t>受同一母公司控制的其他企业</w:t>
      </w:r>
    </w:p>
    <w:p>
      <w:pPr>
        <w:tabs>
          <w:tab w:pos="612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北京博奥生物芯片有限责任公司</w:t>
        <w:tab/>
        <w:t>受同一母公司控制的其他企业</w:t>
      </w:r>
    </w:p>
    <w:p>
      <w:pPr>
        <w:tabs>
          <w:tab w:pos="612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北京紫光兴业科技有限公司</w:t>
        <w:tab/>
        <w:t>受同一母公司控制的其他企业</w:t>
      </w:r>
    </w:p>
    <w:p>
      <w:pPr>
        <w:tabs>
          <w:tab w:pos="612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清华科技园（江西）发展有限公司</w:t>
        <w:tab/>
        <w:t>受同一母公司控制的其他企业</w:t>
      </w:r>
    </w:p>
    <w:p>
      <w:pPr>
        <w:tabs>
          <w:tab w:pos="612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紫光软件系统有限公司</w:t>
        <w:tab/>
        <w:t>受同一母公司控制的其他企业</w:t>
      </w:r>
    </w:p>
    <w:p>
      <w:pPr>
        <w:tabs>
          <w:tab w:pos="6127" w:val="left" w:leader="none"/>
          <w:tab w:pos="6667" w:val="left" w:leader="none"/>
        </w:tabs>
        <w:spacing w:line="288" w:lineRule="auto" w:before="46"/>
        <w:ind w:left="524" w:right="1014" w:firstLine="0"/>
        <w:jc w:val="left"/>
        <w:rPr>
          <w:rFonts w:ascii="楷体" w:hAnsi="楷体" w:cs="楷体" w:eastAsia="楷体" w:hint="default"/>
          <w:sz w:val="18"/>
          <w:szCs w:val="18"/>
        </w:rPr>
      </w:pPr>
      <w:r>
        <w:rPr>
          <w:rFonts w:ascii="楷体" w:hAnsi="楷体" w:cs="楷体" w:eastAsia="楷体" w:hint="default"/>
          <w:sz w:val="18"/>
          <w:szCs w:val="18"/>
        </w:rPr>
        <w:t>启迪控股股份有限公司</w:t>
        <w:tab/>
        <w:t>受同一母公司控制的其他企业 同方华清投资管理有限公司</w:t>
        <w:tab/>
        <w:tab/>
        <w:t>合营及联营企业</w:t>
      </w:r>
    </w:p>
    <w:p>
      <w:pPr>
        <w:tabs>
          <w:tab w:pos="6667" w:val="left" w:leader="none"/>
        </w:tabs>
        <w:spacing w:before="11"/>
        <w:ind w:left="524" w:right="0" w:firstLine="0"/>
        <w:jc w:val="left"/>
        <w:rPr>
          <w:rFonts w:ascii="楷体" w:hAnsi="楷体" w:cs="楷体" w:eastAsia="楷体" w:hint="default"/>
          <w:sz w:val="18"/>
          <w:szCs w:val="18"/>
        </w:rPr>
      </w:pPr>
      <w:r>
        <w:rPr>
          <w:rFonts w:ascii="楷体" w:hAnsi="楷体" w:cs="楷体" w:eastAsia="楷体" w:hint="default"/>
          <w:sz w:val="18"/>
          <w:szCs w:val="18"/>
        </w:rPr>
        <w:t>无锡同方控制技术有限公司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北京同方洁净技术有限公司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南昌</w:t>
      </w:r>
      <w:r>
        <w:rPr>
          <w:rFonts w:ascii="楷体" w:hAnsi="楷体" w:cs="楷体" w:eastAsia="楷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泰豪发电机有限公司</w:t>
        <w:tab/>
        <w:t>合营及联营企业</w:t>
      </w:r>
    </w:p>
    <w:p>
      <w:pPr>
        <w:tabs>
          <w:tab w:pos="6667" w:val="left" w:leader="none"/>
        </w:tabs>
        <w:spacing w:before="34"/>
        <w:ind w:left="524" w:right="0" w:firstLine="0"/>
        <w:jc w:val="left"/>
        <w:rPr>
          <w:rFonts w:ascii="楷体" w:hAnsi="楷体" w:cs="楷体" w:eastAsia="楷体" w:hint="default"/>
          <w:sz w:val="18"/>
          <w:szCs w:val="18"/>
        </w:rPr>
      </w:pPr>
      <w:r>
        <w:rPr>
          <w:rFonts w:ascii="楷体" w:hAnsi="楷体" w:cs="楷体" w:eastAsia="楷体" w:hint="default"/>
          <w:sz w:val="18"/>
          <w:szCs w:val="18"/>
        </w:rPr>
        <w:t>天津清华泰豪智能科技有限公司</w:t>
        <w:tab/>
        <w:t>合营及联营企业</w:t>
      </w:r>
    </w:p>
    <w:p>
      <w:pPr>
        <w:tabs>
          <w:tab w:pos="6667" w:val="left" w:leader="none"/>
        </w:tabs>
        <w:spacing w:before="46"/>
        <w:ind w:left="524" w:right="0" w:firstLine="0"/>
        <w:jc w:val="left"/>
        <w:rPr>
          <w:rFonts w:ascii="楷体" w:hAnsi="楷体" w:cs="楷体" w:eastAsia="楷体" w:hint="default"/>
          <w:sz w:val="18"/>
          <w:szCs w:val="18"/>
        </w:rPr>
      </w:pPr>
      <w:r>
        <w:rPr>
          <w:rFonts w:ascii="楷体" w:hAnsi="楷体" w:cs="楷体" w:eastAsia="楷体" w:hint="default"/>
          <w:sz w:val="18"/>
          <w:szCs w:val="18"/>
        </w:rPr>
        <w:t>上海信业智能科技股份有限公司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同方投资有限公司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易程科技股份有限公司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北京威视科技发展有限公司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北京同方创信科技有限公司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吉林同方科贸有限责任公司</w:t>
        <w:tab/>
        <w:t>合营及联营企业</w:t>
      </w:r>
    </w:p>
    <w:p>
      <w:pPr>
        <w:tabs>
          <w:tab w:pos="6667" w:val="left" w:leader="none"/>
        </w:tabs>
        <w:spacing w:before="46"/>
        <w:ind w:left="524" w:right="0" w:firstLine="0"/>
        <w:jc w:val="left"/>
        <w:rPr>
          <w:rFonts w:ascii="楷体" w:hAnsi="楷体" w:cs="楷体" w:eastAsia="楷体" w:hint="default"/>
          <w:sz w:val="18"/>
          <w:szCs w:val="18"/>
        </w:rPr>
      </w:pPr>
      <w:r>
        <w:rPr>
          <w:rFonts w:ascii="楷体" w:hAnsi="楷体" w:cs="楷体" w:eastAsia="楷体" w:hint="default"/>
          <w:sz w:val="18"/>
          <w:szCs w:val="18"/>
        </w:rPr>
        <w:t>北京文录激光科技有限公司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山西左云晋能新能源发电有限公司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上海同方友友电视购物有限公司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北京同方易豪科技有限公司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同方环境股份有限公司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北京中录同方文化传播有限公司</w:t>
        <w:tab/>
        <w:t>合营及联营企业</w:t>
      </w:r>
    </w:p>
    <w:p>
      <w:pPr>
        <w:tabs>
          <w:tab w:pos="6667" w:val="left" w:leader="none"/>
        </w:tabs>
        <w:spacing w:before="46"/>
        <w:ind w:left="524" w:right="0" w:firstLine="0"/>
        <w:jc w:val="left"/>
        <w:rPr>
          <w:rFonts w:ascii="楷体" w:hAnsi="楷体" w:cs="楷体" w:eastAsia="楷体" w:hint="default"/>
          <w:sz w:val="18"/>
          <w:szCs w:val="18"/>
        </w:rPr>
      </w:pPr>
      <w:r>
        <w:rPr>
          <w:rFonts w:ascii="楷体" w:hAnsi="楷体" w:cs="楷体" w:eastAsia="楷体" w:hint="default"/>
          <w:sz w:val="18"/>
          <w:szCs w:val="18"/>
        </w:rPr>
        <w:t>北京亚仕同方科技有限公司</w:t>
        <w:tab/>
        <w:t>合营及联营企业</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郑州同方神火科技有限公司</w:t>
        <w:tab/>
        <w:t>合营及联营企业</w:t>
      </w:r>
    </w:p>
    <w:p>
      <w:pPr>
        <w:tabs>
          <w:tab w:pos="6667" w:val="left" w:leader="none"/>
        </w:tabs>
        <w:spacing w:before="48"/>
        <w:ind w:left="524" w:right="0" w:firstLine="0"/>
        <w:jc w:val="left"/>
        <w:rPr>
          <w:rFonts w:ascii="楷体" w:hAnsi="楷体" w:cs="楷体" w:eastAsia="楷体" w:hint="default"/>
          <w:sz w:val="18"/>
          <w:szCs w:val="18"/>
        </w:rPr>
      </w:pPr>
      <w:r>
        <w:rPr>
          <w:rFonts w:ascii="楷体" w:hAnsi="楷体" w:cs="楷体" w:eastAsia="楷体" w:hint="default"/>
          <w:sz w:val="18"/>
          <w:szCs w:val="18"/>
        </w:rPr>
        <w:t>同方（哈尔滨）水务有限公司</w:t>
        <w:tab/>
        <w:t>其他关联关系方</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佳木斯同方水务有限责任公司</w:t>
        <w:tab/>
        <w:t>其他关联关系方</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淮安同方水务有限公司</w:t>
        <w:tab/>
        <w:t>其他关联关系方</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惠州同方水务有限公司</w:t>
        <w:tab/>
        <w:t>其他关联关系方</w:t>
      </w:r>
    </w:p>
    <w:p>
      <w:pPr>
        <w:tabs>
          <w:tab w:pos="6667" w:val="left" w:leader="none"/>
        </w:tabs>
        <w:spacing w:before="46"/>
        <w:ind w:left="524" w:right="0" w:firstLine="0"/>
        <w:jc w:val="left"/>
        <w:rPr>
          <w:rFonts w:ascii="楷体" w:hAnsi="楷体" w:cs="楷体" w:eastAsia="楷体" w:hint="default"/>
          <w:sz w:val="18"/>
          <w:szCs w:val="18"/>
        </w:rPr>
      </w:pPr>
      <w:r>
        <w:rPr>
          <w:rFonts w:ascii="楷体" w:hAnsi="楷体" w:cs="楷体" w:eastAsia="楷体" w:hint="default"/>
          <w:sz w:val="18"/>
          <w:szCs w:val="18"/>
        </w:rPr>
        <w:t>哈尔滨平义水务有限公司</w:t>
        <w:tab/>
        <w:t>其他关联关系方</w:t>
      </w:r>
    </w:p>
    <w:p>
      <w:pPr>
        <w:tabs>
          <w:tab w:pos="6667" w:val="left" w:leader="none"/>
        </w:tabs>
        <w:spacing w:before="47"/>
        <w:ind w:left="524" w:right="0" w:firstLine="0"/>
        <w:jc w:val="left"/>
        <w:rPr>
          <w:rFonts w:ascii="楷体" w:hAnsi="楷体" w:cs="楷体" w:eastAsia="楷体" w:hint="default"/>
          <w:sz w:val="18"/>
          <w:szCs w:val="18"/>
        </w:rPr>
      </w:pPr>
      <w:r>
        <w:rPr>
          <w:rFonts w:ascii="楷体" w:hAnsi="楷体" w:cs="楷体" w:eastAsia="楷体" w:hint="default"/>
          <w:sz w:val="18"/>
          <w:szCs w:val="18"/>
        </w:rPr>
        <w:t>鸡西同方水务有限责任公司</w:t>
        <w:tab/>
        <w:t>其他关联关系方</w:t>
      </w:r>
    </w:p>
    <w:p>
      <w:pPr>
        <w:spacing w:line="240" w:lineRule="auto" w:before="5"/>
        <w:rPr>
          <w:rFonts w:ascii="楷体" w:hAnsi="楷体" w:cs="楷体" w:eastAsia="楷体" w:hint="default"/>
          <w:sz w:val="4"/>
          <w:szCs w:val="4"/>
        </w:rPr>
      </w:pPr>
    </w:p>
    <w:p>
      <w:pPr>
        <w:spacing w:line="30" w:lineRule="exact"/>
        <w:ind w:left="387"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4.5pt;height:1.5pt;mso-position-horizontal-relative:char;mso-position-vertical-relative:line" coordorigin="0,0" coordsize="8690,30">
            <v:group style="position:absolute;left:15;top:15;width:5134;height:2" coordorigin="15,15" coordsize="5134,2">
              <v:shape style="position:absolute;left:15;top:15;width:5134;height:2" coordorigin="15,15" coordsize="5134,0" path="m15,15l5149,15e" filled="false" stroked="true" strokeweight="1.5pt" strokecolor="#000000">
                <v:path arrowok="t"/>
              </v:shape>
            </v:group>
            <v:group style="position:absolute;left:5134;top:15;width:3540;height:2" coordorigin="5134,15" coordsize="3540,2">
              <v:shape style="position:absolute;left:5134;top:15;width:3540;height:2" coordorigin="5134,15" coordsize="3540,0" path="m5134,15l8674,15e" filled="false" stroked="true" strokeweight="1.5pt" strokecolor="#000000">
                <v:path arrowok="t"/>
              </v:shape>
            </v:group>
          </v:group>
        </w:pict>
      </w:r>
      <w:r>
        <w:rPr>
          <w:rFonts w:ascii="楷体" w:hAnsi="楷体" w:cs="楷体" w:eastAsia="楷体" w:hint="default"/>
          <w:position w:val="0"/>
          <w:sz w:val="3"/>
          <w:szCs w:val="3"/>
        </w:rPr>
      </w:r>
    </w:p>
    <w:p>
      <w:pPr>
        <w:spacing w:after="0" w:line="30" w:lineRule="exact"/>
        <w:rPr>
          <w:rFonts w:ascii="楷体" w:hAnsi="楷体" w:cs="楷体" w:eastAsia="楷体" w:hint="default"/>
          <w:sz w:val="3"/>
          <w:szCs w:val="3"/>
        </w:rPr>
        <w:sectPr>
          <w:type w:val="continuous"/>
          <w:pgSz w:w="11910" w:h="16840"/>
          <w:pgMar w:top="1600" w:bottom="280" w:left="1280" w:right="1140"/>
        </w:sectPr>
      </w:pPr>
    </w:p>
    <w:p>
      <w:pPr>
        <w:spacing w:line="240" w:lineRule="auto" w:before="0"/>
        <w:rPr>
          <w:rFonts w:ascii="楷体" w:hAnsi="楷体" w:cs="楷体" w:eastAsia="楷体" w:hint="default"/>
          <w:sz w:val="20"/>
          <w:szCs w:val="20"/>
        </w:rPr>
      </w:pPr>
    </w:p>
    <w:p>
      <w:pPr>
        <w:spacing w:line="240" w:lineRule="auto" w:before="6"/>
        <w:rPr>
          <w:rFonts w:ascii="楷体" w:hAnsi="楷体" w:cs="楷体" w:eastAsia="楷体" w:hint="default"/>
          <w:sz w:val="26"/>
          <w:szCs w:val="26"/>
        </w:rPr>
      </w:pPr>
    </w:p>
    <w:p>
      <w:pPr>
        <w:spacing w:line="30" w:lineRule="exact"/>
        <w:ind w:left="421"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楷体" w:hAnsi="楷体" w:cs="楷体" w:eastAsia="楷体" w:hint="default"/>
          <w:position w:val="0"/>
          <w:sz w:val="3"/>
          <w:szCs w:val="3"/>
        </w:rPr>
      </w:r>
    </w:p>
    <w:p>
      <w:pPr>
        <w:tabs>
          <w:tab w:pos="6865" w:val="left" w:leader="none"/>
        </w:tabs>
        <w:spacing w:line="246" w:lineRule="exact" w:before="0"/>
        <w:ind w:left="54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关联方名称</w:t>
        <w:tab/>
        <w:t>关联方性质</w:t>
      </w:r>
      <w:r>
        <w:rPr>
          <w:rFonts w:ascii="Microsoft JhengHei" w:hAnsi="Microsoft JhengHei" w:cs="Microsoft JhengHei" w:eastAsia="Microsoft JhengHei" w:hint="default"/>
          <w:sz w:val="18"/>
          <w:szCs w:val="18"/>
        </w:rPr>
      </w:r>
    </w:p>
    <w:p>
      <w:pPr>
        <w:spacing w:line="240" w:lineRule="auto" w:before="1"/>
        <w:rPr>
          <w:rFonts w:ascii="Microsoft JhengHei" w:hAnsi="Microsoft JhengHei" w:cs="Microsoft JhengHei" w:eastAsia="Microsoft JhengHei" w:hint="default"/>
          <w:b/>
          <w:bCs/>
          <w:sz w:val="2"/>
          <w:szCs w:val="2"/>
        </w:rPr>
      </w:pPr>
    </w:p>
    <w:p>
      <w:pPr>
        <w:spacing w:line="20" w:lineRule="exact"/>
        <w:ind w:left="43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6687" w:val="left" w:leader="none"/>
        </w:tabs>
        <w:spacing w:before="0"/>
        <w:ind w:left="544" w:right="0" w:firstLine="0"/>
        <w:jc w:val="left"/>
        <w:rPr>
          <w:rFonts w:ascii="楷体" w:hAnsi="楷体" w:cs="楷体" w:eastAsia="楷体" w:hint="default"/>
          <w:sz w:val="18"/>
          <w:szCs w:val="18"/>
        </w:rPr>
      </w:pPr>
      <w:r>
        <w:rPr>
          <w:rFonts w:ascii="楷体" w:hAnsi="楷体" w:cs="楷体" w:eastAsia="楷体" w:hint="default"/>
          <w:sz w:val="18"/>
          <w:szCs w:val="18"/>
        </w:rPr>
        <w:t>北京圣鸿星咨询有限公司</w:t>
        <w:tab/>
        <w:t>其他关联关系方</w:t>
      </w:r>
    </w:p>
    <w:p>
      <w:pPr>
        <w:tabs>
          <w:tab w:pos="6687" w:val="left" w:leader="none"/>
        </w:tabs>
        <w:spacing w:before="47"/>
        <w:ind w:left="544" w:right="0" w:firstLine="0"/>
        <w:jc w:val="left"/>
        <w:rPr>
          <w:rFonts w:ascii="楷体" w:hAnsi="楷体" w:cs="楷体" w:eastAsia="楷体" w:hint="default"/>
          <w:sz w:val="18"/>
          <w:szCs w:val="18"/>
        </w:rPr>
      </w:pPr>
      <w:r>
        <w:rPr>
          <w:rFonts w:ascii="楷体" w:hAnsi="楷体" w:cs="楷体" w:eastAsia="楷体" w:hint="default"/>
          <w:sz w:val="18"/>
          <w:szCs w:val="18"/>
        </w:rPr>
        <w:t>北京同方神火科技有限公司</w:t>
        <w:tab/>
        <w:t>其他关联关系方</w:t>
      </w:r>
    </w:p>
    <w:p>
      <w:pPr>
        <w:tabs>
          <w:tab w:pos="6687" w:val="left" w:leader="none"/>
        </w:tabs>
        <w:spacing w:before="47"/>
        <w:ind w:left="544" w:right="0" w:firstLine="0"/>
        <w:jc w:val="left"/>
        <w:rPr>
          <w:rFonts w:ascii="楷体" w:hAnsi="楷体" w:cs="楷体" w:eastAsia="楷体" w:hint="default"/>
          <w:sz w:val="18"/>
          <w:szCs w:val="18"/>
        </w:rPr>
      </w:pPr>
      <w:r>
        <w:rPr>
          <w:rFonts w:ascii="楷体" w:hAnsi="楷体" w:cs="楷体" w:eastAsia="楷体" w:hint="default"/>
          <w:sz w:val="18"/>
          <w:szCs w:val="18"/>
        </w:rPr>
        <w:t>北京同方电子科技有限公司</w:t>
        <w:tab/>
        <w:t>其他关联关系方</w:t>
      </w:r>
    </w:p>
    <w:p>
      <w:pPr>
        <w:tabs>
          <w:tab w:pos="6687" w:val="left" w:leader="none"/>
        </w:tabs>
        <w:spacing w:before="47"/>
        <w:ind w:left="544" w:right="0" w:firstLine="0"/>
        <w:jc w:val="left"/>
        <w:rPr>
          <w:rFonts w:ascii="楷体" w:hAnsi="楷体" w:cs="楷体" w:eastAsia="楷体" w:hint="default"/>
          <w:sz w:val="18"/>
          <w:szCs w:val="18"/>
        </w:rPr>
      </w:pPr>
      <w:r>
        <w:rPr>
          <w:rFonts w:ascii="楷体" w:hAnsi="楷体" w:cs="楷体" w:eastAsia="楷体" w:hint="default"/>
          <w:sz w:val="18"/>
          <w:szCs w:val="18"/>
        </w:rPr>
        <w:t>北京同方时讯电子有限公司</w:t>
        <w:tab/>
        <w:t>其他关联关系方</w:t>
      </w:r>
    </w:p>
    <w:p>
      <w:pPr>
        <w:spacing w:line="240" w:lineRule="auto" w:before="5"/>
        <w:rPr>
          <w:rFonts w:ascii="楷体" w:hAnsi="楷体" w:cs="楷体" w:eastAsia="楷体" w:hint="default"/>
          <w:sz w:val="4"/>
          <w:szCs w:val="4"/>
        </w:rPr>
      </w:pPr>
    </w:p>
    <w:p>
      <w:pPr>
        <w:spacing w:line="30" w:lineRule="exact"/>
        <w:ind w:left="407"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4.5pt;height:1.5pt;mso-position-horizontal-relative:char;mso-position-vertical-relative:line" coordorigin="0,0" coordsize="8690,30">
            <v:group style="position:absolute;left:15;top:15;width:5134;height:2" coordorigin="15,15" coordsize="5134,2">
              <v:shape style="position:absolute;left:15;top:15;width:5134;height:2" coordorigin="15,15" coordsize="5134,0" path="m15,15l5149,15e" filled="false" stroked="true" strokeweight="1.5pt" strokecolor="#000000">
                <v:path arrowok="t"/>
              </v:shape>
            </v:group>
            <v:group style="position:absolute;left:5134;top:15;width:3540;height:2" coordorigin="5134,15" coordsize="3540,2">
              <v:shape style="position:absolute;left:5134;top:15;width:3540;height:2" coordorigin="5134,15" coordsize="3540,0" path="m5134,15l8674,15e" filled="false" stroked="true" strokeweight="1.5pt" strokecolor="#000000">
                <v:path arrowok="t"/>
              </v:shape>
            </v:group>
          </v:group>
        </w:pict>
      </w:r>
      <w:r>
        <w:rPr>
          <w:rFonts w:ascii="楷体" w:hAnsi="楷体" w:cs="楷体" w:eastAsia="楷体" w:hint="default"/>
          <w:position w:val="0"/>
          <w:sz w:val="3"/>
          <w:szCs w:val="3"/>
        </w:rPr>
      </w:r>
    </w:p>
    <w:p>
      <w:pPr>
        <w:spacing w:line="240" w:lineRule="auto" w:before="11"/>
        <w:rPr>
          <w:rFonts w:ascii="楷体" w:hAnsi="楷体" w:cs="楷体" w:eastAsia="楷体" w:hint="default"/>
          <w:sz w:val="4"/>
          <w:szCs w:val="4"/>
        </w:rPr>
      </w:pPr>
    </w:p>
    <w:p>
      <w:pPr>
        <w:spacing w:line="345" w:lineRule="exact" w:before="0"/>
        <w:ind w:left="60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（二）</w:t>
      </w:r>
      <w:r>
        <w:rPr>
          <w:rFonts w:ascii="Microsoft JhengHei" w:hAnsi="Microsoft JhengHei" w:cs="Microsoft JhengHei" w:eastAsia="Microsoft JhengHei" w:hint="default"/>
          <w:b/>
          <w:bCs/>
          <w:spacing w:val="14"/>
          <w:sz w:val="22"/>
          <w:szCs w:val="22"/>
        </w:rPr>
        <w:t> </w:t>
      </w:r>
      <w:r>
        <w:rPr>
          <w:rFonts w:ascii="Microsoft JhengHei" w:hAnsi="Microsoft JhengHei" w:cs="Microsoft JhengHei" w:eastAsia="Microsoft JhengHei" w:hint="default"/>
          <w:b/>
          <w:bCs/>
          <w:sz w:val="22"/>
          <w:szCs w:val="22"/>
        </w:rPr>
        <w:t>关联交易</w:t>
      </w:r>
      <w:r>
        <w:rPr>
          <w:rFonts w:ascii="Microsoft JhengHei" w:hAnsi="Microsoft JhengHei" w:cs="Microsoft JhengHei" w:eastAsia="Microsoft JhengHei" w:hint="default"/>
          <w:sz w:val="22"/>
          <w:szCs w:val="22"/>
        </w:rPr>
      </w:r>
    </w:p>
    <w:p>
      <w:pPr>
        <w:spacing w:before="85"/>
        <w:ind w:left="598"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楷体" w:hAnsi="楷体" w:cs="楷体" w:eastAsia="楷体" w:hint="default"/>
          <w:sz w:val="22"/>
          <w:szCs w:val="22"/>
        </w:rPr>
        <w:t>定价政策</w:t>
      </w:r>
    </w:p>
    <w:p>
      <w:pPr>
        <w:spacing w:before="155"/>
        <w:ind w:left="612"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有国家规定价格的，依据该价格进行；</w:t>
      </w:r>
    </w:p>
    <w:p>
      <w:pPr>
        <w:spacing w:before="163"/>
        <w:ind w:left="612"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没有政府定价的，按当时当地的市场价格标准执行；</w:t>
      </w:r>
    </w:p>
    <w:p>
      <w:pPr>
        <w:spacing w:before="163"/>
        <w:ind w:left="612"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若无适用的市场价格标准的，则通过在成本核算加税费的基础上双方协商来确定。</w:t>
      </w:r>
    </w:p>
    <w:p>
      <w:pPr>
        <w:spacing w:before="93"/>
        <w:ind w:left="598"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楷体" w:hAnsi="楷体" w:cs="楷体" w:eastAsia="楷体" w:hint="default"/>
          <w:sz w:val="22"/>
          <w:szCs w:val="22"/>
        </w:rPr>
        <w:t>购买商品、接受劳务等关联交易</w:t>
      </w:r>
    </w:p>
    <w:p>
      <w:pPr>
        <w:tabs>
          <w:tab w:pos="5320" w:val="left" w:leader="none"/>
          <w:tab w:pos="7659" w:val="left" w:leader="none"/>
        </w:tabs>
        <w:spacing w:before="101"/>
        <w:ind w:left="158" w:right="0" w:firstLine="0"/>
        <w:jc w:val="left"/>
        <w:rPr>
          <w:rFonts w:ascii="Microsoft JhengHei" w:hAnsi="Microsoft JhengHei" w:cs="Microsoft JhengHei" w:eastAsia="Microsoft JhengHei" w:hint="default"/>
          <w:sz w:val="18"/>
          <w:szCs w:val="18"/>
        </w:rPr>
      </w:pPr>
      <w:r>
        <w:rPr/>
        <w:pict>
          <v:group style="position:absolute;margin-left:69.419998pt;margin-top:7.655547pt;width:431.9pt;height:.1pt;mso-position-horizontal-relative:page;mso-position-vertical-relative:paragraph;z-index:-896824" coordorigin="1388,153" coordsize="8638,2">
            <v:shape style="position:absolute;left:1388;top:153;width:8638;height:2" coordorigin="1388,153" coordsize="8638,0" path="m1388,153l10026,153e" filled="false" stroked="true" strokeweight="1.5pt" strokecolor="#000000">
              <v:path arrowok="t"/>
            </v:shape>
            <w10:wrap type="none"/>
          </v:group>
        </w:pict>
      </w:r>
      <w:r>
        <w:rPr>
          <w:rFonts w:ascii="Microsoft JhengHei" w:hAnsi="Microsoft JhengHei" w:cs="Microsoft JhengHei" w:eastAsia="Microsoft JhengHei" w:hint="default"/>
          <w:b/>
          <w:bCs/>
          <w:sz w:val="18"/>
          <w:szCs w:val="18"/>
        </w:rPr>
        <w:t>关联方</w:t>
        <w:tab/>
        <w:t>本年金额</w:t>
        <w:tab/>
        <w:t>上年金额</w:t>
      </w:r>
      <w:r>
        <w:rPr>
          <w:rFonts w:ascii="Microsoft JhengHei" w:hAnsi="Microsoft JhengHei" w:cs="Microsoft JhengHei" w:eastAsia="Microsoft JhengHei" w:hint="default"/>
          <w:sz w:val="18"/>
          <w:szCs w:val="18"/>
        </w:rPr>
      </w:r>
    </w:p>
    <w:p>
      <w:pPr>
        <w:spacing w:line="240" w:lineRule="auto" w:before="7"/>
        <w:rPr>
          <w:rFonts w:ascii="Microsoft JhengHei" w:hAnsi="Microsoft JhengHei" w:cs="Microsoft JhengHei" w:eastAsia="Microsoft JhengHei" w:hint="default"/>
          <w:b/>
          <w:bCs/>
          <w:sz w:val="2"/>
          <w:szCs w:val="2"/>
        </w:rPr>
      </w:pPr>
    </w:p>
    <w:tbl>
      <w:tblPr>
        <w:tblW w:w="0" w:type="auto"/>
        <w:jc w:val="left"/>
        <w:tblInd w:w="128" w:type="dxa"/>
        <w:tblLayout w:type="fixed"/>
        <w:tblCellMar>
          <w:top w:w="0" w:type="dxa"/>
          <w:left w:w="0" w:type="dxa"/>
          <w:bottom w:w="0" w:type="dxa"/>
          <w:right w:w="0" w:type="dxa"/>
        </w:tblCellMar>
        <w:tblLook w:val="01E0"/>
      </w:tblPr>
      <w:tblGrid>
        <w:gridCol w:w="4031"/>
        <w:gridCol w:w="2856"/>
        <w:gridCol w:w="1751"/>
      </w:tblGrid>
      <w:tr>
        <w:trPr>
          <w:trHeight w:val="287" w:hRule="exact"/>
        </w:trPr>
        <w:tc>
          <w:tcPr>
            <w:tcW w:w="4031"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楷体" w:hAnsi="楷体" w:cs="楷体" w:eastAsia="楷体" w:hint="default"/>
                <w:sz w:val="18"/>
                <w:szCs w:val="18"/>
              </w:rPr>
            </w:pPr>
            <w:r>
              <w:rPr>
                <w:rFonts w:ascii="楷体" w:hAnsi="楷体" w:cs="楷体" w:eastAsia="楷体" w:hint="default"/>
                <w:sz w:val="18"/>
                <w:szCs w:val="18"/>
              </w:rPr>
              <w:t>清华大学</w:t>
            </w:r>
          </w:p>
        </w:tc>
        <w:tc>
          <w:tcPr>
            <w:tcW w:w="285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07"/>
              <w:jc w:val="right"/>
              <w:rPr>
                <w:rFonts w:ascii="Times New Roman" w:hAnsi="Times New Roman" w:cs="Times New Roman" w:eastAsia="Times New Roman" w:hint="default"/>
                <w:sz w:val="18"/>
                <w:szCs w:val="18"/>
              </w:rPr>
            </w:pPr>
            <w:r>
              <w:rPr>
                <w:rFonts w:ascii="Times New Roman"/>
                <w:spacing w:val="-1"/>
                <w:sz w:val="18"/>
              </w:rPr>
              <w:t>105,367,815.86</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167,257,855.86</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楷体" w:hAnsi="楷体" w:cs="楷体" w:eastAsia="楷体" w:hint="default"/>
                <w:sz w:val="18"/>
                <w:szCs w:val="18"/>
              </w:rPr>
            </w:pPr>
            <w:r>
              <w:rPr>
                <w:rFonts w:ascii="楷体" w:hAnsi="楷体" w:cs="楷体" w:eastAsia="楷体" w:hint="default"/>
                <w:sz w:val="18"/>
                <w:szCs w:val="18"/>
              </w:rPr>
              <w:t>南昌</w:t>
            </w:r>
            <w:r>
              <w:rPr>
                <w:rFonts w:ascii="楷体" w:hAnsi="楷体" w:cs="楷体" w:eastAsia="楷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泰豪发电机有限公司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8"/>
              <w:jc w:val="right"/>
              <w:rPr>
                <w:rFonts w:ascii="Times New Roman" w:hAnsi="Times New Roman" w:cs="Times New Roman" w:eastAsia="Times New Roman" w:hint="default"/>
                <w:sz w:val="18"/>
                <w:szCs w:val="18"/>
              </w:rPr>
            </w:pPr>
            <w:r>
              <w:rPr>
                <w:rFonts w:ascii="Times New Roman"/>
                <w:spacing w:val="-1"/>
                <w:sz w:val="18"/>
              </w:rPr>
              <w:t>14,158,120.42</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北京同方电子科技有限公司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8"/>
              <w:jc w:val="right"/>
              <w:rPr>
                <w:rFonts w:ascii="Times New Roman" w:hAnsi="Times New Roman" w:cs="Times New Roman" w:eastAsia="Times New Roman" w:hint="default"/>
                <w:sz w:val="18"/>
                <w:szCs w:val="18"/>
              </w:rPr>
            </w:pPr>
            <w:r>
              <w:rPr>
                <w:rFonts w:ascii="Times New Roman"/>
                <w:spacing w:val="-1"/>
                <w:sz w:val="18"/>
              </w:rPr>
              <w:t>10,764,040.04</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4,685,858.75</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天津清华泰豪智能科技有限公司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8"/>
              <w:jc w:val="right"/>
              <w:rPr>
                <w:rFonts w:ascii="Times New Roman" w:hAnsi="Times New Roman" w:cs="Times New Roman" w:eastAsia="Times New Roman" w:hint="default"/>
                <w:sz w:val="18"/>
                <w:szCs w:val="18"/>
              </w:rPr>
            </w:pPr>
            <w:r>
              <w:rPr>
                <w:rFonts w:ascii="Times New Roman"/>
                <w:spacing w:val="-1"/>
                <w:sz w:val="18"/>
              </w:rPr>
              <w:t>3,106,084.00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6" w:lineRule="exact"/>
              <w:ind w:left="30" w:right="0"/>
              <w:jc w:val="left"/>
              <w:rPr>
                <w:rFonts w:ascii="楷体" w:hAnsi="楷体" w:cs="楷体" w:eastAsia="楷体" w:hint="default"/>
                <w:sz w:val="18"/>
                <w:szCs w:val="18"/>
              </w:rPr>
            </w:pPr>
            <w:r>
              <w:rPr>
                <w:rFonts w:ascii="楷体" w:hAnsi="楷体" w:cs="楷体" w:eastAsia="楷体" w:hint="default"/>
                <w:sz w:val="18"/>
                <w:szCs w:val="18"/>
              </w:rPr>
              <w:t>北京同方洁净技术有限公司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8"/>
              <w:jc w:val="right"/>
              <w:rPr>
                <w:rFonts w:ascii="Times New Roman" w:hAnsi="Times New Roman" w:cs="Times New Roman" w:eastAsia="Times New Roman" w:hint="default"/>
                <w:sz w:val="18"/>
                <w:szCs w:val="18"/>
              </w:rPr>
            </w:pPr>
            <w:r>
              <w:rPr>
                <w:rFonts w:ascii="Times New Roman"/>
                <w:spacing w:val="-1"/>
                <w:sz w:val="18"/>
              </w:rPr>
              <w:t>1,075,748.38</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1,769,486.00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北京威视科技发展有限公司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8"/>
              <w:jc w:val="right"/>
              <w:rPr>
                <w:rFonts w:ascii="Times New Roman" w:hAnsi="Times New Roman" w:cs="Times New Roman" w:eastAsia="Times New Roman" w:hint="default"/>
                <w:sz w:val="18"/>
                <w:szCs w:val="18"/>
              </w:rPr>
            </w:pPr>
            <w:r>
              <w:rPr>
                <w:rFonts w:ascii="Times New Roman"/>
                <w:spacing w:val="-1"/>
                <w:sz w:val="18"/>
              </w:rPr>
              <w:t>1,037,237.61</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6,525,646.91</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上海信业智能科技股份有限公司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8"/>
              <w:jc w:val="right"/>
              <w:rPr>
                <w:rFonts w:ascii="Times New Roman" w:hAnsi="Times New Roman" w:cs="Times New Roman" w:eastAsia="Times New Roman" w:hint="default"/>
                <w:sz w:val="18"/>
                <w:szCs w:val="18"/>
              </w:rPr>
            </w:pPr>
            <w:r>
              <w:rPr>
                <w:rFonts w:ascii="Times New Roman"/>
                <w:sz w:val="18"/>
              </w:rPr>
              <w:t>798,589.44</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紫光软件系统有限公司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8"/>
              <w:jc w:val="right"/>
              <w:rPr>
                <w:rFonts w:ascii="Times New Roman" w:hAnsi="Times New Roman" w:cs="Times New Roman" w:eastAsia="Times New Roman" w:hint="default"/>
                <w:sz w:val="18"/>
                <w:szCs w:val="18"/>
              </w:rPr>
            </w:pPr>
            <w:r>
              <w:rPr>
                <w:rFonts w:ascii="Times New Roman"/>
                <w:sz w:val="18"/>
              </w:rPr>
              <w:t>12,860.00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紫光集团有限公司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8"/>
              <w:jc w:val="right"/>
              <w:rPr>
                <w:rFonts w:ascii="Times New Roman" w:hAnsi="Times New Roman" w:cs="Times New Roman" w:eastAsia="Times New Roman" w:hint="default"/>
                <w:sz w:val="18"/>
                <w:szCs w:val="18"/>
              </w:rPr>
            </w:pPr>
            <w:r>
              <w:rPr>
                <w:rFonts w:ascii="Times New Roman"/>
                <w:sz w:val="18"/>
              </w:rPr>
              <w:t>3,033.43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235,602.05</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同方（鞍山）环保设备股份有限公司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8"/>
              <w:jc w:val="right"/>
              <w:rPr>
                <w:rFonts w:ascii="Times New Roman" w:hAnsi="Times New Roman" w:cs="Times New Roman" w:eastAsia="Times New Roman" w:hint="default"/>
                <w:sz w:val="18"/>
                <w:szCs w:val="18"/>
              </w:rPr>
            </w:pPr>
            <w:r>
              <w:rPr>
                <w:rFonts w:ascii="Times New Roman"/>
                <w:sz w:val="18"/>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24,662,590.00</w:t>
            </w:r>
          </w:p>
        </w:tc>
      </w:tr>
      <w:tr>
        <w:trPr>
          <w:trHeight w:val="289" w:hRule="exact"/>
        </w:trPr>
        <w:tc>
          <w:tcPr>
            <w:tcW w:w="4031" w:type="dxa"/>
            <w:tcBorders>
              <w:top w:val="nil" w:sz="6" w:space="0" w:color="auto"/>
              <w:left w:val="nil" w:sz="6" w:space="0" w:color="auto"/>
              <w:bottom w:val="single" w:sz="4" w:space="0" w:color="000000"/>
              <w:right w:val="nil" w:sz="6" w:space="0" w:color="auto"/>
            </w:tcBorders>
          </w:tcPr>
          <w:p>
            <w:pPr>
              <w:pStyle w:val="TableParagraph"/>
              <w:spacing w:line="226" w:lineRule="exact"/>
              <w:ind w:left="30" w:right="0"/>
              <w:jc w:val="left"/>
              <w:rPr>
                <w:rFonts w:ascii="楷体" w:hAnsi="楷体" w:cs="楷体" w:eastAsia="楷体" w:hint="default"/>
                <w:sz w:val="18"/>
                <w:szCs w:val="18"/>
              </w:rPr>
            </w:pPr>
            <w:r>
              <w:rPr>
                <w:rFonts w:ascii="楷体" w:hAnsi="楷体" w:cs="楷体" w:eastAsia="楷体" w:hint="default"/>
                <w:sz w:val="18"/>
                <w:szCs w:val="18"/>
              </w:rPr>
              <w:t>吉林同方科贸有限责任公司</w:t>
            </w:r>
          </w:p>
        </w:tc>
        <w:tc>
          <w:tcPr>
            <w:tcW w:w="285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608"/>
              <w:jc w:val="right"/>
              <w:rPr>
                <w:rFonts w:ascii="Times New Roman" w:hAnsi="Times New Roman" w:cs="Times New Roman" w:eastAsia="Times New Roman" w:hint="default"/>
                <w:sz w:val="18"/>
                <w:szCs w:val="18"/>
              </w:rPr>
            </w:pPr>
            <w:r>
              <w:rPr>
                <w:rFonts w:ascii="Times New Roman"/>
                <w:sz w:val="18"/>
              </w:rPr>
              <w:t>0.00</w:t>
            </w:r>
          </w:p>
        </w:tc>
        <w:tc>
          <w:tcPr>
            <w:tcW w:w="175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9,262.05</w:t>
            </w:r>
          </w:p>
        </w:tc>
      </w:tr>
      <w:tr>
        <w:trPr>
          <w:trHeight w:val="303" w:hRule="exact"/>
        </w:trPr>
        <w:tc>
          <w:tcPr>
            <w:tcW w:w="403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5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07"/>
              <w:jc w:val="right"/>
              <w:rPr>
                <w:rFonts w:ascii="Times New Roman" w:hAnsi="Times New Roman" w:cs="Times New Roman" w:eastAsia="Times New Roman" w:hint="default"/>
                <w:sz w:val="18"/>
                <w:szCs w:val="18"/>
              </w:rPr>
            </w:pPr>
            <w:r>
              <w:rPr>
                <w:rFonts w:ascii="Times New Roman"/>
                <w:b/>
                <w:spacing w:val="-1"/>
                <w:sz w:val="18"/>
              </w:rPr>
              <w:t>136,323,529.18</w:t>
            </w:r>
            <w:r>
              <w:rPr>
                <w:rFonts w:ascii="Times New Roman"/>
                <w:spacing w:val="-1"/>
                <w:sz w:val="18"/>
              </w:rPr>
            </w:r>
          </w:p>
        </w:tc>
        <w:tc>
          <w:tcPr>
            <w:tcW w:w="17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b/>
                <w:spacing w:val="-1"/>
                <w:sz w:val="18"/>
              </w:rPr>
              <w:t>205,146,301.62</w:t>
            </w:r>
            <w:r>
              <w:rPr>
                <w:rFonts w:ascii="Times New Roman"/>
                <w:spacing w:val="-1"/>
                <w:sz w:val="18"/>
              </w:rPr>
            </w:r>
          </w:p>
        </w:tc>
      </w:tr>
      <w:tr>
        <w:trPr>
          <w:trHeight w:val="576"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70"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楷体" w:hAnsi="楷体" w:cs="楷体" w:eastAsia="楷体" w:hint="default"/>
                <w:sz w:val="22"/>
                <w:szCs w:val="22"/>
              </w:rPr>
              <w:t>销售商品、提供劳务等关联交易</w:t>
            </w:r>
          </w:p>
        </w:tc>
        <w:tc>
          <w:tcPr>
            <w:tcW w:w="2856"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r>
      <w:tr>
        <w:trPr>
          <w:trHeight w:val="303" w:hRule="exact"/>
        </w:trPr>
        <w:tc>
          <w:tcPr>
            <w:tcW w:w="403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285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0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4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031"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楷体" w:hAnsi="楷体" w:cs="楷体" w:eastAsia="楷体" w:hint="default"/>
                <w:sz w:val="18"/>
                <w:szCs w:val="18"/>
              </w:rPr>
            </w:pPr>
            <w:r>
              <w:rPr>
                <w:rFonts w:ascii="楷体" w:hAnsi="楷体" w:cs="楷体" w:eastAsia="楷体" w:hint="default"/>
                <w:sz w:val="18"/>
                <w:szCs w:val="18"/>
              </w:rPr>
              <w:t>清华大学</w:t>
            </w:r>
          </w:p>
        </w:tc>
        <w:tc>
          <w:tcPr>
            <w:tcW w:w="285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01"/>
              <w:jc w:val="right"/>
              <w:rPr>
                <w:rFonts w:ascii="Times New Roman" w:hAnsi="Times New Roman" w:cs="Times New Roman" w:eastAsia="Times New Roman" w:hint="default"/>
                <w:sz w:val="18"/>
                <w:szCs w:val="18"/>
              </w:rPr>
            </w:pPr>
            <w:r>
              <w:rPr>
                <w:rFonts w:ascii="Times New Roman"/>
                <w:spacing w:val="-1"/>
                <w:sz w:val="18"/>
              </w:rPr>
              <w:t>9,263,038.53</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10,646,328.33</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北京同方洁净技术有限公司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12,336,492.53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17,071,798.68</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易程科技股份有限公司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12,148,726.83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紫光软件（无锡）集团有限公司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3,029,095.72</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淮安同方水务有限公司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1,728,090.00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64,652,232.40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楷体" w:hAnsi="楷体" w:cs="楷体" w:eastAsia="楷体" w:hint="default"/>
                <w:sz w:val="18"/>
                <w:szCs w:val="18"/>
              </w:rPr>
            </w:pPr>
            <w:r>
              <w:rPr>
                <w:rFonts w:ascii="楷体" w:hAnsi="楷体" w:cs="楷体" w:eastAsia="楷体" w:hint="default"/>
                <w:sz w:val="18"/>
                <w:szCs w:val="18"/>
              </w:rPr>
              <w:t>南昌</w:t>
            </w:r>
            <w:r>
              <w:rPr>
                <w:rFonts w:ascii="楷体" w:hAnsi="楷体" w:cs="楷体" w:eastAsia="楷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泰豪发电机有限公司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1,188,094.02</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惠州同方水务有限公司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1,170,836.73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6" w:lineRule="exact"/>
              <w:ind w:left="30" w:right="0"/>
              <w:jc w:val="left"/>
              <w:rPr>
                <w:rFonts w:ascii="楷体" w:hAnsi="楷体" w:cs="楷体" w:eastAsia="楷体" w:hint="default"/>
                <w:sz w:val="18"/>
                <w:szCs w:val="18"/>
              </w:rPr>
            </w:pPr>
            <w:r>
              <w:rPr>
                <w:rFonts w:ascii="楷体" w:hAnsi="楷体" w:cs="楷体" w:eastAsia="楷体" w:hint="default"/>
                <w:sz w:val="18"/>
                <w:szCs w:val="18"/>
              </w:rPr>
              <w:t>北京同方易豪科技有限公司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1"/>
              <w:jc w:val="right"/>
              <w:rPr>
                <w:rFonts w:ascii="Times New Roman" w:hAnsi="Times New Roman" w:cs="Times New Roman" w:eastAsia="Times New Roman" w:hint="default"/>
                <w:sz w:val="18"/>
                <w:szCs w:val="18"/>
              </w:rPr>
            </w:pPr>
            <w:r>
              <w:rPr>
                <w:rFonts w:ascii="Times New Roman"/>
                <w:sz w:val="18"/>
              </w:rPr>
              <w:t>600,000.00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北京同方创信科技有限公司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z w:val="18"/>
              </w:rPr>
              <w:t>514,833.34</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1,570,835.00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北京亚仕同方科技有限公司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z w:val="18"/>
              </w:rPr>
              <w:t>368,306.43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同方投资有限公司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z w:val="18"/>
              </w:rPr>
              <w:t>237,315.00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北京威视科技发展有限公司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1,738,717.94</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5,957,264.97</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同方（哈尔滨）水务有限公司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z w:val="18"/>
              </w:rPr>
              <w:t>10,000.00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2,018,098.60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6" w:lineRule="exact"/>
              <w:ind w:left="30" w:right="0"/>
              <w:jc w:val="left"/>
              <w:rPr>
                <w:rFonts w:ascii="楷体" w:hAnsi="楷体" w:cs="楷体" w:eastAsia="楷体" w:hint="default"/>
                <w:sz w:val="18"/>
                <w:szCs w:val="18"/>
              </w:rPr>
            </w:pPr>
            <w:r>
              <w:rPr>
                <w:rFonts w:ascii="楷体" w:hAnsi="楷体" w:cs="楷体" w:eastAsia="楷体" w:hint="default"/>
                <w:sz w:val="18"/>
                <w:szCs w:val="18"/>
              </w:rPr>
              <w:t>紫光集团有限公司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1"/>
              <w:jc w:val="right"/>
              <w:rPr>
                <w:rFonts w:ascii="Times New Roman" w:hAnsi="Times New Roman" w:cs="Times New Roman" w:eastAsia="Times New Roman" w:hint="default"/>
                <w:sz w:val="18"/>
                <w:szCs w:val="18"/>
              </w:rPr>
            </w:pPr>
            <w:r>
              <w:rPr>
                <w:rFonts w:ascii="Times New Roman"/>
                <w:sz w:val="18"/>
              </w:rPr>
              <w:t>8,400.00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紫光软件系统有限公司</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z w:val="18"/>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6,728,902.56</w:t>
            </w:r>
          </w:p>
        </w:tc>
      </w:tr>
      <w:tr>
        <w:trPr>
          <w:trHeight w:val="300" w:hRule="exact"/>
        </w:trPr>
        <w:tc>
          <w:tcPr>
            <w:tcW w:w="4031" w:type="dxa"/>
            <w:tcBorders>
              <w:top w:val="nil" w:sz="6" w:space="0" w:color="auto"/>
              <w:left w:val="nil" w:sz="6" w:space="0" w:color="auto"/>
              <w:bottom w:val="single" w:sz="12" w:space="0" w:color="000000"/>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佳木斯同方水务有限公司</w:t>
            </w:r>
          </w:p>
        </w:tc>
        <w:tc>
          <w:tcPr>
            <w:tcW w:w="2856"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z w:val="18"/>
              </w:rPr>
              <w:t>0.00</w:t>
            </w:r>
          </w:p>
        </w:tc>
        <w:tc>
          <w:tcPr>
            <w:tcW w:w="1751"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1,934,509.92</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6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5"/>
          <w:szCs w:val="15"/>
        </w:rPr>
      </w:pPr>
    </w:p>
    <w:tbl>
      <w:tblPr>
        <w:tblW w:w="0" w:type="auto"/>
        <w:jc w:val="left"/>
        <w:tblInd w:w="608" w:type="dxa"/>
        <w:tblLayout w:type="fixed"/>
        <w:tblCellMar>
          <w:top w:w="0" w:type="dxa"/>
          <w:left w:w="0" w:type="dxa"/>
          <w:bottom w:w="0" w:type="dxa"/>
          <w:right w:w="0" w:type="dxa"/>
        </w:tblCellMar>
        <w:tblLook w:val="01E0"/>
      </w:tblPr>
      <w:tblGrid>
        <w:gridCol w:w="3299"/>
        <w:gridCol w:w="1530"/>
        <w:gridCol w:w="2310"/>
        <w:gridCol w:w="1498"/>
      </w:tblGrid>
      <w:tr>
        <w:trPr>
          <w:trHeight w:val="302" w:hRule="exact"/>
        </w:trPr>
        <w:tc>
          <w:tcPr>
            <w:tcW w:w="329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0" w:right="0"/>
              <w:jc w:val="left"/>
              <w:rPr>
                <w:rFonts w:ascii="楷体" w:hAnsi="楷体" w:cs="楷体" w:eastAsia="楷体" w:hint="default"/>
                <w:sz w:val="18"/>
                <w:szCs w:val="18"/>
              </w:rPr>
            </w:pPr>
            <w:r>
              <w:rPr>
                <w:rFonts w:ascii="楷体" w:hAnsi="楷体" w:cs="楷体" w:eastAsia="楷体" w:hint="default"/>
                <w:sz w:val="18"/>
                <w:szCs w:val="18"/>
              </w:rPr>
              <w:t>吉林同方科贸有限责任公司</w:t>
            </w:r>
          </w:p>
        </w:tc>
        <w:tc>
          <w:tcPr>
            <w:tcW w:w="3840"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32"/>
              <w:ind w:right="854"/>
              <w:jc w:val="right"/>
              <w:rPr>
                <w:rFonts w:ascii="Times New Roman" w:hAnsi="Times New Roman" w:cs="Times New Roman" w:eastAsia="Times New Roman" w:hint="default"/>
                <w:sz w:val="18"/>
                <w:szCs w:val="18"/>
              </w:rPr>
            </w:pPr>
            <w:r>
              <w:rPr>
                <w:rFonts w:ascii="Times New Roman"/>
                <w:sz w:val="18"/>
              </w:rPr>
              <w:t>0.00</w:t>
            </w:r>
          </w:p>
        </w:tc>
        <w:tc>
          <w:tcPr>
            <w:tcW w:w="1498" w:type="dxa"/>
            <w:tcBorders>
              <w:top w:val="single" w:sz="12" w:space="0" w:color="000000"/>
              <w:left w:val="nil" w:sz="6" w:space="0" w:color="auto"/>
              <w:bottom w:val="single" w:sz="4" w:space="0" w:color="000000"/>
              <w:right w:val="nil" w:sz="6" w:space="0" w:color="auto"/>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6,939.36</w:t>
            </w:r>
          </w:p>
        </w:tc>
      </w:tr>
      <w:tr>
        <w:trPr>
          <w:trHeight w:val="303" w:hRule="exact"/>
        </w:trPr>
        <w:tc>
          <w:tcPr>
            <w:tcW w:w="329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840"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948" w:right="0"/>
              <w:jc w:val="left"/>
              <w:rPr>
                <w:rFonts w:ascii="Times New Roman" w:hAnsi="Times New Roman" w:cs="Times New Roman" w:eastAsia="Times New Roman" w:hint="default"/>
                <w:sz w:val="18"/>
                <w:szCs w:val="18"/>
              </w:rPr>
            </w:pPr>
            <w:r>
              <w:rPr>
                <w:rFonts w:ascii="Times New Roman"/>
                <w:b/>
                <w:sz w:val="18"/>
              </w:rPr>
              <w:t>44,341,947.07</w:t>
            </w:r>
            <w:r>
              <w:rPr>
                <w:rFonts w:ascii="Times New Roman"/>
                <w:sz w:val="18"/>
              </w:rPr>
            </w:r>
          </w:p>
        </w:tc>
        <w:tc>
          <w:tcPr>
            <w:tcW w:w="1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b/>
                <w:spacing w:val="-1"/>
                <w:sz w:val="18"/>
              </w:rPr>
              <w:t>110,886,909.82</w:t>
            </w:r>
            <w:r>
              <w:rPr>
                <w:rFonts w:ascii="Times New Roman"/>
                <w:spacing w:val="-1"/>
                <w:sz w:val="18"/>
              </w:rPr>
            </w:r>
          </w:p>
        </w:tc>
      </w:tr>
      <w:tr>
        <w:trPr>
          <w:trHeight w:val="576" w:hRule="exact"/>
        </w:trPr>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70"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楷体" w:hAnsi="楷体" w:cs="楷体" w:eastAsia="楷体" w:hint="default"/>
                <w:sz w:val="22"/>
                <w:szCs w:val="22"/>
              </w:rPr>
              <w:t>资产出租</w:t>
            </w:r>
          </w:p>
        </w:tc>
        <w:tc>
          <w:tcPr>
            <w:tcW w:w="3840" w:type="dxa"/>
            <w:gridSpan w:val="2"/>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303" w:hRule="exact"/>
        </w:trPr>
        <w:tc>
          <w:tcPr>
            <w:tcW w:w="329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153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交易内容</w:t>
            </w:r>
            <w:r>
              <w:rPr>
                <w:rFonts w:ascii="Microsoft JhengHei" w:hAnsi="Microsoft JhengHei" w:cs="Microsoft JhengHei" w:eastAsia="Microsoft JhengHei" w:hint="default"/>
                <w:sz w:val="18"/>
                <w:szCs w:val="18"/>
              </w:rPr>
            </w:r>
          </w:p>
        </w:tc>
        <w:tc>
          <w:tcPr>
            <w:tcW w:w="231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8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9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93" w:hRule="exact"/>
        </w:trPr>
        <w:tc>
          <w:tcPr>
            <w:tcW w:w="3299"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0" w:right="0"/>
              <w:jc w:val="left"/>
              <w:rPr>
                <w:rFonts w:ascii="楷体" w:hAnsi="楷体" w:cs="楷体" w:eastAsia="楷体" w:hint="default"/>
                <w:sz w:val="18"/>
                <w:szCs w:val="18"/>
              </w:rPr>
            </w:pPr>
            <w:r>
              <w:rPr>
                <w:rFonts w:ascii="楷体" w:hAnsi="楷体" w:cs="楷体" w:eastAsia="楷体" w:hint="default"/>
                <w:sz w:val="18"/>
                <w:szCs w:val="18"/>
              </w:rPr>
              <w:t>同方（鞍山）环保设备股份有限公司</w:t>
            </w:r>
          </w:p>
        </w:tc>
        <w:tc>
          <w:tcPr>
            <w:tcW w:w="1530"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91" w:right="0"/>
              <w:jc w:val="left"/>
              <w:rPr>
                <w:rFonts w:ascii="楷体" w:hAnsi="楷体" w:cs="楷体" w:eastAsia="楷体" w:hint="default"/>
                <w:sz w:val="18"/>
                <w:szCs w:val="18"/>
              </w:rPr>
            </w:pPr>
            <w:r>
              <w:rPr>
                <w:rFonts w:ascii="楷体" w:hAnsi="楷体" w:cs="楷体" w:eastAsia="楷体" w:hint="default"/>
                <w:sz w:val="18"/>
                <w:szCs w:val="18"/>
              </w:rPr>
              <w:t>房租租赁</w:t>
            </w:r>
          </w:p>
        </w:tc>
        <w:tc>
          <w:tcPr>
            <w:tcW w:w="2310"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357"/>
              <w:jc w:val="right"/>
              <w:rPr>
                <w:rFonts w:ascii="Times New Roman" w:hAnsi="Times New Roman" w:cs="Times New Roman" w:eastAsia="Times New Roman" w:hint="default"/>
                <w:sz w:val="18"/>
                <w:szCs w:val="18"/>
              </w:rPr>
            </w:pPr>
            <w:r>
              <w:rPr>
                <w:rFonts w:ascii="Times New Roman"/>
                <w:sz w:val="18"/>
              </w:rPr>
              <w:t>0.00</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1,255,000.00</w:t>
            </w:r>
          </w:p>
        </w:tc>
      </w:tr>
      <w:tr>
        <w:trPr>
          <w:trHeight w:val="304" w:hRule="exact"/>
        </w:trPr>
        <w:tc>
          <w:tcPr>
            <w:tcW w:w="329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30" w:type="dxa"/>
            <w:tcBorders>
              <w:top w:val="single" w:sz="4" w:space="0" w:color="000000"/>
              <w:left w:val="nil" w:sz="6" w:space="0" w:color="auto"/>
              <w:bottom w:val="single" w:sz="12" w:space="0" w:color="000000"/>
              <w:right w:val="nil" w:sz="6" w:space="0" w:color="auto"/>
            </w:tcBorders>
          </w:tcPr>
          <w:p>
            <w:pPr/>
          </w:p>
        </w:tc>
        <w:tc>
          <w:tcPr>
            <w:tcW w:w="23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5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b/>
                <w:spacing w:val="-1"/>
                <w:sz w:val="18"/>
              </w:rPr>
              <w:t>1,255,000.00</w:t>
            </w:r>
            <w:r>
              <w:rPr>
                <w:rFonts w:ascii="Times New Roman"/>
                <w:spacing w:val="-1"/>
                <w:sz w:val="18"/>
              </w:rPr>
            </w:r>
          </w:p>
        </w:tc>
      </w:tr>
      <w:tr>
        <w:trPr>
          <w:trHeight w:val="576" w:hRule="exact"/>
        </w:trPr>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70"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楷体" w:hAnsi="楷体" w:cs="楷体" w:eastAsia="楷体" w:hint="default"/>
                <w:sz w:val="22"/>
                <w:szCs w:val="22"/>
              </w:rPr>
              <w:t>资产租入</w:t>
            </w:r>
          </w:p>
        </w:tc>
        <w:tc>
          <w:tcPr>
            <w:tcW w:w="1530"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302" w:hRule="exact"/>
        </w:trPr>
        <w:tc>
          <w:tcPr>
            <w:tcW w:w="329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153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交易内容</w:t>
            </w:r>
            <w:r>
              <w:rPr>
                <w:rFonts w:ascii="Microsoft JhengHei" w:hAnsi="Microsoft JhengHei" w:cs="Microsoft JhengHei" w:eastAsia="Microsoft JhengHei" w:hint="default"/>
                <w:sz w:val="18"/>
                <w:szCs w:val="18"/>
              </w:rPr>
            </w:r>
          </w:p>
        </w:tc>
        <w:tc>
          <w:tcPr>
            <w:tcW w:w="231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98"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94" w:hRule="exact"/>
        </w:trPr>
        <w:tc>
          <w:tcPr>
            <w:tcW w:w="3299"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0" w:right="0"/>
              <w:jc w:val="left"/>
              <w:rPr>
                <w:rFonts w:ascii="楷体" w:hAnsi="楷体" w:cs="楷体" w:eastAsia="楷体" w:hint="default"/>
                <w:sz w:val="18"/>
                <w:szCs w:val="18"/>
              </w:rPr>
            </w:pPr>
            <w:r>
              <w:rPr>
                <w:rFonts w:ascii="楷体" w:hAnsi="楷体" w:cs="楷体" w:eastAsia="楷体" w:hint="default"/>
                <w:sz w:val="18"/>
                <w:szCs w:val="18"/>
              </w:rPr>
              <w:t>同方环境股份有限公司</w:t>
            </w:r>
          </w:p>
        </w:tc>
        <w:tc>
          <w:tcPr>
            <w:tcW w:w="1530"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90" w:right="0"/>
              <w:jc w:val="left"/>
              <w:rPr>
                <w:rFonts w:ascii="楷体" w:hAnsi="楷体" w:cs="楷体" w:eastAsia="楷体" w:hint="default"/>
                <w:sz w:val="18"/>
                <w:szCs w:val="18"/>
              </w:rPr>
            </w:pPr>
            <w:r>
              <w:rPr>
                <w:rFonts w:ascii="楷体" w:hAnsi="楷体" w:cs="楷体" w:eastAsia="楷体" w:hint="default"/>
                <w:sz w:val="18"/>
                <w:szCs w:val="18"/>
              </w:rPr>
              <w:t>房租租赁</w:t>
            </w:r>
          </w:p>
        </w:tc>
        <w:tc>
          <w:tcPr>
            <w:tcW w:w="2310"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357"/>
              <w:jc w:val="right"/>
              <w:rPr>
                <w:rFonts w:ascii="Times New Roman" w:hAnsi="Times New Roman" w:cs="Times New Roman" w:eastAsia="Times New Roman" w:hint="default"/>
                <w:sz w:val="18"/>
                <w:szCs w:val="18"/>
              </w:rPr>
            </w:pPr>
            <w:r>
              <w:rPr>
                <w:rFonts w:ascii="Times New Roman"/>
                <w:spacing w:val="-1"/>
                <w:sz w:val="18"/>
              </w:rPr>
              <w:t>2,349,971.44</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329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30" w:type="dxa"/>
            <w:tcBorders>
              <w:top w:val="single" w:sz="4" w:space="0" w:color="000000"/>
              <w:left w:val="nil" w:sz="6" w:space="0" w:color="auto"/>
              <w:bottom w:val="single" w:sz="12" w:space="0" w:color="000000"/>
              <w:right w:val="nil" w:sz="6" w:space="0" w:color="auto"/>
            </w:tcBorders>
          </w:tcPr>
          <w:p>
            <w:pPr/>
          </w:p>
        </w:tc>
        <w:tc>
          <w:tcPr>
            <w:tcW w:w="23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57"/>
              <w:jc w:val="right"/>
              <w:rPr>
                <w:rFonts w:ascii="Times New Roman" w:hAnsi="Times New Roman" w:cs="Times New Roman" w:eastAsia="Times New Roman" w:hint="default"/>
                <w:sz w:val="18"/>
                <w:szCs w:val="18"/>
              </w:rPr>
            </w:pPr>
            <w:r>
              <w:rPr>
                <w:rFonts w:ascii="Times New Roman"/>
                <w:b/>
                <w:spacing w:val="-1"/>
                <w:sz w:val="18"/>
              </w:rPr>
              <w:t>2,349,971.44</w:t>
            </w:r>
            <w:r>
              <w:rPr>
                <w:rFonts w:ascii="Times New Roman"/>
                <w:spacing w:val="-1"/>
                <w:sz w:val="18"/>
              </w:rPr>
            </w:r>
          </w:p>
        </w:tc>
        <w:tc>
          <w:tcPr>
            <w:tcW w:w="1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bl>
    <w:p>
      <w:pPr>
        <w:spacing w:before="9"/>
        <w:ind w:left="1078"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6</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6"/>
          <w:sz w:val="22"/>
          <w:szCs w:val="22"/>
        </w:rPr>
        <w:t> </w:t>
      </w:r>
      <w:r>
        <w:rPr>
          <w:rFonts w:ascii="楷体" w:hAnsi="楷体" w:cs="楷体" w:eastAsia="楷体" w:hint="default"/>
          <w:sz w:val="22"/>
          <w:szCs w:val="22"/>
        </w:rPr>
        <w:t>支付许可授权费</w:t>
      </w:r>
    </w:p>
    <w:p>
      <w:pPr>
        <w:spacing w:before="155"/>
        <w:ind w:left="1079" w:right="0" w:firstLine="0"/>
        <w:jc w:val="left"/>
        <w:rPr>
          <w:rFonts w:ascii="楷体" w:hAnsi="楷体" w:cs="楷体" w:eastAsia="楷体" w:hint="default"/>
          <w:sz w:val="22"/>
          <w:szCs w:val="22"/>
        </w:rPr>
      </w:pPr>
      <w:r>
        <w:rPr>
          <w:rFonts w:ascii="楷体" w:hAnsi="楷体" w:cs="楷体" w:eastAsia="楷体" w:hint="default"/>
          <w:spacing w:val="16"/>
          <w:sz w:val="22"/>
          <w:szCs w:val="22"/>
        </w:rPr>
        <w:t>本公司及下属子公司</w:t>
      </w:r>
      <w:r>
        <w:rPr>
          <w:rFonts w:ascii="Times New Roman" w:hAnsi="Times New Roman" w:cs="Times New Roman" w:eastAsia="Times New Roman" w:hint="default"/>
          <w:spacing w:val="16"/>
          <w:sz w:val="22"/>
          <w:szCs w:val="22"/>
        </w:rPr>
        <w:t>2008</w:t>
      </w:r>
      <w:r>
        <w:rPr>
          <w:rFonts w:ascii="楷体" w:hAnsi="楷体" w:cs="楷体" w:eastAsia="楷体" w:hint="default"/>
          <w:spacing w:val="16"/>
          <w:sz w:val="22"/>
          <w:szCs w:val="22"/>
        </w:rPr>
        <w:t>年度向清华大学支付的专利等技术成果实施许可使用费共计</w:t>
      </w:r>
    </w:p>
    <w:p>
      <w:pPr>
        <w:spacing w:before="85"/>
        <w:ind w:left="638" w:right="0" w:firstLine="0"/>
        <w:jc w:val="left"/>
        <w:rPr>
          <w:rFonts w:ascii="楷体" w:hAnsi="楷体" w:cs="楷体" w:eastAsia="楷体" w:hint="default"/>
          <w:sz w:val="22"/>
          <w:szCs w:val="22"/>
        </w:rPr>
      </w:pPr>
      <w:r>
        <w:rPr>
          <w:rFonts w:ascii="Times New Roman" w:hAnsi="Times New Roman" w:cs="Times New Roman" w:eastAsia="Times New Roman" w:hint="default"/>
          <w:sz w:val="22"/>
          <w:szCs w:val="22"/>
        </w:rPr>
        <w:t>40,559,400.00</w:t>
      </w:r>
      <w:r>
        <w:rPr>
          <w:rFonts w:ascii="楷体" w:hAnsi="楷体" w:cs="楷体" w:eastAsia="楷体" w:hint="default"/>
          <w:sz w:val="22"/>
          <w:szCs w:val="22"/>
        </w:rPr>
        <w:t>元，</w:t>
      </w:r>
      <w:r>
        <w:rPr>
          <w:rFonts w:ascii="Times New Roman" w:hAnsi="Times New Roman" w:cs="Times New Roman" w:eastAsia="Times New Roman" w:hint="default"/>
          <w:sz w:val="22"/>
          <w:szCs w:val="22"/>
        </w:rPr>
        <w:t>2007</w:t>
      </w:r>
      <w:r>
        <w:rPr>
          <w:rFonts w:ascii="楷体" w:hAnsi="楷体" w:cs="楷体" w:eastAsia="楷体" w:hint="default"/>
          <w:sz w:val="22"/>
          <w:szCs w:val="22"/>
        </w:rPr>
        <w:t>年度支付上述费用共计</w:t>
      </w:r>
      <w:r>
        <w:rPr>
          <w:rFonts w:ascii="Times New Roman" w:hAnsi="Times New Roman" w:cs="Times New Roman" w:eastAsia="Times New Roman" w:hint="default"/>
          <w:sz w:val="22"/>
          <w:szCs w:val="22"/>
        </w:rPr>
        <w:t>46,610,000.00</w:t>
      </w:r>
      <w:r>
        <w:rPr>
          <w:rFonts w:ascii="楷体" w:hAnsi="楷体" w:cs="楷体" w:eastAsia="楷体" w:hint="default"/>
          <w:sz w:val="22"/>
          <w:szCs w:val="22"/>
        </w:rPr>
        <w:t>元。</w:t>
      </w:r>
    </w:p>
    <w:p>
      <w:pPr>
        <w:spacing w:before="93"/>
        <w:ind w:left="1079"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7</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楷体" w:hAnsi="楷体" w:cs="楷体" w:eastAsia="楷体" w:hint="default"/>
          <w:sz w:val="22"/>
          <w:szCs w:val="22"/>
        </w:rPr>
        <w:t>关联担保情况</w:t>
      </w:r>
    </w:p>
    <w:p>
      <w:pPr>
        <w:spacing w:before="155"/>
        <w:ind w:left="1092"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公司法人实体为控股子公司提供担保</w:t>
      </w:r>
    </w:p>
    <w:p>
      <w:pPr>
        <w:spacing w:line="307" w:lineRule="auto" w:before="163"/>
        <w:ind w:left="638" w:right="616" w:firstLine="440"/>
        <w:jc w:val="left"/>
        <w:rPr>
          <w:rFonts w:ascii="楷体" w:hAnsi="楷体" w:cs="楷体" w:eastAsia="楷体" w:hint="default"/>
          <w:sz w:val="22"/>
          <w:szCs w:val="22"/>
        </w:rPr>
      </w:pPr>
      <w:r>
        <w:rPr>
          <w:rFonts w:ascii="楷体" w:hAnsi="楷体" w:cs="楷体" w:eastAsia="楷体" w:hint="default"/>
          <w:sz w:val="22"/>
          <w:szCs w:val="22"/>
        </w:rPr>
        <w:t>截至</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年</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月</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日公司以保证方式为下列子公司的银行借款、信用证、银行承兑汇票</w:t>
      </w:r>
      <w:r>
        <w:rPr>
          <w:rFonts w:ascii="楷体" w:hAnsi="楷体" w:cs="楷体" w:eastAsia="楷体" w:hint="default"/>
          <w:w w:val="99"/>
          <w:sz w:val="22"/>
          <w:szCs w:val="22"/>
        </w:rPr>
        <w:t> </w:t>
      </w:r>
      <w:r>
        <w:rPr>
          <w:rFonts w:ascii="楷体" w:hAnsi="楷体" w:cs="楷体" w:eastAsia="楷体" w:hint="default"/>
          <w:sz w:val="22"/>
          <w:szCs w:val="22"/>
        </w:rPr>
        <w:t>和保函提供连带责任担保：</w:t>
      </w:r>
    </w:p>
    <w:p>
      <w:pPr>
        <w:spacing w:before="118"/>
        <w:ind w:left="1206"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借款担保</w:t>
      </w:r>
    </w:p>
    <w:p>
      <w:pPr>
        <w:spacing w:line="240" w:lineRule="auto" w:before="5"/>
        <w:rPr>
          <w:rFonts w:ascii="楷体" w:hAnsi="楷体" w:cs="楷体" w:eastAsia="楷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368"/>
        <w:gridCol w:w="2809"/>
        <w:gridCol w:w="1368"/>
        <w:gridCol w:w="1835"/>
        <w:gridCol w:w="1852"/>
      </w:tblGrid>
      <w:tr>
        <w:trPr>
          <w:trHeight w:val="303" w:hRule="exact"/>
        </w:trPr>
        <w:tc>
          <w:tcPr>
            <w:tcW w:w="2368"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81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子公司名称</w:t>
            </w:r>
            <w:r>
              <w:rPr>
                <w:rFonts w:ascii="Microsoft JhengHei" w:hAnsi="Microsoft JhengHei" w:cs="Microsoft JhengHei" w:eastAsia="Microsoft JhengHei" w:hint="default"/>
                <w:sz w:val="16"/>
                <w:szCs w:val="16"/>
              </w:rPr>
            </w:r>
          </w:p>
        </w:tc>
        <w:tc>
          <w:tcPr>
            <w:tcW w:w="2809"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117"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贷款银行</w:t>
            </w:r>
            <w:r>
              <w:rPr>
                <w:rFonts w:ascii="Microsoft JhengHei" w:hAnsi="Microsoft JhengHei" w:cs="Microsoft JhengHei" w:eastAsia="Microsoft JhengHei" w:hint="default"/>
                <w:sz w:val="16"/>
                <w:szCs w:val="16"/>
              </w:rPr>
            </w:r>
          </w:p>
        </w:tc>
        <w:tc>
          <w:tcPr>
            <w:tcW w:w="1368"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36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贷款金额</w:t>
            </w:r>
            <w:r>
              <w:rPr>
                <w:rFonts w:ascii="Microsoft JhengHei" w:hAnsi="Microsoft JhengHei" w:cs="Microsoft JhengHei" w:eastAsia="Microsoft JhengHei" w:hint="default"/>
                <w:sz w:val="16"/>
                <w:szCs w:val="16"/>
              </w:rPr>
            </w:r>
          </w:p>
        </w:tc>
        <w:tc>
          <w:tcPr>
            <w:tcW w:w="1835" w:type="dxa"/>
            <w:tcBorders>
              <w:top w:val="single" w:sz="12" w:space="0" w:color="000000"/>
              <w:left w:val="nil" w:sz="6" w:space="0" w:color="auto"/>
              <w:bottom w:val="single" w:sz="4" w:space="0" w:color="000000"/>
              <w:right w:val="nil" w:sz="6" w:space="0" w:color="auto"/>
            </w:tcBorders>
          </w:tcPr>
          <w:p>
            <w:pPr>
              <w:pStyle w:val="TableParagraph"/>
              <w:spacing w:line="241" w:lineRule="exact"/>
              <w:ind w:right="28"/>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贷款期限</w:t>
            </w:r>
            <w:r>
              <w:rPr>
                <w:rFonts w:ascii="Microsoft JhengHei" w:hAnsi="Microsoft JhengHei" w:cs="Microsoft JhengHei" w:eastAsia="Microsoft JhengHei" w:hint="default"/>
                <w:sz w:val="16"/>
                <w:szCs w:val="16"/>
              </w:rPr>
            </w:r>
          </w:p>
        </w:tc>
        <w:tc>
          <w:tcPr>
            <w:tcW w:w="1852"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4"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保证期间</w:t>
            </w:r>
            <w:r>
              <w:rPr>
                <w:rFonts w:ascii="Microsoft JhengHei" w:hAnsi="Microsoft JhengHei" w:cs="Microsoft JhengHei" w:eastAsia="Microsoft JhengHei" w:hint="default"/>
                <w:sz w:val="16"/>
                <w:szCs w:val="16"/>
              </w:rPr>
            </w:r>
          </w:p>
        </w:tc>
      </w:tr>
      <w:tr>
        <w:trPr>
          <w:trHeight w:val="294" w:hRule="exact"/>
        </w:trPr>
        <w:tc>
          <w:tcPr>
            <w:tcW w:w="236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8" w:right="0"/>
              <w:jc w:val="left"/>
              <w:rPr>
                <w:rFonts w:ascii="楷体" w:hAnsi="楷体" w:cs="楷体" w:eastAsia="楷体" w:hint="default"/>
                <w:sz w:val="16"/>
                <w:szCs w:val="16"/>
              </w:rPr>
            </w:pPr>
            <w:r>
              <w:rPr>
                <w:rFonts w:ascii="楷体" w:hAnsi="楷体" w:cs="楷体" w:eastAsia="楷体" w:hint="default"/>
                <w:sz w:val="16"/>
                <w:szCs w:val="16"/>
              </w:rPr>
              <w:t>江西无线电厂（</w:t>
            </w:r>
            <w:r>
              <w:rPr>
                <w:rFonts w:ascii="宋体" w:hAnsi="宋体" w:cs="宋体" w:eastAsia="宋体" w:hint="default"/>
                <w:sz w:val="16"/>
                <w:szCs w:val="16"/>
              </w:rPr>
              <w:t>713</w:t>
            </w:r>
            <w:r>
              <w:rPr>
                <w:rFonts w:ascii="宋体" w:hAnsi="宋体" w:cs="宋体" w:eastAsia="宋体" w:hint="default"/>
                <w:spacing w:val="-43"/>
                <w:sz w:val="16"/>
                <w:szCs w:val="16"/>
              </w:rPr>
              <w:t> </w:t>
            </w:r>
            <w:r>
              <w:rPr>
                <w:rFonts w:ascii="楷体" w:hAnsi="楷体" w:cs="楷体" w:eastAsia="楷体" w:hint="default"/>
                <w:sz w:val="16"/>
                <w:szCs w:val="16"/>
              </w:rPr>
              <w:t>厂）</w:t>
            </w:r>
          </w:p>
        </w:tc>
        <w:tc>
          <w:tcPr>
            <w:tcW w:w="280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80" w:right="0"/>
              <w:jc w:val="left"/>
              <w:rPr>
                <w:rFonts w:ascii="楷体" w:hAnsi="楷体" w:cs="楷体" w:eastAsia="楷体" w:hint="default"/>
                <w:sz w:val="16"/>
                <w:szCs w:val="16"/>
              </w:rPr>
            </w:pPr>
            <w:r>
              <w:rPr>
                <w:rFonts w:ascii="楷体" w:hAnsi="楷体" w:cs="楷体" w:eastAsia="楷体" w:hint="default"/>
                <w:sz w:val="16"/>
                <w:szCs w:val="16"/>
              </w:rPr>
              <w:t>中国建设银行九江分行</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36"/>
              <w:jc w:val="right"/>
              <w:rPr>
                <w:rFonts w:ascii="楷体" w:hAnsi="楷体" w:cs="楷体" w:eastAsia="楷体" w:hint="default"/>
                <w:sz w:val="16"/>
                <w:szCs w:val="16"/>
              </w:rPr>
            </w:pP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楷体" w:hAnsi="楷体" w:cs="楷体" w:eastAsia="楷体" w:hint="default"/>
                <w:sz w:val="16"/>
                <w:szCs w:val="16"/>
              </w:rPr>
              <w:t>万元</w:t>
            </w:r>
          </w:p>
        </w:tc>
        <w:tc>
          <w:tcPr>
            <w:tcW w:w="18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0"/>
              <w:jc w:val="center"/>
              <w:rPr>
                <w:rFonts w:ascii="Times New Roman" w:hAnsi="Times New Roman" w:cs="Times New Roman" w:eastAsia="Times New Roman" w:hint="default"/>
                <w:sz w:val="16"/>
                <w:szCs w:val="16"/>
              </w:rPr>
            </w:pPr>
            <w:r>
              <w:rPr>
                <w:rFonts w:ascii="Times New Roman"/>
                <w:sz w:val="16"/>
              </w:rPr>
              <w:t>2008.02.04-2009.02.03</w:t>
            </w: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 w:right="0"/>
              <w:jc w:val="center"/>
              <w:rPr>
                <w:rFonts w:ascii="Times New Roman" w:hAnsi="Times New Roman" w:cs="Times New Roman" w:eastAsia="Times New Roman" w:hint="default"/>
                <w:sz w:val="16"/>
                <w:szCs w:val="16"/>
              </w:rPr>
            </w:pPr>
            <w:r>
              <w:rPr>
                <w:rFonts w:ascii="Times New Roman"/>
                <w:sz w:val="16"/>
              </w:rPr>
              <w:t>2008.02.04-2011.02.03</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江西无线电厂（</w:t>
            </w:r>
            <w:r>
              <w:rPr>
                <w:rFonts w:ascii="宋体" w:hAnsi="宋体" w:cs="宋体" w:eastAsia="宋体" w:hint="default"/>
                <w:sz w:val="16"/>
                <w:szCs w:val="16"/>
              </w:rPr>
              <w:t>713</w:t>
            </w:r>
            <w:r>
              <w:rPr>
                <w:rFonts w:ascii="宋体" w:hAnsi="宋体" w:cs="宋体" w:eastAsia="宋体" w:hint="default"/>
                <w:spacing w:val="-43"/>
                <w:sz w:val="16"/>
                <w:szCs w:val="16"/>
              </w:rPr>
              <w:t> </w:t>
            </w:r>
            <w:r>
              <w:rPr>
                <w:rFonts w:ascii="楷体" w:hAnsi="楷体" w:cs="楷体" w:eastAsia="楷体" w:hint="default"/>
                <w:sz w:val="16"/>
                <w:szCs w:val="16"/>
              </w:rPr>
              <w:t>厂）</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楷体" w:hAnsi="楷体" w:cs="楷体" w:eastAsia="楷体" w:hint="default"/>
                <w:sz w:val="16"/>
                <w:szCs w:val="16"/>
              </w:rPr>
            </w:pPr>
            <w:r>
              <w:rPr>
                <w:rFonts w:ascii="楷体" w:hAnsi="楷体" w:cs="楷体" w:eastAsia="楷体" w:hint="default"/>
                <w:sz w:val="16"/>
                <w:szCs w:val="16"/>
              </w:rPr>
              <w:t>中国建设银行九江分行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6"/>
              <w:jc w:val="right"/>
              <w:rPr>
                <w:rFonts w:ascii="楷体" w:hAnsi="楷体" w:cs="楷体" w:eastAsia="楷体" w:hint="default"/>
                <w:sz w:val="16"/>
                <w:szCs w:val="16"/>
              </w:rPr>
            </w:pP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center"/>
              <w:rPr>
                <w:rFonts w:ascii="Times New Roman" w:hAnsi="Times New Roman" w:cs="Times New Roman" w:eastAsia="Times New Roman" w:hint="default"/>
                <w:sz w:val="16"/>
                <w:szCs w:val="16"/>
              </w:rPr>
            </w:pPr>
            <w:r>
              <w:rPr>
                <w:rFonts w:ascii="Times New Roman"/>
                <w:sz w:val="16"/>
              </w:rPr>
              <w:t>2008.11.21-2009.11.20</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 w:right="0"/>
              <w:jc w:val="center"/>
              <w:rPr>
                <w:rFonts w:ascii="Times New Roman" w:hAnsi="Times New Roman" w:cs="Times New Roman" w:eastAsia="Times New Roman" w:hint="default"/>
                <w:sz w:val="16"/>
                <w:szCs w:val="16"/>
              </w:rPr>
            </w:pPr>
            <w:r>
              <w:rPr>
                <w:rFonts w:ascii="Times New Roman"/>
                <w:sz w:val="16"/>
              </w:rPr>
              <w:t>2008.11.21-2011.11.20</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江西无线电厂（</w:t>
            </w:r>
            <w:r>
              <w:rPr>
                <w:rFonts w:ascii="宋体" w:hAnsi="宋体" w:cs="宋体" w:eastAsia="宋体" w:hint="default"/>
                <w:sz w:val="16"/>
                <w:szCs w:val="16"/>
              </w:rPr>
              <w:t>713</w:t>
            </w:r>
            <w:r>
              <w:rPr>
                <w:rFonts w:ascii="宋体" w:hAnsi="宋体" w:cs="宋体" w:eastAsia="宋体" w:hint="default"/>
                <w:spacing w:val="-43"/>
                <w:sz w:val="16"/>
                <w:szCs w:val="16"/>
              </w:rPr>
              <w:t> </w:t>
            </w:r>
            <w:r>
              <w:rPr>
                <w:rFonts w:ascii="楷体" w:hAnsi="楷体" w:cs="楷体" w:eastAsia="楷体" w:hint="default"/>
                <w:sz w:val="16"/>
                <w:szCs w:val="16"/>
              </w:rPr>
              <w:t>厂）</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楷体" w:hAnsi="楷体" w:cs="楷体" w:eastAsia="楷体" w:hint="default"/>
                <w:sz w:val="16"/>
                <w:szCs w:val="16"/>
              </w:rPr>
            </w:pPr>
            <w:r>
              <w:rPr>
                <w:rFonts w:ascii="楷体" w:hAnsi="楷体" w:cs="楷体" w:eastAsia="楷体" w:hint="default"/>
                <w:sz w:val="16"/>
                <w:szCs w:val="16"/>
              </w:rPr>
              <w:t>中国工商银行九江市浔中支行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楷体" w:hAnsi="楷体" w:cs="楷体" w:eastAsia="楷体" w:hint="default"/>
                <w:sz w:val="16"/>
                <w:szCs w:val="16"/>
              </w:rPr>
            </w:pP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center"/>
              <w:rPr>
                <w:rFonts w:ascii="Times New Roman" w:hAnsi="Times New Roman" w:cs="Times New Roman" w:eastAsia="Times New Roman" w:hint="default"/>
                <w:sz w:val="16"/>
                <w:szCs w:val="16"/>
              </w:rPr>
            </w:pPr>
            <w:r>
              <w:rPr>
                <w:rFonts w:ascii="Times New Roman"/>
                <w:sz w:val="16"/>
              </w:rPr>
              <w:t>2008.12.29-2009.12.28</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 w:right="0"/>
              <w:jc w:val="center"/>
              <w:rPr>
                <w:rFonts w:ascii="Times New Roman" w:hAnsi="Times New Roman" w:cs="Times New Roman" w:eastAsia="Times New Roman" w:hint="default"/>
                <w:sz w:val="16"/>
                <w:szCs w:val="16"/>
              </w:rPr>
            </w:pPr>
            <w:r>
              <w:rPr>
                <w:rFonts w:ascii="Times New Roman"/>
                <w:sz w:val="16"/>
              </w:rPr>
              <w:t>2008.12.29-2011.12.28</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北京同方吉兆科技有限公司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1" w:right="0"/>
              <w:jc w:val="left"/>
              <w:rPr>
                <w:rFonts w:ascii="楷体" w:hAnsi="楷体" w:cs="楷体" w:eastAsia="楷体" w:hint="default"/>
                <w:sz w:val="16"/>
                <w:szCs w:val="16"/>
              </w:rPr>
            </w:pPr>
            <w:r>
              <w:rPr>
                <w:rFonts w:ascii="楷体" w:hAnsi="楷体" w:cs="楷体" w:eastAsia="楷体" w:hint="default"/>
                <w:sz w:val="16"/>
                <w:szCs w:val="16"/>
              </w:rPr>
              <w:t>北京银行清华园支行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楷体" w:hAnsi="楷体" w:cs="楷体" w:eastAsia="楷体" w:hint="default"/>
                <w:sz w:val="16"/>
                <w:szCs w:val="16"/>
              </w:rPr>
            </w:pP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center"/>
              <w:rPr>
                <w:rFonts w:ascii="Times New Roman" w:hAnsi="Times New Roman" w:cs="Times New Roman" w:eastAsia="Times New Roman" w:hint="default"/>
                <w:sz w:val="16"/>
                <w:szCs w:val="16"/>
              </w:rPr>
            </w:pPr>
            <w:r>
              <w:rPr>
                <w:rFonts w:ascii="Times New Roman"/>
                <w:sz w:val="16"/>
              </w:rPr>
              <w:t>2008.07.14-2009.07.14</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 w:right="0"/>
              <w:jc w:val="center"/>
              <w:rPr>
                <w:rFonts w:ascii="Times New Roman" w:hAnsi="Times New Roman" w:cs="Times New Roman" w:eastAsia="Times New Roman" w:hint="default"/>
                <w:sz w:val="16"/>
                <w:szCs w:val="16"/>
              </w:rPr>
            </w:pPr>
            <w:r>
              <w:rPr>
                <w:rFonts w:ascii="Times New Roman"/>
                <w:sz w:val="16"/>
              </w:rPr>
              <w:t>2008.07.14-2011.07.14</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北京同方吉兆科技有限公司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1" w:right="0"/>
              <w:jc w:val="left"/>
              <w:rPr>
                <w:rFonts w:ascii="楷体" w:hAnsi="楷体" w:cs="楷体" w:eastAsia="楷体" w:hint="default"/>
                <w:sz w:val="16"/>
                <w:szCs w:val="16"/>
              </w:rPr>
            </w:pPr>
            <w:r>
              <w:rPr>
                <w:rFonts w:ascii="楷体" w:hAnsi="楷体" w:cs="楷体" w:eastAsia="楷体" w:hint="default"/>
                <w:sz w:val="16"/>
                <w:szCs w:val="16"/>
              </w:rPr>
              <w:t>北京银行清华园支行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楷体" w:hAnsi="楷体" w:cs="楷体" w:eastAsia="楷体" w:hint="default"/>
                <w:sz w:val="16"/>
                <w:szCs w:val="16"/>
              </w:rPr>
            </w:pP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center"/>
              <w:rPr>
                <w:rFonts w:ascii="Times New Roman" w:hAnsi="Times New Roman" w:cs="Times New Roman" w:eastAsia="Times New Roman" w:hint="default"/>
                <w:sz w:val="16"/>
                <w:szCs w:val="16"/>
              </w:rPr>
            </w:pPr>
            <w:r>
              <w:rPr>
                <w:rFonts w:ascii="Times New Roman"/>
                <w:sz w:val="16"/>
              </w:rPr>
              <w:t>2008.11.24-2009.11.24</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 w:right="0"/>
              <w:jc w:val="center"/>
              <w:rPr>
                <w:rFonts w:ascii="Times New Roman" w:hAnsi="Times New Roman" w:cs="Times New Roman" w:eastAsia="Times New Roman" w:hint="default"/>
                <w:sz w:val="16"/>
                <w:szCs w:val="16"/>
              </w:rPr>
            </w:pPr>
            <w:r>
              <w:rPr>
                <w:rFonts w:ascii="Times New Roman"/>
                <w:sz w:val="16"/>
              </w:rPr>
              <w:t>2008.11.24-2011.11.24</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北京同方吉兆科技有限公司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1" w:right="0"/>
              <w:jc w:val="left"/>
              <w:rPr>
                <w:rFonts w:ascii="楷体" w:hAnsi="楷体" w:cs="楷体" w:eastAsia="楷体" w:hint="default"/>
                <w:sz w:val="16"/>
                <w:szCs w:val="16"/>
              </w:rPr>
            </w:pPr>
            <w:r>
              <w:rPr>
                <w:rFonts w:ascii="楷体" w:hAnsi="楷体" w:cs="楷体" w:eastAsia="楷体" w:hint="default"/>
                <w:sz w:val="16"/>
                <w:szCs w:val="16"/>
              </w:rPr>
              <w:t>中国建设银行北京海淀支行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楷体" w:hAnsi="楷体" w:cs="楷体" w:eastAsia="楷体" w:hint="default"/>
                <w:sz w:val="16"/>
                <w:szCs w:val="16"/>
              </w:rPr>
            </w:pP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3"/>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center"/>
              <w:rPr>
                <w:rFonts w:ascii="Times New Roman" w:hAnsi="Times New Roman" w:cs="Times New Roman" w:eastAsia="Times New Roman" w:hint="default"/>
                <w:sz w:val="16"/>
                <w:szCs w:val="16"/>
              </w:rPr>
            </w:pPr>
            <w:r>
              <w:rPr>
                <w:rFonts w:ascii="Times New Roman"/>
                <w:sz w:val="16"/>
              </w:rPr>
              <w:t>2008.03.31-2009.03.30</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 w:right="0"/>
              <w:jc w:val="center"/>
              <w:rPr>
                <w:rFonts w:ascii="Times New Roman" w:hAnsi="Times New Roman" w:cs="Times New Roman" w:eastAsia="Times New Roman" w:hint="default"/>
                <w:sz w:val="16"/>
                <w:szCs w:val="16"/>
              </w:rPr>
            </w:pPr>
            <w:r>
              <w:rPr>
                <w:rFonts w:ascii="Times New Roman"/>
                <w:sz w:val="16"/>
              </w:rPr>
              <w:t>2008.03.31-2011.03.30</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北京同方吉兆科技有限公司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1" w:right="0"/>
              <w:jc w:val="left"/>
              <w:rPr>
                <w:rFonts w:ascii="楷体" w:hAnsi="楷体" w:cs="楷体" w:eastAsia="楷体" w:hint="default"/>
                <w:sz w:val="16"/>
                <w:szCs w:val="16"/>
              </w:rPr>
            </w:pPr>
            <w:r>
              <w:rPr>
                <w:rFonts w:ascii="楷体" w:hAnsi="楷体" w:cs="楷体" w:eastAsia="楷体" w:hint="default"/>
                <w:sz w:val="16"/>
                <w:szCs w:val="16"/>
              </w:rPr>
              <w:t>交通银行北京亚运村安翔里分理处</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楷体" w:hAnsi="楷体" w:cs="楷体" w:eastAsia="楷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center"/>
              <w:rPr>
                <w:rFonts w:ascii="Times New Roman" w:hAnsi="Times New Roman" w:cs="Times New Roman" w:eastAsia="Times New Roman" w:hint="default"/>
                <w:sz w:val="16"/>
                <w:szCs w:val="16"/>
              </w:rPr>
            </w:pPr>
            <w:r>
              <w:rPr>
                <w:rFonts w:ascii="Times New Roman"/>
                <w:sz w:val="16"/>
              </w:rPr>
              <w:t>2008.03.31-2009.03.25</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 w:right="0"/>
              <w:jc w:val="center"/>
              <w:rPr>
                <w:rFonts w:ascii="Times New Roman" w:hAnsi="Times New Roman" w:cs="Times New Roman" w:eastAsia="Times New Roman" w:hint="default"/>
                <w:sz w:val="16"/>
                <w:szCs w:val="16"/>
              </w:rPr>
            </w:pPr>
            <w:r>
              <w:rPr>
                <w:rFonts w:ascii="Times New Roman"/>
                <w:sz w:val="16"/>
              </w:rPr>
              <w:t>2008.03.31-2011.03.25</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北京同方吉兆科技有限公司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1" w:right="0"/>
              <w:jc w:val="left"/>
              <w:rPr>
                <w:rFonts w:ascii="楷体" w:hAnsi="楷体" w:cs="楷体" w:eastAsia="楷体" w:hint="default"/>
                <w:sz w:val="16"/>
                <w:szCs w:val="16"/>
              </w:rPr>
            </w:pPr>
            <w:r>
              <w:rPr>
                <w:rFonts w:ascii="楷体" w:hAnsi="楷体" w:cs="楷体" w:eastAsia="楷体" w:hint="default"/>
                <w:sz w:val="16"/>
                <w:szCs w:val="16"/>
              </w:rPr>
              <w:t>招商银行金融街支行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楷体" w:hAnsi="楷体" w:cs="楷体" w:eastAsia="楷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center"/>
              <w:rPr>
                <w:rFonts w:ascii="Times New Roman" w:hAnsi="Times New Roman" w:cs="Times New Roman" w:eastAsia="Times New Roman" w:hint="default"/>
                <w:sz w:val="16"/>
                <w:szCs w:val="16"/>
              </w:rPr>
            </w:pPr>
            <w:r>
              <w:rPr>
                <w:rFonts w:ascii="Times New Roman"/>
                <w:sz w:val="16"/>
              </w:rPr>
              <w:t>2008.11.21-2009.11.20</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 w:right="0"/>
              <w:jc w:val="center"/>
              <w:rPr>
                <w:rFonts w:ascii="Times New Roman" w:hAnsi="Times New Roman" w:cs="Times New Roman" w:eastAsia="Times New Roman" w:hint="default"/>
                <w:sz w:val="16"/>
                <w:szCs w:val="16"/>
              </w:rPr>
            </w:pPr>
            <w:r>
              <w:rPr>
                <w:rFonts w:ascii="Times New Roman"/>
                <w:sz w:val="16"/>
              </w:rPr>
              <w:t>2008.11.21-2011.11.20</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楷体" w:hAnsi="楷体" w:cs="楷体" w:eastAsia="楷体" w:hint="default"/>
                <w:sz w:val="16"/>
                <w:szCs w:val="16"/>
              </w:rPr>
            </w:pPr>
            <w:r>
              <w:rPr>
                <w:rFonts w:ascii="楷体" w:hAnsi="楷体" w:cs="楷体" w:eastAsia="楷体" w:hint="default"/>
                <w:sz w:val="16"/>
                <w:szCs w:val="16"/>
              </w:rPr>
              <w:t>北京同方凌讯科技有限公司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1" w:right="0"/>
              <w:jc w:val="left"/>
              <w:rPr>
                <w:rFonts w:ascii="楷体" w:hAnsi="楷体" w:cs="楷体" w:eastAsia="楷体" w:hint="default"/>
                <w:sz w:val="16"/>
                <w:szCs w:val="16"/>
              </w:rPr>
            </w:pPr>
            <w:r>
              <w:rPr>
                <w:rFonts w:ascii="楷体" w:hAnsi="楷体" w:cs="楷体" w:eastAsia="楷体" w:hint="default"/>
                <w:sz w:val="16"/>
                <w:szCs w:val="16"/>
              </w:rPr>
              <w:t>北京银行清华园支行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4"/>
              <w:jc w:val="right"/>
              <w:rPr>
                <w:rFonts w:ascii="楷体" w:hAnsi="楷体" w:cs="楷体" w:eastAsia="楷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center"/>
              <w:rPr>
                <w:rFonts w:ascii="Times New Roman" w:hAnsi="Times New Roman" w:cs="Times New Roman" w:eastAsia="Times New Roman" w:hint="default"/>
                <w:sz w:val="16"/>
                <w:szCs w:val="16"/>
              </w:rPr>
            </w:pPr>
            <w:r>
              <w:rPr>
                <w:rFonts w:ascii="Times New Roman"/>
                <w:sz w:val="16"/>
              </w:rPr>
              <w:t>2008.11.24-2009.11.24.</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 w:right="0"/>
              <w:jc w:val="center"/>
              <w:rPr>
                <w:rFonts w:ascii="Times New Roman" w:hAnsi="Times New Roman" w:cs="Times New Roman" w:eastAsia="Times New Roman" w:hint="default"/>
                <w:sz w:val="16"/>
                <w:szCs w:val="16"/>
              </w:rPr>
            </w:pPr>
            <w:r>
              <w:rPr>
                <w:rFonts w:ascii="Times New Roman"/>
                <w:sz w:val="16"/>
              </w:rPr>
              <w:t>2008.11.24-2011.11.24</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楷体" w:hAnsi="楷体" w:cs="楷体" w:eastAsia="楷体" w:hint="default"/>
                <w:sz w:val="16"/>
                <w:szCs w:val="16"/>
              </w:rPr>
            </w:pPr>
            <w:r>
              <w:rPr>
                <w:rFonts w:ascii="楷体" w:hAnsi="楷体" w:cs="楷体" w:eastAsia="楷体" w:hint="default"/>
                <w:sz w:val="16"/>
                <w:szCs w:val="16"/>
              </w:rPr>
              <w:t>北京同方凌讯科技有限公司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2" w:right="0"/>
              <w:jc w:val="left"/>
              <w:rPr>
                <w:rFonts w:ascii="楷体" w:hAnsi="楷体" w:cs="楷体" w:eastAsia="楷体" w:hint="default"/>
                <w:sz w:val="16"/>
                <w:szCs w:val="16"/>
              </w:rPr>
            </w:pPr>
            <w:r>
              <w:rPr>
                <w:rFonts w:ascii="楷体" w:hAnsi="楷体" w:cs="楷体" w:eastAsia="楷体" w:hint="default"/>
                <w:sz w:val="16"/>
                <w:szCs w:val="16"/>
              </w:rPr>
              <w:t>北京银行清华园支行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4"/>
              <w:jc w:val="right"/>
              <w:rPr>
                <w:rFonts w:ascii="楷体" w:hAnsi="楷体" w:cs="楷体" w:eastAsia="楷体" w:hint="default"/>
                <w:sz w:val="16"/>
                <w:szCs w:val="16"/>
              </w:rPr>
            </w:pPr>
            <w:r>
              <w:rPr>
                <w:rFonts w:ascii="Times New Roman" w:hAnsi="Times New Roman" w:cs="Times New Roman" w:eastAsia="Times New Roman" w:hint="default"/>
                <w:sz w:val="16"/>
                <w:szCs w:val="16"/>
              </w:rPr>
              <w:t>700.00</w:t>
            </w:r>
            <w:r>
              <w:rPr>
                <w:rFonts w:ascii="Times New Roman" w:hAnsi="Times New Roman" w:cs="Times New Roman" w:eastAsia="Times New Roman" w:hint="default"/>
                <w:spacing w:val="-2"/>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center"/>
              <w:rPr>
                <w:rFonts w:ascii="Times New Roman" w:hAnsi="Times New Roman" w:cs="Times New Roman" w:eastAsia="Times New Roman" w:hint="default"/>
                <w:sz w:val="16"/>
                <w:szCs w:val="16"/>
              </w:rPr>
            </w:pPr>
            <w:r>
              <w:rPr>
                <w:rFonts w:ascii="Times New Roman"/>
                <w:sz w:val="16"/>
              </w:rPr>
              <w:t>2008.07.14-2009.07.14</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 w:right="0"/>
              <w:jc w:val="center"/>
              <w:rPr>
                <w:rFonts w:ascii="Times New Roman" w:hAnsi="Times New Roman" w:cs="Times New Roman" w:eastAsia="Times New Roman" w:hint="default"/>
                <w:sz w:val="16"/>
                <w:szCs w:val="16"/>
              </w:rPr>
            </w:pPr>
            <w:r>
              <w:rPr>
                <w:rFonts w:ascii="Times New Roman"/>
                <w:sz w:val="16"/>
              </w:rPr>
              <w:t>2008.07.14-2011.07.14</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楷体" w:hAnsi="楷体" w:cs="楷体" w:eastAsia="楷体" w:hint="default"/>
                <w:sz w:val="16"/>
                <w:szCs w:val="16"/>
              </w:rPr>
            </w:pPr>
            <w:r>
              <w:rPr>
                <w:rFonts w:ascii="楷体" w:hAnsi="楷体" w:cs="楷体" w:eastAsia="楷体" w:hint="default"/>
                <w:sz w:val="16"/>
                <w:szCs w:val="16"/>
              </w:rPr>
              <w:t>北京同方凌讯科技有限公司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2" w:right="0"/>
              <w:jc w:val="left"/>
              <w:rPr>
                <w:rFonts w:ascii="楷体" w:hAnsi="楷体" w:cs="楷体" w:eastAsia="楷体" w:hint="default"/>
                <w:sz w:val="16"/>
                <w:szCs w:val="16"/>
              </w:rPr>
            </w:pPr>
            <w:r>
              <w:rPr>
                <w:rFonts w:ascii="楷体" w:hAnsi="楷体" w:cs="楷体" w:eastAsia="楷体" w:hint="default"/>
                <w:sz w:val="16"/>
                <w:szCs w:val="16"/>
              </w:rPr>
              <w:t>北京银行清华园支行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4"/>
              <w:jc w:val="right"/>
              <w:rPr>
                <w:rFonts w:ascii="楷体" w:hAnsi="楷体" w:cs="楷体" w:eastAsia="楷体" w:hint="default"/>
                <w:sz w:val="16"/>
                <w:szCs w:val="16"/>
              </w:rPr>
            </w:pP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center"/>
              <w:rPr>
                <w:rFonts w:ascii="Times New Roman" w:hAnsi="Times New Roman" w:cs="Times New Roman" w:eastAsia="Times New Roman" w:hint="default"/>
                <w:sz w:val="16"/>
                <w:szCs w:val="16"/>
              </w:rPr>
            </w:pPr>
            <w:r>
              <w:rPr>
                <w:rFonts w:ascii="Times New Roman"/>
                <w:sz w:val="16"/>
              </w:rPr>
              <w:t>2008.04.28.-2009.04.28</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 w:right="0"/>
              <w:jc w:val="center"/>
              <w:rPr>
                <w:rFonts w:ascii="Times New Roman" w:hAnsi="Times New Roman" w:cs="Times New Roman" w:eastAsia="Times New Roman" w:hint="default"/>
                <w:sz w:val="16"/>
                <w:szCs w:val="16"/>
              </w:rPr>
            </w:pPr>
            <w:r>
              <w:rPr>
                <w:rFonts w:ascii="Times New Roman"/>
                <w:sz w:val="16"/>
              </w:rPr>
              <w:t>2008.04.28.-2011.04.28</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楷体" w:hAnsi="楷体" w:cs="楷体" w:eastAsia="楷体" w:hint="default"/>
                <w:sz w:val="16"/>
                <w:szCs w:val="16"/>
              </w:rPr>
            </w:pPr>
            <w:r>
              <w:rPr>
                <w:rFonts w:ascii="楷体" w:hAnsi="楷体" w:cs="楷体" w:eastAsia="楷体" w:hint="default"/>
                <w:sz w:val="16"/>
                <w:szCs w:val="16"/>
              </w:rPr>
              <w:t>北京同方凌讯科技有限公司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2" w:right="0"/>
              <w:jc w:val="left"/>
              <w:rPr>
                <w:rFonts w:ascii="楷体" w:hAnsi="楷体" w:cs="楷体" w:eastAsia="楷体" w:hint="default"/>
                <w:sz w:val="16"/>
                <w:szCs w:val="16"/>
              </w:rPr>
            </w:pPr>
            <w:r>
              <w:rPr>
                <w:rFonts w:ascii="楷体" w:hAnsi="楷体" w:cs="楷体" w:eastAsia="楷体" w:hint="default"/>
                <w:sz w:val="16"/>
                <w:szCs w:val="16"/>
              </w:rPr>
              <w:t>北京银行清华园支行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4"/>
              <w:jc w:val="right"/>
              <w:rPr>
                <w:rFonts w:ascii="楷体" w:hAnsi="楷体" w:cs="楷体" w:eastAsia="楷体" w:hint="default"/>
                <w:sz w:val="16"/>
                <w:szCs w:val="16"/>
              </w:rPr>
            </w:pPr>
            <w:r>
              <w:rPr>
                <w:rFonts w:ascii="Times New Roman" w:hAnsi="Times New Roman" w:cs="Times New Roman" w:eastAsia="Times New Roman" w:hint="default"/>
                <w:sz w:val="16"/>
                <w:szCs w:val="16"/>
              </w:rPr>
              <w:t>2,100.00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center"/>
              <w:rPr>
                <w:rFonts w:ascii="Times New Roman" w:hAnsi="Times New Roman" w:cs="Times New Roman" w:eastAsia="Times New Roman" w:hint="default"/>
                <w:sz w:val="16"/>
                <w:szCs w:val="16"/>
              </w:rPr>
            </w:pPr>
            <w:r>
              <w:rPr>
                <w:rFonts w:ascii="Times New Roman"/>
                <w:sz w:val="16"/>
              </w:rPr>
              <w:t>2008.03.14.-2009.03.14</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 w:right="0"/>
              <w:jc w:val="center"/>
              <w:rPr>
                <w:rFonts w:ascii="Times New Roman" w:hAnsi="Times New Roman" w:cs="Times New Roman" w:eastAsia="Times New Roman" w:hint="default"/>
                <w:sz w:val="16"/>
                <w:szCs w:val="16"/>
              </w:rPr>
            </w:pPr>
            <w:r>
              <w:rPr>
                <w:rFonts w:ascii="Times New Roman"/>
                <w:sz w:val="16"/>
              </w:rPr>
              <w:t>2008.03.14.-2011.03.14</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楷体" w:hAnsi="楷体" w:cs="楷体" w:eastAsia="楷体" w:hint="default"/>
                <w:sz w:val="16"/>
                <w:szCs w:val="16"/>
              </w:rPr>
            </w:pPr>
            <w:r>
              <w:rPr>
                <w:rFonts w:ascii="楷体" w:hAnsi="楷体" w:cs="楷体" w:eastAsia="楷体" w:hint="default"/>
                <w:sz w:val="16"/>
                <w:szCs w:val="16"/>
              </w:rPr>
              <w:t>山东同方鲁颖电子有限公司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2" w:right="0"/>
              <w:jc w:val="left"/>
              <w:rPr>
                <w:rFonts w:ascii="楷体" w:hAnsi="楷体" w:cs="楷体" w:eastAsia="楷体" w:hint="default"/>
                <w:sz w:val="16"/>
                <w:szCs w:val="16"/>
              </w:rPr>
            </w:pPr>
            <w:r>
              <w:rPr>
                <w:rFonts w:ascii="楷体" w:hAnsi="楷体" w:cs="楷体" w:eastAsia="楷体" w:hint="default"/>
                <w:sz w:val="16"/>
                <w:szCs w:val="16"/>
              </w:rPr>
              <w:t>中国工商银行沂南县支行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4"/>
              <w:jc w:val="right"/>
              <w:rPr>
                <w:rFonts w:ascii="楷体" w:hAnsi="楷体" w:cs="楷体" w:eastAsia="楷体" w:hint="default"/>
                <w:sz w:val="16"/>
                <w:szCs w:val="16"/>
              </w:rPr>
            </w:pPr>
            <w:r>
              <w:rPr>
                <w:rFonts w:ascii="Times New Roman" w:hAnsi="Times New Roman" w:cs="Times New Roman" w:eastAsia="Times New Roman" w:hint="default"/>
                <w:sz w:val="16"/>
                <w:szCs w:val="16"/>
              </w:rPr>
              <w:t>800.00</w:t>
            </w:r>
            <w:r>
              <w:rPr>
                <w:rFonts w:ascii="Times New Roman" w:hAnsi="Times New Roman" w:cs="Times New Roman" w:eastAsia="Times New Roman" w:hint="default"/>
                <w:spacing w:val="-2"/>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center"/>
              <w:rPr>
                <w:rFonts w:ascii="Times New Roman" w:hAnsi="Times New Roman" w:cs="Times New Roman" w:eastAsia="Times New Roman" w:hint="default"/>
                <w:sz w:val="16"/>
                <w:szCs w:val="16"/>
              </w:rPr>
            </w:pPr>
            <w:r>
              <w:rPr>
                <w:rFonts w:ascii="Times New Roman"/>
                <w:sz w:val="16"/>
              </w:rPr>
              <w:t>2008.05.30-2009.05.25</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 w:right="0"/>
              <w:jc w:val="center"/>
              <w:rPr>
                <w:rFonts w:ascii="Times New Roman" w:hAnsi="Times New Roman" w:cs="Times New Roman" w:eastAsia="Times New Roman" w:hint="default"/>
                <w:sz w:val="16"/>
                <w:szCs w:val="16"/>
              </w:rPr>
            </w:pPr>
            <w:r>
              <w:rPr>
                <w:rFonts w:ascii="Times New Roman"/>
                <w:sz w:val="16"/>
              </w:rPr>
              <w:t>2008.05.30-2011.05.25</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楷体" w:hAnsi="楷体" w:cs="楷体" w:eastAsia="楷体" w:hint="default"/>
                <w:sz w:val="16"/>
                <w:szCs w:val="16"/>
              </w:rPr>
            </w:pPr>
            <w:r>
              <w:rPr>
                <w:rFonts w:ascii="楷体" w:hAnsi="楷体" w:cs="楷体" w:eastAsia="楷体" w:hint="default"/>
                <w:sz w:val="16"/>
                <w:szCs w:val="16"/>
              </w:rPr>
              <w:t>山东同方鲁颖电子有限公司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2" w:right="0"/>
              <w:jc w:val="left"/>
              <w:rPr>
                <w:rFonts w:ascii="楷体" w:hAnsi="楷体" w:cs="楷体" w:eastAsia="楷体" w:hint="default"/>
                <w:sz w:val="16"/>
                <w:szCs w:val="16"/>
              </w:rPr>
            </w:pPr>
            <w:r>
              <w:rPr>
                <w:rFonts w:ascii="楷体" w:hAnsi="楷体" w:cs="楷体" w:eastAsia="楷体" w:hint="default"/>
                <w:sz w:val="16"/>
                <w:szCs w:val="16"/>
              </w:rPr>
              <w:t>中国工商银行沂南县支行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4"/>
              <w:jc w:val="right"/>
              <w:rPr>
                <w:rFonts w:ascii="楷体" w:hAnsi="楷体" w:cs="楷体" w:eastAsia="楷体" w:hint="default"/>
                <w:sz w:val="16"/>
                <w:szCs w:val="16"/>
              </w:rPr>
            </w:pP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center"/>
              <w:rPr>
                <w:rFonts w:ascii="Times New Roman" w:hAnsi="Times New Roman" w:cs="Times New Roman" w:eastAsia="Times New Roman" w:hint="default"/>
                <w:sz w:val="16"/>
                <w:szCs w:val="16"/>
              </w:rPr>
            </w:pPr>
            <w:r>
              <w:rPr>
                <w:rFonts w:ascii="Times New Roman"/>
                <w:sz w:val="16"/>
              </w:rPr>
              <w:t>2008.09.24-2009.09.23</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 w:right="0"/>
              <w:jc w:val="center"/>
              <w:rPr>
                <w:rFonts w:ascii="Times New Roman" w:hAnsi="Times New Roman" w:cs="Times New Roman" w:eastAsia="Times New Roman" w:hint="default"/>
                <w:sz w:val="16"/>
                <w:szCs w:val="16"/>
              </w:rPr>
            </w:pPr>
            <w:r>
              <w:rPr>
                <w:rFonts w:ascii="Times New Roman"/>
                <w:sz w:val="16"/>
              </w:rPr>
              <w:t>2008.09.24-2011.09.23</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0" w:right="0"/>
              <w:jc w:val="left"/>
              <w:rPr>
                <w:rFonts w:ascii="楷体" w:hAnsi="楷体" w:cs="楷体" w:eastAsia="楷体" w:hint="default"/>
                <w:sz w:val="16"/>
                <w:szCs w:val="16"/>
              </w:rPr>
            </w:pPr>
            <w:r>
              <w:rPr>
                <w:rFonts w:ascii="楷体" w:hAnsi="楷体" w:cs="楷体" w:eastAsia="楷体" w:hint="default"/>
                <w:sz w:val="16"/>
                <w:szCs w:val="16"/>
              </w:rPr>
              <w:t>同方威视技术股份有限公司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2" w:right="0"/>
              <w:jc w:val="left"/>
              <w:rPr>
                <w:rFonts w:ascii="楷体" w:hAnsi="楷体" w:cs="楷体" w:eastAsia="楷体" w:hint="default"/>
                <w:sz w:val="16"/>
                <w:szCs w:val="16"/>
              </w:rPr>
            </w:pPr>
            <w:r>
              <w:rPr>
                <w:rFonts w:ascii="楷体" w:hAnsi="楷体" w:cs="楷体" w:eastAsia="楷体" w:hint="default"/>
                <w:sz w:val="16"/>
                <w:szCs w:val="16"/>
              </w:rPr>
              <w:t>中国进出口银行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5"/>
              <w:jc w:val="right"/>
              <w:rPr>
                <w:rFonts w:ascii="楷体" w:hAnsi="楷体" w:cs="楷体" w:eastAsia="楷体" w:hint="default"/>
                <w:sz w:val="16"/>
                <w:szCs w:val="16"/>
              </w:rPr>
            </w:pPr>
            <w:r>
              <w:rPr>
                <w:rFonts w:ascii="Times New Roman" w:hAnsi="Times New Roman" w:cs="Times New Roman" w:eastAsia="Times New Roman" w:hint="default"/>
                <w:sz w:val="16"/>
                <w:szCs w:val="16"/>
              </w:rPr>
              <w:t>20,000.00</w:t>
            </w:r>
            <w:r>
              <w:rPr>
                <w:rFonts w:ascii="Times New Roman" w:hAnsi="Times New Roman" w:cs="Times New Roman" w:eastAsia="Times New Roman" w:hint="default"/>
                <w:spacing w:val="-6"/>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center"/>
              <w:rPr>
                <w:rFonts w:ascii="Times New Roman" w:hAnsi="Times New Roman" w:cs="Times New Roman" w:eastAsia="Times New Roman" w:hint="default"/>
                <w:sz w:val="16"/>
                <w:szCs w:val="16"/>
              </w:rPr>
            </w:pPr>
            <w:r>
              <w:rPr>
                <w:rFonts w:ascii="Times New Roman"/>
                <w:sz w:val="16"/>
              </w:rPr>
              <w:t>2007.06.18-2009.06.17</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 w:right="0"/>
              <w:jc w:val="center"/>
              <w:rPr>
                <w:rFonts w:ascii="Times New Roman" w:hAnsi="Times New Roman" w:cs="Times New Roman" w:eastAsia="Times New Roman" w:hint="default"/>
                <w:sz w:val="16"/>
                <w:szCs w:val="16"/>
              </w:rPr>
            </w:pPr>
            <w:r>
              <w:rPr>
                <w:rFonts w:ascii="Times New Roman"/>
                <w:sz w:val="16"/>
              </w:rPr>
              <w:t>2007.06.18-2011.06.17</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0" w:right="0"/>
              <w:jc w:val="left"/>
              <w:rPr>
                <w:rFonts w:ascii="楷体" w:hAnsi="楷体" w:cs="楷体" w:eastAsia="楷体" w:hint="default"/>
                <w:sz w:val="16"/>
                <w:szCs w:val="16"/>
              </w:rPr>
            </w:pPr>
            <w:r>
              <w:rPr>
                <w:rFonts w:ascii="楷体" w:hAnsi="楷体" w:cs="楷体" w:eastAsia="楷体" w:hint="default"/>
                <w:sz w:val="16"/>
                <w:szCs w:val="16"/>
              </w:rPr>
              <w:t>同方威视技术股份有限公司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2" w:right="0"/>
              <w:jc w:val="left"/>
              <w:rPr>
                <w:rFonts w:ascii="楷体" w:hAnsi="楷体" w:cs="楷体" w:eastAsia="楷体" w:hint="default"/>
                <w:sz w:val="16"/>
                <w:szCs w:val="16"/>
              </w:rPr>
            </w:pPr>
            <w:r>
              <w:rPr>
                <w:rFonts w:ascii="楷体" w:hAnsi="楷体" w:cs="楷体" w:eastAsia="楷体" w:hint="default"/>
                <w:sz w:val="16"/>
                <w:szCs w:val="16"/>
              </w:rPr>
              <w:t>中国进出口银行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3"/>
              <w:jc w:val="right"/>
              <w:rPr>
                <w:rFonts w:ascii="楷体" w:hAnsi="楷体" w:cs="楷体" w:eastAsia="楷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center"/>
              <w:rPr>
                <w:rFonts w:ascii="Times New Roman" w:hAnsi="Times New Roman" w:cs="Times New Roman" w:eastAsia="Times New Roman" w:hint="default"/>
                <w:sz w:val="16"/>
                <w:szCs w:val="16"/>
              </w:rPr>
            </w:pPr>
            <w:r>
              <w:rPr>
                <w:rFonts w:ascii="Times New Roman"/>
                <w:sz w:val="16"/>
              </w:rPr>
              <w:t>2008.01.28-2009.06.17</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Times New Roman" w:hAnsi="Times New Roman" w:cs="Times New Roman" w:eastAsia="Times New Roman" w:hint="default"/>
                <w:sz w:val="16"/>
                <w:szCs w:val="16"/>
              </w:rPr>
            </w:pPr>
            <w:r>
              <w:rPr>
                <w:rFonts w:ascii="Times New Roman"/>
                <w:sz w:val="16"/>
              </w:rPr>
              <w:t>2008.01.28-2011.06.17</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0" w:right="0"/>
              <w:jc w:val="left"/>
              <w:rPr>
                <w:rFonts w:ascii="楷体" w:hAnsi="楷体" w:cs="楷体" w:eastAsia="楷体" w:hint="default"/>
                <w:sz w:val="16"/>
                <w:szCs w:val="16"/>
              </w:rPr>
            </w:pPr>
            <w:r>
              <w:rPr>
                <w:rFonts w:ascii="楷体" w:hAnsi="楷体" w:cs="楷体" w:eastAsia="楷体" w:hint="default"/>
                <w:sz w:val="16"/>
                <w:szCs w:val="16"/>
              </w:rPr>
              <w:t>同方威视技术股份有限公司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3" w:right="0"/>
              <w:jc w:val="left"/>
              <w:rPr>
                <w:rFonts w:ascii="楷体" w:hAnsi="楷体" w:cs="楷体" w:eastAsia="楷体" w:hint="default"/>
                <w:sz w:val="16"/>
                <w:szCs w:val="16"/>
              </w:rPr>
            </w:pPr>
            <w:r>
              <w:rPr>
                <w:rFonts w:ascii="楷体" w:hAnsi="楷体" w:cs="楷体" w:eastAsia="楷体" w:hint="default"/>
                <w:sz w:val="16"/>
                <w:szCs w:val="16"/>
              </w:rPr>
              <w:t>中国进出口银行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3"/>
              <w:jc w:val="right"/>
              <w:rPr>
                <w:rFonts w:ascii="楷体" w:hAnsi="楷体" w:cs="楷体" w:eastAsia="楷体" w:hint="default"/>
                <w:sz w:val="16"/>
                <w:szCs w:val="16"/>
              </w:rPr>
            </w:pPr>
            <w:r>
              <w:rPr>
                <w:rFonts w:ascii="Times New Roman" w:hAnsi="Times New Roman" w:cs="Times New Roman" w:eastAsia="Times New Roman" w:hint="default"/>
                <w:sz w:val="16"/>
                <w:szCs w:val="16"/>
              </w:rPr>
              <w:t>9,000.00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center"/>
              <w:rPr>
                <w:rFonts w:ascii="Times New Roman" w:hAnsi="Times New Roman" w:cs="Times New Roman" w:eastAsia="Times New Roman" w:hint="default"/>
                <w:sz w:val="16"/>
                <w:szCs w:val="16"/>
              </w:rPr>
            </w:pPr>
            <w:r>
              <w:rPr>
                <w:rFonts w:ascii="Times New Roman"/>
                <w:sz w:val="16"/>
              </w:rPr>
              <w:t>2008.01.21-2009.06.17</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 w:right="0"/>
              <w:jc w:val="center"/>
              <w:rPr>
                <w:rFonts w:ascii="Times New Roman" w:hAnsi="Times New Roman" w:cs="Times New Roman" w:eastAsia="Times New Roman" w:hint="default"/>
                <w:sz w:val="16"/>
                <w:szCs w:val="16"/>
              </w:rPr>
            </w:pPr>
            <w:r>
              <w:rPr>
                <w:rFonts w:ascii="Times New Roman"/>
                <w:sz w:val="16"/>
              </w:rPr>
              <w:t>2008.01.21-2011.06.17</w:t>
            </w:r>
          </w:p>
        </w:tc>
      </w:tr>
      <w:tr>
        <w:trPr>
          <w:trHeight w:val="284"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0" w:right="0"/>
              <w:jc w:val="left"/>
              <w:rPr>
                <w:rFonts w:ascii="楷体" w:hAnsi="楷体" w:cs="楷体" w:eastAsia="楷体" w:hint="default"/>
                <w:sz w:val="16"/>
                <w:szCs w:val="16"/>
              </w:rPr>
            </w:pPr>
            <w:r>
              <w:rPr>
                <w:rFonts w:ascii="楷体" w:hAnsi="楷体" w:cs="楷体" w:eastAsia="楷体" w:hint="default"/>
                <w:sz w:val="16"/>
                <w:szCs w:val="16"/>
              </w:rPr>
              <w:t>中体同方体育科技有限公司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80" w:right="0"/>
              <w:jc w:val="left"/>
              <w:rPr>
                <w:rFonts w:ascii="楷体" w:hAnsi="楷体" w:cs="楷体" w:eastAsia="楷体" w:hint="default"/>
                <w:sz w:val="16"/>
                <w:szCs w:val="16"/>
              </w:rPr>
            </w:pPr>
            <w:r>
              <w:rPr>
                <w:rFonts w:ascii="楷体" w:hAnsi="楷体" w:cs="楷体" w:eastAsia="楷体" w:hint="default"/>
                <w:sz w:val="16"/>
                <w:szCs w:val="16"/>
              </w:rPr>
              <w:t>国家开发银行北京市分行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6"/>
              <w:jc w:val="right"/>
              <w:rPr>
                <w:rFonts w:ascii="楷体" w:hAnsi="楷体" w:cs="楷体" w:eastAsia="楷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center"/>
              <w:rPr>
                <w:rFonts w:ascii="Times New Roman" w:hAnsi="Times New Roman" w:cs="Times New Roman" w:eastAsia="Times New Roman" w:hint="default"/>
                <w:sz w:val="16"/>
                <w:szCs w:val="16"/>
              </w:rPr>
            </w:pPr>
            <w:r>
              <w:rPr>
                <w:rFonts w:ascii="Times New Roman"/>
                <w:sz w:val="16"/>
              </w:rPr>
              <w:t>2008.12.29-2011.12.28</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 w:right="0"/>
              <w:jc w:val="center"/>
              <w:rPr>
                <w:rFonts w:ascii="Times New Roman" w:hAnsi="Times New Roman" w:cs="Times New Roman" w:eastAsia="Times New Roman" w:hint="default"/>
                <w:sz w:val="16"/>
                <w:szCs w:val="16"/>
              </w:rPr>
            </w:pPr>
            <w:r>
              <w:rPr>
                <w:rFonts w:ascii="Times New Roman"/>
                <w:sz w:val="16"/>
              </w:rPr>
              <w:t>2008.12.29-2013.12.28</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同方鞍山科技园有限公司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楷体" w:hAnsi="楷体" w:cs="楷体" w:eastAsia="楷体" w:hint="default"/>
                <w:sz w:val="16"/>
                <w:szCs w:val="16"/>
              </w:rPr>
            </w:pPr>
            <w:r>
              <w:rPr>
                <w:rFonts w:ascii="楷体" w:hAnsi="楷体" w:cs="楷体" w:eastAsia="楷体" w:hint="default"/>
                <w:sz w:val="16"/>
                <w:szCs w:val="16"/>
              </w:rPr>
              <w:t>中国建设银行鞍山铁西支行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6"/>
              <w:jc w:val="right"/>
              <w:rPr>
                <w:rFonts w:ascii="楷体" w:hAnsi="楷体" w:cs="楷体" w:eastAsia="楷体" w:hint="default"/>
                <w:sz w:val="16"/>
                <w:szCs w:val="16"/>
              </w:rPr>
            </w:pP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3"/>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center"/>
              <w:rPr>
                <w:rFonts w:ascii="Times New Roman" w:hAnsi="Times New Roman" w:cs="Times New Roman" w:eastAsia="Times New Roman" w:hint="default"/>
                <w:sz w:val="16"/>
                <w:szCs w:val="16"/>
              </w:rPr>
            </w:pPr>
            <w:r>
              <w:rPr>
                <w:rFonts w:ascii="Times New Roman"/>
                <w:sz w:val="16"/>
              </w:rPr>
              <w:t>2005.10.27-2009.10.27</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 w:right="0"/>
              <w:jc w:val="center"/>
              <w:rPr>
                <w:rFonts w:ascii="Times New Roman" w:hAnsi="Times New Roman" w:cs="Times New Roman" w:eastAsia="Times New Roman" w:hint="default"/>
                <w:sz w:val="16"/>
                <w:szCs w:val="16"/>
              </w:rPr>
            </w:pPr>
            <w:r>
              <w:rPr>
                <w:rFonts w:ascii="Times New Roman"/>
                <w:sz w:val="16"/>
              </w:rPr>
              <w:t>2005.10.27-2011.10.27</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同方鞍山科技园有限公司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楷体" w:hAnsi="楷体" w:cs="楷体" w:eastAsia="楷体" w:hint="default"/>
                <w:sz w:val="16"/>
                <w:szCs w:val="16"/>
              </w:rPr>
            </w:pPr>
            <w:r>
              <w:rPr>
                <w:rFonts w:ascii="楷体" w:hAnsi="楷体" w:cs="楷体" w:eastAsia="楷体" w:hint="default"/>
                <w:sz w:val="16"/>
                <w:szCs w:val="16"/>
              </w:rPr>
              <w:t>中国建设银行鞍山铁西支行</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6"/>
              <w:jc w:val="right"/>
              <w:rPr>
                <w:rFonts w:ascii="楷体" w:hAnsi="楷体" w:cs="楷体" w:eastAsia="楷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center"/>
              <w:rPr>
                <w:rFonts w:ascii="Times New Roman" w:hAnsi="Times New Roman" w:cs="Times New Roman" w:eastAsia="Times New Roman" w:hint="default"/>
                <w:sz w:val="16"/>
                <w:szCs w:val="16"/>
              </w:rPr>
            </w:pPr>
            <w:r>
              <w:rPr>
                <w:rFonts w:ascii="Times New Roman"/>
                <w:sz w:val="16"/>
              </w:rPr>
              <w:t>2006.01.05-2011.10.27</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 w:right="0"/>
              <w:jc w:val="center"/>
              <w:rPr>
                <w:rFonts w:ascii="Times New Roman" w:hAnsi="Times New Roman" w:cs="Times New Roman" w:eastAsia="Times New Roman" w:hint="default"/>
                <w:sz w:val="16"/>
                <w:szCs w:val="16"/>
              </w:rPr>
            </w:pPr>
            <w:r>
              <w:rPr>
                <w:rFonts w:ascii="Times New Roman"/>
                <w:sz w:val="16"/>
              </w:rPr>
              <w:t>2006.01.05-2013.10.27</w:t>
            </w:r>
          </w:p>
        </w:tc>
      </w:tr>
      <w:tr>
        <w:trPr>
          <w:trHeight w:val="291" w:hRule="exact"/>
        </w:trPr>
        <w:tc>
          <w:tcPr>
            <w:tcW w:w="2368"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无锡同方创新科技园有限公司</w:t>
            </w:r>
          </w:p>
        </w:tc>
        <w:tc>
          <w:tcPr>
            <w:tcW w:w="2809"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left="180" w:right="0"/>
              <w:jc w:val="left"/>
              <w:rPr>
                <w:rFonts w:ascii="楷体" w:hAnsi="楷体" w:cs="楷体" w:eastAsia="楷体" w:hint="default"/>
                <w:sz w:val="16"/>
                <w:szCs w:val="16"/>
              </w:rPr>
            </w:pPr>
            <w:r>
              <w:rPr>
                <w:rFonts w:ascii="楷体" w:hAnsi="楷体" w:cs="楷体" w:eastAsia="楷体" w:hint="default"/>
                <w:sz w:val="16"/>
                <w:szCs w:val="16"/>
              </w:rPr>
              <w:t>中国建设银行无锡分行</w:t>
            </w:r>
          </w:p>
        </w:tc>
        <w:tc>
          <w:tcPr>
            <w:tcW w:w="1368"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137"/>
              <w:jc w:val="right"/>
              <w:rPr>
                <w:rFonts w:ascii="楷体" w:hAnsi="楷体" w:cs="楷体" w:eastAsia="楷体" w:hint="default"/>
                <w:sz w:val="16"/>
                <w:szCs w:val="16"/>
              </w:rPr>
            </w:pP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6"/>
                <w:sz w:val="16"/>
                <w:szCs w:val="16"/>
              </w:rPr>
              <w:t> </w:t>
            </w:r>
            <w:r>
              <w:rPr>
                <w:rFonts w:ascii="楷体" w:hAnsi="楷体" w:cs="楷体" w:eastAsia="楷体" w:hint="default"/>
                <w:sz w:val="16"/>
                <w:szCs w:val="16"/>
              </w:rPr>
              <w:t>万元</w:t>
            </w:r>
          </w:p>
        </w:tc>
        <w:tc>
          <w:tcPr>
            <w:tcW w:w="1835"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30"/>
              <w:jc w:val="center"/>
              <w:rPr>
                <w:rFonts w:ascii="Times New Roman" w:hAnsi="Times New Roman" w:cs="Times New Roman" w:eastAsia="Times New Roman" w:hint="default"/>
                <w:sz w:val="16"/>
                <w:szCs w:val="16"/>
              </w:rPr>
            </w:pPr>
            <w:r>
              <w:rPr>
                <w:rFonts w:ascii="Times New Roman"/>
                <w:sz w:val="16"/>
              </w:rPr>
              <w:t>2005.12.22-2010.12.21</w:t>
            </w:r>
          </w:p>
        </w:tc>
        <w:tc>
          <w:tcPr>
            <w:tcW w:w="1852"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left="2" w:right="0"/>
              <w:jc w:val="center"/>
              <w:rPr>
                <w:rFonts w:ascii="Times New Roman" w:hAnsi="Times New Roman" w:cs="Times New Roman" w:eastAsia="Times New Roman" w:hint="default"/>
                <w:sz w:val="16"/>
                <w:szCs w:val="16"/>
              </w:rPr>
            </w:pPr>
            <w:r>
              <w:rPr>
                <w:rFonts w:ascii="Times New Roman"/>
                <w:sz w:val="16"/>
              </w:rPr>
              <w:t>2005.12.22-2012.12.21</w:t>
            </w:r>
          </w:p>
        </w:tc>
      </w:tr>
    </w:tbl>
    <w:p>
      <w:pPr>
        <w:spacing w:after="0" w:line="240" w:lineRule="auto"/>
        <w:jc w:val="center"/>
        <w:rPr>
          <w:rFonts w:ascii="Times New Roman" w:hAnsi="Times New Roman" w:cs="Times New Roman" w:eastAsia="Times New Roman" w:hint="default"/>
          <w:sz w:val="16"/>
          <w:szCs w:val="16"/>
        </w:rPr>
        <w:sectPr>
          <w:pgSz w:w="11910" w:h="16840"/>
          <w:pgMar w:header="610" w:footer="784" w:top="1080" w:bottom="980" w:left="780" w:right="660"/>
        </w:sectPr>
      </w:pPr>
    </w:p>
    <w:p>
      <w:pPr>
        <w:spacing w:line="240" w:lineRule="auto" w:before="0"/>
        <w:rPr>
          <w:rFonts w:ascii="楷体" w:hAnsi="楷体" w:cs="楷体" w:eastAsia="楷体" w:hint="default"/>
          <w:sz w:val="20"/>
          <w:szCs w:val="20"/>
        </w:rPr>
      </w:pPr>
    </w:p>
    <w:p>
      <w:pPr>
        <w:spacing w:line="240" w:lineRule="auto" w:before="6"/>
        <w:rPr>
          <w:rFonts w:ascii="楷体" w:hAnsi="楷体" w:cs="楷体" w:eastAsia="楷体" w:hint="default"/>
          <w:sz w:val="26"/>
          <w:szCs w:val="26"/>
        </w:rPr>
      </w:pPr>
    </w:p>
    <w:p>
      <w:pPr>
        <w:spacing w:line="30" w:lineRule="exact"/>
        <w:ind w:left="123" w:right="0" w:firstLine="0"/>
        <w:rPr>
          <w:rFonts w:ascii="楷体" w:hAnsi="楷体" w:cs="楷体" w:eastAsia="楷体" w:hint="default"/>
          <w:sz w:val="3"/>
          <w:szCs w:val="3"/>
        </w:rPr>
      </w:pPr>
      <w:r>
        <w:rPr>
          <w:rFonts w:ascii="楷体" w:hAnsi="楷体" w:cs="楷体" w:eastAsia="楷体" w:hint="default"/>
          <w:position w:val="0"/>
          <w:sz w:val="3"/>
          <w:szCs w:val="3"/>
        </w:rPr>
        <w:pict>
          <v:group style="width:513.15pt;height:1.5pt;mso-position-horizontal-relative:char;mso-position-vertical-relative:line" coordorigin="0,0" coordsize="10263,30">
            <v:group style="position:absolute;left:15;top:15;width:6539;height:2" coordorigin="15,15" coordsize="6539,2">
              <v:shape style="position:absolute;left:15;top:15;width:6539;height:2" coordorigin="15,15" coordsize="6539,0" path="m15,15l6554,15e" filled="false" stroked="true" strokeweight="1.5pt" strokecolor="#000000">
                <v:path arrowok="t"/>
              </v:shape>
            </v:group>
            <v:group style="position:absolute;left:6554;top:15;width:1832;height:2" coordorigin="6554,15" coordsize="1832,2">
              <v:shape style="position:absolute;left:6554;top:15;width:1832;height:2" coordorigin="6554,15" coordsize="1832,0" path="m6554,15l8385,15e" filled="false" stroked="true" strokeweight="1.5pt" strokecolor="#000000">
                <v:path arrowok="t"/>
              </v:shape>
            </v:group>
            <v:group style="position:absolute;left:8385;top:15;width:1863;height:2" coordorigin="8385,15" coordsize="1863,2">
              <v:shape style="position:absolute;left:8385;top:15;width:1863;height:2" coordorigin="8385,15" coordsize="1863,0" path="m8385,15l10247,15e" filled="false" stroked="true" strokeweight="1.5pt" strokecolor="#000000">
                <v:path arrowok="t"/>
              </v:shape>
            </v:group>
          </v:group>
        </w:pict>
      </w:r>
      <w:r>
        <w:rPr>
          <w:rFonts w:ascii="楷体" w:hAnsi="楷体" w:cs="楷体" w:eastAsia="楷体" w:hint="default"/>
          <w:position w:val="0"/>
          <w:sz w:val="3"/>
          <w:szCs w:val="3"/>
        </w:rPr>
      </w:r>
    </w:p>
    <w:p>
      <w:pPr>
        <w:tabs>
          <w:tab w:pos="3648" w:val="left" w:leader="none"/>
          <w:tab w:pos="5685" w:val="left" w:leader="none"/>
          <w:tab w:pos="7264" w:val="left" w:leader="none"/>
          <w:tab w:pos="9125" w:val="left" w:leader="none"/>
        </w:tabs>
        <w:spacing w:line="241" w:lineRule="exact" w:before="0"/>
        <w:ind w:left="957"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子公司名称</w:t>
        <w:tab/>
        <w:t>贷款银行</w:t>
        <w:tab/>
        <w:t>贷款金额</w:t>
        <w:tab/>
        <w:t>贷款期限</w:t>
        <w:tab/>
        <w:t>保证期间</w:t>
      </w:r>
      <w:r>
        <w:rPr>
          <w:rFonts w:ascii="Microsoft JhengHei" w:hAnsi="Microsoft JhengHei" w:cs="Microsoft JhengHei" w:eastAsia="Microsoft JhengHei" w:hint="default"/>
          <w:sz w:val="16"/>
          <w:szCs w:val="16"/>
        </w:rPr>
      </w:r>
    </w:p>
    <w:p>
      <w:pPr>
        <w:tabs>
          <w:tab w:pos="2687" w:val="left" w:leader="none"/>
          <w:tab w:pos="5624" w:val="left" w:leader="none"/>
          <w:tab w:pos="6838" w:val="left" w:leader="none"/>
          <w:tab w:pos="10190" w:val="right" w:leader="none"/>
        </w:tabs>
        <w:spacing w:before="64"/>
        <w:ind w:left="246" w:right="0" w:firstLine="0"/>
        <w:jc w:val="left"/>
        <w:rPr>
          <w:rFonts w:ascii="Times New Roman" w:hAnsi="Times New Roman" w:cs="Times New Roman" w:eastAsia="Times New Roman" w:hint="default"/>
          <w:sz w:val="16"/>
          <w:szCs w:val="16"/>
        </w:rPr>
      </w:pPr>
      <w:r>
        <w:rPr/>
        <w:pict>
          <v:group style="position:absolute;margin-left:44.939999pt;margin-top:2.284062pt;width:511.65pt;height:.1pt;mso-position-horizontal-relative:page;mso-position-vertical-relative:paragraph;z-index:4720" coordorigin="899,46" coordsize="10233,2">
            <v:shape style="position:absolute;left:899;top:46;width:10233;height:2" coordorigin="899,46" coordsize="10233,0" path="m899,46l11131,46e" filled="false" stroked="true" strokeweight=".48pt" strokecolor="#000000">
              <v:path arrowok="t"/>
            </v:shape>
            <w10:wrap type="none"/>
          </v:group>
        </w:pict>
      </w:r>
      <w:r>
        <w:rPr>
          <w:rFonts w:ascii="楷体" w:hAnsi="楷体" w:cs="楷体" w:eastAsia="楷体" w:hint="default"/>
          <w:w w:val="95"/>
          <w:sz w:val="16"/>
          <w:szCs w:val="16"/>
        </w:rPr>
        <w:t>沈阳同方多媒体科技有限公司</w:t>
        <w:tab/>
        <w:t>中信银行沈阳沈新路支行</w:t>
        <w:tab/>
      </w: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2008.04.01-2009.03.04</w:t>
        <w:tab/>
        <w:t>2008.04.01-2011.03.04</w:t>
      </w:r>
    </w:p>
    <w:p>
      <w:pPr>
        <w:tabs>
          <w:tab w:pos="2687" w:val="left" w:leader="none"/>
          <w:tab w:pos="5624" w:val="left" w:leader="none"/>
          <w:tab w:pos="6838" w:val="left" w:leader="none"/>
          <w:tab w:pos="10190" w:val="right" w:leader="none"/>
        </w:tabs>
        <w:spacing w:before="61"/>
        <w:ind w:left="246"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沈阳同方多媒体科技有限公司</w:t>
        <w:tab/>
        <w:t>中信银行沈阳沈新路支行</w:t>
        <w:tab/>
      </w: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2008.04.01-2009.03.18</w:t>
        <w:tab/>
        <w:t>2008.04.01-2011.03.18</w:t>
      </w:r>
    </w:p>
    <w:p>
      <w:pPr>
        <w:tabs>
          <w:tab w:pos="2687" w:val="left" w:leader="none"/>
          <w:tab w:pos="5624" w:val="left" w:leader="none"/>
          <w:tab w:pos="6838" w:val="left" w:leader="none"/>
          <w:tab w:pos="10190" w:val="right" w:leader="none"/>
        </w:tabs>
        <w:spacing w:before="61"/>
        <w:ind w:left="246"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沈阳同方多媒体科技有限公司</w:t>
        <w:tab/>
        <w:t>中信银行沈阳沈新路支行</w:t>
        <w:tab/>
      </w:r>
      <w:r>
        <w:rPr>
          <w:rFonts w:ascii="Times New Roman" w:hAnsi="Times New Roman" w:cs="Times New Roman" w:eastAsia="Times New Roman" w:hint="default"/>
          <w:sz w:val="16"/>
          <w:szCs w:val="16"/>
        </w:rPr>
        <w:t>4,000.00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2008.04.01-2009.04.01</w:t>
        <w:tab/>
        <w:t>2008.04.01-2011.04.01</w:t>
      </w:r>
    </w:p>
    <w:p>
      <w:pPr>
        <w:tabs>
          <w:tab w:pos="2687" w:val="left" w:leader="none"/>
          <w:tab w:pos="5624" w:val="left" w:leader="none"/>
          <w:tab w:pos="6838" w:val="left" w:leader="none"/>
          <w:tab w:pos="10190" w:val="right" w:leader="none"/>
        </w:tabs>
        <w:spacing w:before="61"/>
        <w:ind w:left="247"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沈阳同方多媒体科技有限公司</w:t>
        <w:tab/>
        <w:t>上海浦东发展银行和平支行</w:t>
        <w:tab/>
      </w:r>
      <w:r>
        <w:rPr>
          <w:rFonts w:ascii="Times New Roman" w:hAnsi="Times New Roman" w:cs="Times New Roman" w:eastAsia="Times New Roman" w:hint="default"/>
          <w:sz w:val="16"/>
          <w:szCs w:val="16"/>
        </w:rPr>
        <w:t>4,000.00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2008.06.13-2009.06.12</w:t>
        <w:tab/>
        <w:t>2008.06.13-2011.06.12</w:t>
      </w:r>
    </w:p>
    <w:p>
      <w:pPr>
        <w:tabs>
          <w:tab w:pos="2688" w:val="left" w:leader="none"/>
          <w:tab w:pos="5624" w:val="left" w:leader="none"/>
          <w:tab w:pos="6838" w:val="left" w:leader="none"/>
          <w:tab w:pos="10191" w:val="right" w:leader="none"/>
        </w:tabs>
        <w:spacing w:before="61"/>
        <w:ind w:left="247"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沈阳同方多媒体科技有限公司</w:t>
        <w:tab/>
        <w:t>中国建设银行沈阳城内支行</w:t>
        <w:tab/>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2008.03.07-2009.03.06</w:t>
        <w:tab/>
        <w:t>2008.03.07-2011.03.06</w:t>
      </w:r>
    </w:p>
    <w:p>
      <w:pPr>
        <w:tabs>
          <w:tab w:pos="2688" w:val="left" w:leader="none"/>
          <w:tab w:pos="5624" w:val="left" w:leader="none"/>
          <w:tab w:pos="6839" w:val="left" w:leader="none"/>
          <w:tab w:pos="10191" w:val="right" w:leader="none"/>
        </w:tabs>
        <w:spacing w:before="61"/>
        <w:ind w:left="247"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沈阳同方多媒体科技有限公司</w:t>
        <w:tab/>
        <w:t>中国建设银行沈阳城内支行</w:t>
        <w:tab/>
      </w:r>
      <w:r>
        <w:rPr>
          <w:rFonts w:ascii="Times New Roman" w:hAnsi="Times New Roman" w:cs="Times New Roman" w:eastAsia="Times New Roman" w:hint="default"/>
          <w:sz w:val="16"/>
          <w:szCs w:val="16"/>
        </w:rPr>
        <w:t>2,500.00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2008.07.22-2009.07.21</w:t>
        <w:tab/>
        <w:t>2008.07.22-2011.07.21</w:t>
      </w:r>
    </w:p>
    <w:p>
      <w:pPr>
        <w:tabs>
          <w:tab w:pos="2688" w:val="left" w:leader="none"/>
          <w:tab w:pos="5624" w:val="left" w:leader="none"/>
          <w:tab w:pos="6839" w:val="left" w:leader="none"/>
          <w:tab w:pos="10191" w:val="right" w:leader="none"/>
        </w:tabs>
        <w:spacing w:before="61"/>
        <w:ind w:left="247"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沈阳同方多媒体科技有限公司</w:t>
        <w:tab/>
        <w:t>中国建设银行沈阳城内支行</w:t>
        <w:tab/>
      </w:r>
      <w:r>
        <w:rPr>
          <w:rFonts w:ascii="Times New Roman" w:hAnsi="Times New Roman" w:cs="Times New Roman" w:eastAsia="Times New Roman" w:hint="default"/>
          <w:sz w:val="16"/>
          <w:szCs w:val="16"/>
        </w:rPr>
        <w:t>2,400.00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2008.09.27-2009.09.26</w:t>
        <w:tab/>
        <w:t>2008.09.27-2011.09.26</w:t>
      </w:r>
    </w:p>
    <w:p>
      <w:pPr>
        <w:tabs>
          <w:tab w:pos="2688" w:val="left" w:leader="none"/>
          <w:tab w:pos="5625" w:val="left" w:leader="none"/>
          <w:tab w:pos="6839" w:val="left" w:leader="none"/>
          <w:tab w:pos="10191" w:val="right" w:leader="none"/>
        </w:tabs>
        <w:spacing w:before="60"/>
        <w:ind w:left="247"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沈阳同方多媒体科技有限公司</w:t>
        <w:tab/>
        <w:t>中国建设银行沈阳城内支行</w:t>
        <w:tab/>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2008.04.16-2009.04.15</w:t>
        <w:tab/>
        <w:t>2008.04.16-2011.04.15</w:t>
      </w:r>
    </w:p>
    <w:p>
      <w:pPr>
        <w:tabs>
          <w:tab w:pos="2688" w:val="left" w:leader="none"/>
          <w:tab w:pos="5625" w:val="left" w:leader="none"/>
          <w:tab w:pos="6839" w:val="left" w:leader="none"/>
          <w:tab w:pos="10191" w:val="right" w:leader="none"/>
        </w:tabs>
        <w:spacing w:before="61"/>
        <w:ind w:left="247"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沈阳同方多媒体科技有限公司</w:t>
        <w:tab/>
        <w:t>中国建设银行沈阳城内支行</w:t>
        <w:tab/>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2008.06.06-2009.06.05</w:t>
        <w:tab/>
        <w:t>2008.06.06-2011.06.05</w:t>
      </w:r>
    </w:p>
    <w:p>
      <w:pPr>
        <w:tabs>
          <w:tab w:pos="2688" w:val="left" w:leader="none"/>
          <w:tab w:pos="5625" w:val="left" w:leader="none"/>
          <w:tab w:pos="6839" w:val="left" w:leader="none"/>
          <w:tab w:pos="10191" w:val="right" w:leader="none"/>
        </w:tabs>
        <w:spacing w:before="61"/>
        <w:ind w:left="248"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沈阳同方多媒体科技有限公司</w:t>
        <w:tab/>
        <w:t>中国建设银行沈阳城内支行</w:t>
        <w:tab/>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2008.06.30-2009.06.29</w:t>
        <w:tab/>
        <w:t>2008.06.30-2011.06.29</w:t>
      </w:r>
    </w:p>
    <w:p>
      <w:pPr>
        <w:tabs>
          <w:tab w:pos="2688" w:val="left" w:leader="none"/>
          <w:tab w:pos="5625" w:val="left" w:leader="none"/>
          <w:tab w:pos="6845" w:val="left" w:leader="none"/>
          <w:tab w:pos="10186" w:val="right" w:leader="none"/>
        </w:tabs>
        <w:spacing w:before="61"/>
        <w:ind w:left="248"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泰豪科技股份有限公司</w:t>
        <w:tab/>
        <w:t>中国银行南昌市西湖支行</w:t>
        <w:tab/>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2007.11.06-2009.11.01</w:t>
        <w:tab/>
        <w:t>2007.11.06-2011.11.01</w:t>
      </w:r>
    </w:p>
    <w:p>
      <w:pPr>
        <w:tabs>
          <w:tab w:pos="2688" w:val="left" w:leader="none"/>
          <w:tab w:pos="5625" w:val="left" w:leader="none"/>
          <w:tab w:pos="6839" w:val="left" w:leader="none"/>
          <w:tab w:pos="10194" w:val="right" w:leader="none"/>
        </w:tabs>
        <w:spacing w:before="61"/>
        <w:ind w:left="248"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泰豪科技股份有限公司</w:t>
        <w:tab/>
        <w:t>中国银行南昌市西湖支行</w:t>
        <w:tab/>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5"/>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2008.06.24-2010.06.24</w:t>
        <w:tab/>
        <w:t>2008.06.24-2012.06.24</w:t>
      </w:r>
    </w:p>
    <w:p>
      <w:pPr>
        <w:tabs>
          <w:tab w:pos="2689" w:val="left" w:leader="none"/>
          <w:tab w:pos="5745" w:val="left" w:leader="none"/>
          <w:tab w:pos="6839" w:val="left" w:leader="none"/>
          <w:tab w:pos="10192" w:val="right" w:leader="none"/>
        </w:tabs>
        <w:spacing w:before="61"/>
        <w:ind w:left="248"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北京同方冷热科技有限公司</w:t>
        <w:tab/>
        <w:t>国家开发银行北京市分行</w:t>
        <w:tab/>
      </w:r>
      <w:r>
        <w:rPr>
          <w:rFonts w:ascii="Times New Roman" w:hAnsi="Times New Roman" w:cs="Times New Roman" w:eastAsia="Times New Roman" w:hint="default"/>
          <w:sz w:val="16"/>
          <w:szCs w:val="16"/>
        </w:rPr>
        <w:t>350.00</w:t>
      </w:r>
      <w:r>
        <w:rPr>
          <w:rFonts w:ascii="Times New Roman" w:hAnsi="Times New Roman" w:cs="Times New Roman" w:eastAsia="Times New Roman" w:hint="default"/>
          <w:spacing w:val="-3"/>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2008.12.30-2009.12.29</w:t>
        <w:tab/>
        <w:t>2008.12.30-2011.12.29</w:t>
      </w:r>
    </w:p>
    <w:p>
      <w:pPr>
        <w:tabs>
          <w:tab w:pos="2689" w:val="left" w:leader="none"/>
          <w:tab w:pos="5745" w:val="left" w:leader="none"/>
          <w:tab w:pos="6840" w:val="left" w:leader="none"/>
          <w:tab w:pos="10194" w:val="right" w:leader="none"/>
        </w:tabs>
        <w:spacing w:before="60"/>
        <w:ind w:left="248"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北京同方冷热科技有限公司</w:t>
        <w:tab/>
        <w:t>国家开发银行北京市分行</w:t>
        <w:tab/>
      </w:r>
      <w:r>
        <w:rPr>
          <w:rFonts w:ascii="Times New Roman" w:hAnsi="Times New Roman" w:cs="Times New Roman" w:eastAsia="Times New Roman" w:hint="default"/>
          <w:sz w:val="16"/>
          <w:szCs w:val="16"/>
        </w:rPr>
        <w:t>550.00</w:t>
      </w:r>
      <w:r>
        <w:rPr>
          <w:rFonts w:ascii="Times New Roman" w:hAnsi="Times New Roman" w:cs="Times New Roman" w:eastAsia="Times New Roman" w:hint="default"/>
          <w:spacing w:val="-3"/>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2008.12.30-2010.12.29</w:t>
        <w:tab/>
        <w:t>2008.12.30-2012.12.29</w:t>
      </w:r>
    </w:p>
    <w:p>
      <w:pPr>
        <w:tabs>
          <w:tab w:pos="2689" w:val="left" w:leader="none"/>
          <w:tab w:pos="5745" w:val="left" w:leader="none"/>
          <w:tab w:pos="6843" w:val="left" w:leader="none"/>
          <w:tab w:pos="10194" w:val="right" w:leader="none"/>
        </w:tabs>
        <w:spacing w:before="61"/>
        <w:ind w:left="248" w:right="0" w:firstLine="0"/>
        <w:jc w:val="left"/>
        <w:rPr>
          <w:rFonts w:ascii="Times New Roman" w:hAnsi="Times New Roman" w:cs="Times New Roman" w:eastAsia="Times New Roman" w:hint="default"/>
          <w:sz w:val="16"/>
          <w:szCs w:val="16"/>
        </w:rPr>
      </w:pPr>
      <w:r>
        <w:rPr>
          <w:rFonts w:ascii="楷体" w:hAnsi="楷体" w:cs="楷体" w:eastAsia="楷体" w:hint="default"/>
          <w:w w:val="95"/>
          <w:sz w:val="16"/>
          <w:szCs w:val="16"/>
        </w:rPr>
        <w:t>北京同方冷热科技有限公司</w:t>
        <w:tab/>
        <w:t>国家开发银行北京市分行</w:t>
        <w:tab/>
      </w:r>
      <w:r>
        <w:rPr>
          <w:rFonts w:ascii="Times New Roman" w:hAnsi="Times New Roman" w:cs="Times New Roman" w:eastAsia="Times New Roman" w:hint="default"/>
          <w:sz w:val="16"/>
          <w:szCs w:val="16"/>
        </w:rPr>
        <w:t>300.00</w:t>
      </w:r>
      <w:r>
        <w:rPr>
          <w:rFonts w:ascii="Times New Roman" w:hAnsi="Times New Roman" w:cs="Times New Roman" w:eastAsia="Times New Roman" w:hint="default"/>
          <w:spacing w:val="-3"/>
          <w:sz w:val="16"/>
          <w:szCs w:val="16"/>
        </w:rPr>
        <w:t> </w:t>
      </w:r>
      <w:r>
        <w:rPr>
          <w:rFonts w:ascii="楷体" w:hAnsi="楷体" w:cs="楷体" w:eastAsia="楷体" w:hint="default"/>
          <w:sz w:val="16"/>
          <w:szCs w:val="16"/>
        </w:rPr>
        <w:t>万元</w:t>
        <w:tab/>
      </w:r>
      <w:r>
        <w:rPr>
          <w:rFonts w:ascii="Times New Roman" w:hAnsi="Times New Roman" w:cs="Times New Roman" w:eastAsia="Times New Roman" w:hint="default"/>
          <w:sz w:val="16"/>
          <w:szCs w:val="16"/>
        </w:rPr>
        <w:t>2008.12.30-2011.12.29</w:t>
        <w:tab/>
        <w:t>2008.12.30-2013.12.29</w:t>
      </w:r>
    </w:p>
    <w:p>
      <w:pPr>
        <w:tabs>
          <w:tab w:pos="5545" w:val="left" w:leader="none"/>
        </w:tabs>
        <w:spacing w:before="20"/>
        <w:ind w:left="1199" w:right="0" w:firstLine="0"/>
        <w:jc w:val="left"/>
        <w:rPr>
          <w:rFonts w:ascii="Microsoft JhengHei" w:hAnsi="Microsoft JhengHei" w:cs="Microsoft JhengHei" w:eastAsia="Microsoft JhengHei" w:hint="default"/>
          <w:sz w:val="16"/>
          <w:szCs w:val="16"/>
        </w:rPr>
      </w:pPr>
      <w:r>
        <w:rPr/>
        <w:pict>
          <v:group style="position:absolute;margin-left:44.939999pt;margin-top:2.663032pt;width:511.65pt;height:.1pt;mso-position-horizontal-relative:page;mso-position-vertical-relative:paragraph;z-index:-896704" coordorigin="899,53" coordsize="10233,2">
            <v:shape style="position:absolute;left:899;top:53;width:10233;height:2" coordorigin="899,53" coordsize="10233,0" path="m899,53l11131,53e" filled="false" stroked="true" strokeweight=".48pt" strokecolor="#000000">
              <v:path arrowok="t"/>
            </v:shape>
            <w10:wrap type="none"/>
          </v:group>
        </w:pict>
      </w:r>
      <w:r>
        <w:rPr>
          <w:rFonts w:ascii="Microsoft JhengHei" w:hAnsi="Microsoft JhengHei" w:cs="Microsoft JhengHei" w:eastAsia="Microsoft JhengHei" w:hint="default"/>
          <w:b/>
          <w:bCs/>
          <w:sz w:val="16"/>
          <w:szCs w:val="16"/>
        </w:rPr>
        <w:t>合计</w:t>
        <w:tab/>
      </w:r>
      <w:r>
        <w:rPr>
          <w:rFonts w:ascii="Times New Roman" w:hAnsi="Times New Roman" w:cs="Times New Roman" w:eastAsia="Times New Roman" w:hint="default"/>
          <w:b/>
          <w:bCs/>
          <w:sz w:val="16"/>
          <w:szCs w:val="16"/>
        </w:rPr>
        <w:t>95,200.00</w:t>
      </w:r>
      <w:r>
        <w:rPr>
          <w:rFonts w:ascii="Times New Roman" w:hAnsi="Times New Roman" w:cs="Times New Roman" w:eastAsia="Times New Roman" w:hint="default"/>
          <w:b/>
          <w:bCs/>
          <w:spacing w:val="-4"/>
          <w:sz w:val="16"/>
          <w:szCs w:val="16"/>
        </w:rPr>
        <w:t> </w:t>
      </w:r>
      <w:r>
        <w:rPr>
          <w:rFonts w:ascii="Microsoft JhengHei" w:hAnsi="Microsoft JhengHei" w:cs="Microsoft JhengHei" w:eastAsia="Microsoft JhengHei" w:hint="default"/>
          <w:b/>
          <w:bCs/>
          <w:sz w:val="16"/>
          <w:szCs w:val="16"/>
        </w:rPr>
        <w:t>万元</w:t>
      </w:r>
      <w:r>
        <w:rPr>
          <w:rFonts w:ascii="Microsoft JhengHei" w:hAnsi="Microsoft JhengHei" w:cs="Microsoft JhengHei" w:eastAsia="Microsoft JhengHei" w:hint="default"/>
          <w:sz w:val="16"/>
          <w:szCs w:val="16"/>
        </w:rPr>
      </w:r>
    </w:p>
    <w:p>
      <w:pPr>
        <w:spacing w:line="240" w:lineRule="auto" w:before="8"/>
        <w:rPr>
          <w:rFonts w:ascii="Microsoft JhengHei" w:hAnsi="Microsoft JhengHei" w:cs="Microsoft JhengHei" w:eastAsia="Microsoft JhengHei" w:hint="default"/>
          <w:b/>
          <w:bCs/>
          <w:sz w:val="2"/>
          <w:szCs w:val="2"/>
        </w:rPr>
      </w:pPr>
    </w:p>
    <w:p>
      <w:pPr>
        <w:spacing w:line="30" w:lineRule="exact"/>
        <w:ind w:left="109"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514.2pt;height:1.5pt;mso-position-horizontal-relative:char;mso-position-vertical-relative:line" coordorigin="0,0" coordsize="10284,30">
            <v:group style="position:absolute;left:15;top:15;width:2456;height:2" coordorigin="15,15" coordsize="2456,2">
              <v:shape style="position:absolute;left:15;top:15;width:2456;height:2" coordorigin="15,15" coordsize="2456,0" path="m15,15l2470,15e" filled="false" stroked="true" strokeweight="1.5pt" strokecolor="#000000">
                <v:path arrowok="t"/>
              </v:shape>
            </v:group>
            <v:group style="position:absolute;left:2456;top:15;width:2795;height:2" coordorigin="2456,15" coordsize="2795,2">
              <v:shape style="position:absolute;left:2456;top:15;width:2795;height:2" coordorigin="2456,15" coordsize="2795,0" path="m2456,15l5251,15e" filled="false" stroked="true" strokeweight="1.5pt" strokecolor="#000000">
                <v:path arrowok="t"/>
              </v:shape>
            </v:group>
            <v:group style="position:absolute;left:5236;top:15;width:1310;height:2" coordorigin="5236,15" coordsize="1310,2">
              <v:shape style="position:absolute;left:5236;top:15;width:1310;height:2" coordorigin="5236,15" coordsize="1310,0" path="m5236,15l6545,15e" filled="false" stroked="true" strokeweight="1.5pt" strokecolor="#000000">
                <v:path arrowok="t"/>
              </v:shape>
            </v:group>
            <v:group style="position:absolute;left:6531;top:15;width:1876;height:2" coordorigin="6531,15" coordsize="1876,2">
              <v:shape style="position:absolute;left:6531;top:15;width:1876;height:2" coordorigin="6531,15" coordsize="1876,0" path="m6531,15l8407,15e" filled="false" stroked="true" strokeweight="1.5pt" strokecolor="#000000">
                <v:path arrowok="t"/>
              </v:shape>
            </v:group>
            <v:group style="position:absolute;left:8392;top:15;width:1877;height:2" coordorigin="8392,15" coordsize="1877,2">
              <v:shape style="position:absolute;left:8392;top:15;width:1877;height:2" coordorigin="8392,15" coordsize="1877,0" path="m8392,15l10269,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before="94"/>
        <w:ind w:left="1226"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信用证担保</w:t>
      </w:r>
    </w:p>
    <w:p>
      <w:pPr>
        <w:tabs>
          <w:tab w:pos="4311" w:val="left" w:leader="none"/>
          <w:tab w:pos="6327" w:val="left" w:leader="none"/>
          <w:tab w:pos="8189" w:val="left" w:leader="none"/>
        </w:tabs>
        <w:spacing w:before="109"/>
        <w:ind w:left="1755" w:right="0" w:firstLine="0"/>
        <w:jc w:val="left"/>
        <w:rPr>
          <w:rFonts w:ascii="Microsoft JhengHei" w:hAnsi="Microsoft JhengHei" w:cs="Microsoft JhengHei" w:eastAsia="Microsoft JhengHei" w:hint="default"/>
          <w:sz w:val="18"/>
          <w:szCs w:val="18"/>
        </w:rPr>
      </w:pPr>
      <w:r>
        <w:rPr/>
        <w:pict>
          <v:group style="position:absolute;margin-left:84.480003pt;margin-top:8.055548pt;width:432.55pt;height:.1pt;mso-position-horizontal-relative:page;mso-position-vertical-relative:paragraph;z-index:-896680" coordorigin="1690,161" coordsize="8651,2">
            <v:shape style="position:absolute;left:1690;top:161;width:8651;height:2" coordorigin="1690,161" coordsize="8651,0" path="m1690,161l10340,161e" filled="false" stroked="true" strokeweight="1.5pt" strokecolor="#000000">
              <v:path arrowok="t"/>
            </v:shape>
            <w10:wrap type="none"/>
          </v:group>
        </w:pict>
      </w:r>
      <w:r>
        <w:rPr>
          <w:rFonts w:ascii="Microsoft JhengHei" w:hAnsi="Microsoft JhengHei" w:cs="Microsoft JhengHei" w:eastAsia="Microsoft JhengHei" w:hint="default"/>
          <w:b/>
          <w:bCs/>
          <w:sz w:val="18"/>
          <w:szCs w:val="18"/>
        </w:rPr>
        <w:t>子公司名称</w:t>
        <w:tab/>
        <w:t>贷款银行</w:t>
        <w:tab/>
        <w:t>信用证金额</w:t>
        <w:tab/>
        <w:t>信用证期限</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92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3.05pt;height:.5pt;mso-position-horizontal-relative:char;mso-position-vertical-relative:line" coordorigin="0,0" coordsize="8661,10">
            <v:group style="position:absolute;left:5;top:5;width:8651;height:2" coordorigin="5,5" coordsize="8651,2">
              <v:shape style="position:absolute;left:5;top:5;width:8651;height:2" coordorigin="5,5" coordsize="8651,0" path="m5,5l8656,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186" w:lineRule="exact" w:before="0"/>
        <w:ind w:left="6509" w:right="0" w:firstLine="0"/>
        <w:jc w:val="left"/>
        <w:rPr>
          <w:rFonts w:ascii="楷体" w:hAnsi="楷体" w:cs="楷体" w:eastAsia="楷体" w:hint="default"/>
          <w:sz w:val="18"/>
          <w:szCs w:val="18"/>
        </w:rPr>
      </w:pPr>
      <w:r>
        <w:rPr>
          <w:rFonts w:ascii="Times New Roman" w:hAnsi="Times New Roman" w:cs="Times New Roman" w:eastAsia="Times New Roman" w:hint="default"/>
          <w:sz w:val="18"/>
          <w:szCs w:val="18"/>
        </w:rPr>
        <w:t>363.73</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万美元</w:t>
      </w:r>
    </w:p>
    <w:p>
      <w:pPr>
        <w:tabs>
          <w:tab w:pos="3593" w:val="left" w:leader="none"/>
          <w:tab w:pos="9479" w:val="right" w:leader="none"/>
        </w:tabs>
        <w:spacing w:line="194" w:lineRule="exact" w:before="0"/>
        <w:ind w:left="1037" w:right="0" w:firstLine="0"/>
        <w:jc w:val="left"/>
        <w:rPr>
          <w:rFonts w:ascii="Times New Roman" w:hAnsi="Times New Roman" w:cs="Times New Roman" w:eastAsia="Times New Roman" w:hint="default"/>
          <w:sz w:val="18"/>
          <w:szCs w:val="18"/>
        </w:rPr>
      </w:pPr>
      <w:r>
        <w:rPr/>
        <w:pict>
          <v:shape style="position:absolute;margin-left:84.839996pt;margin-top:7.623pt;width:432.2pt;height:231pt;mso-position-horizontal-relative:page;mso-position-vertical-relative:paragraph;z-index:4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36"/>
                    <w:gridCol w:w="2354"/>
                    <w:gridCol w:w="1931"/>
                    <w:gridCol w:w="1922"/>
                  </w:tblGrid>
                  <w:tr>
                    <w:trPr>
                      <w:trHeight w:val="261" w:hRule="exact"/>
                    </w:trPr>
                    <w:tc>
                      <w:tcPr>
                        <w:tcW w:w="4790" w:type="dxa"/>
                        <w:gridSpan w:val="2"/>
                        <w:tcBorders>
                          <w:top w:val="nil" w:sz="6" w:space="0" w:color="auto"/>
                          <w:left w:val="nil" w:sz="6" w:space="0" w:color="auto"/>
                          <w:bottom w:val="single" w:sz="12" w:space="0" w:color="000000"/>
                          <w:right w:val="nil" w:sz="6" w:space="0" w:color="auto"/>
                        </w:tcBorders>
                      </w:tcPr>
                      <w:p>
                        <w:pPr/>
                      </w:p>
                    </w:tc>
                    <w:tc>
                      <w:tcPr>
                        <w:tcW w:w="1931" w:type="dxa"/>
                        <w:tcBorders>
                          <w:top w:val="nil" w:sz="6" w:space="0" w:color="auto"/>
                          <w:left w:val="nil" w:sz="6" w:space="0" w:color="auto"/>
                          <w:bottom w:val="single" w:sz="12" w:space="0" w:color="000000"/>
                          <w:right w:val="nil" w:sz="6" w:space="0" w:color="auto"/>
                        </w:tcBorders>
                      </w:tcPr>
                      <w:p>
                        <w:pPr>
                          <w:pStyle w:val="TableParagraph"/>
                          <w:spacing w:line="194" w:lineRule="exact"/>
                          <w:ind w:right="66"/>
                          <w:jc w:val="right"/>
                          <w:rPr>
                            <w:rFonts w:ascii="楷体" w:hAnsi="楷体" w:cs="楷体" w:eastAsia="楷体" w:hint="default"/>
                            <w:sz w:val="18"/>
                            <w:szCs w:val="18"/>
                          </w:rPr>
                        </w:pP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2,485.97</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tc>
                    <w:tc>
                      <w:tcPr>
                        <w:tcW w:w="1922" w:type="dxa"/>
                        <w:vMerge w:val="restart"/>
                        <w:tcBorders>
                          <w:top w:val="nil" w:sz="6" w:space="0" w:color="auto"/>
                          <w:left w:val="nil" w:sz="6" w:space="0" w:color="auto"/>
                          <w:right w:val="nil" w:sz="6" w:space="0" w:color="auto"/>
                        </w:tcBorders>
                      </w:tcPr>
                      <w:p>
                        <w:pPr/>
                      </w:p>
                    </w:tc>
                  </w:tr>
                  <w:tr>
                    <w:trPr>
                      <w:trHeight w:val="576" w:hRule="exact"/>
                    </w:trPr>
                    <w:tc>
                      <w:tcPr>
                        <w:tcW w:w="24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89"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银行承兑汇票担保</w:t>
                        </w:r>
                      </w:p>
                    </w:tc>
                    <w:tc>
                      <w:tcPr>
                        <w:tcW w:w="2354" w:type="dxa"/>
                        <w:tcBorders>
                          <w:top w:val="single" w:sz="12" w:space="0" w:color="000000"/>
                          <w:left w:val="nil" w:sz="6" w:space="0" w:color="auto"/>
                          <w:bottom w:val="single" w:sz="12" w:space="0" w:color="000000"/>
                          <w:right w:val="nil" w:sz="6" w:space="0" w:color="auto"/>
                        </w:tcBorders>
                      </w:tcPr>
                      <w:p>
                        <w:pPr/>
                      </w:p>
                    </w:tc>
                    <w:tc>
                      <w:tcPr>
                        <w:tcW w:w="1931" w:type="dxa"/>
                        <w:tcBorders>
                          <w:top w:val="single" w:sz="12" w:space="0" w:color="000000"/>
                          <w:left w:val="nil" w:sz="6" w:space="0" w:color="auto"/>
                          <w:bottom w:val="single" w:sz="12" w:space="0" w:color="000000"/>
                          <w:right w:val="nil" w:sz="6" w:space="0" w:color="auto"/>
                        </w:tcBorders>
                      </w:tcPr>
                      <w:p>
                        <w:pPr/>
                      </w:p>
                    </w:tc>
                    <w:tc>
                      <w:tcPr>
                        <w:tcW w:w="1922" w:type="dxa"/>
                        <w:vMerge/>
                        <w:tcBorders>
                          <w:left w:val="nil" w:sz="6" w:space="0" w:color="auto"/>
                          <w:bottom w:val="single" w:sz="12" w:space="0" w:color="000000"/>
                          <w:right w:val="nil" w:sz="6" w:space="0" w:color="auto"/>
                        </w:tcBorders>
                      </w:tcPr>
                      <w:p>
                        <w:pPr/>
                      </w:p>
                    </w:tc>
                  </w:tr>
                  <w:tr>
                    <w:trPr>
                      <w:trHeight w:val="303" w:hRule="exact"/>
                    </w:trPr>
                    <w:tc>
                      <w:tcPr>
                        <w:tcW w:w="24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235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93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银行承兑汇票金额</w:t>
                        </w:r>
                        <w:r>
                          <w:rPr>
                            <w:rFonts w:ascii="Microsoft JhengHei" w:hAnsi="Microsoft JhengHei" w:cs="Microsoft JhengHei" w:eastAsia="Microsoft JhengHei" w:hint="default"/>
                            <w:sz w:val="18"/>
                            <w:szCs w:val="18"/>
                          </w:rPr>
                        </w:r>
                      </w:p>
                    </w:tc>
                    <w:tc>
                      <w:tcPr>
                        <w:tcW w:w="1922"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0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承兑票据期限</w:t>
                        </w:r>
                        <w:r>
                          <w:rPr>
                            <w:rFonts w:ascii="Microsoft JhengHei" w:hAnsi="Microsoft JhengHei" w:cs="Microsoft JhengHei" w:eastAsia="Microsoft JhengHei" w:hint="default"/>
                            <w:sz w:val="18"/>
                            <w:szCs w:val="18"/>
                          </w:rPr>
                        </w:r>
                      </w:p>
                    </w:tc>
                  </w:tr>
                  <w:tr>
                    <w:trPr>
                      <w:trHeight w:val="287" w:hRule="exact"/>
                    </w:trPr>
                    <w:tc>
                      <w:tcPr>
                        <w:tcW w:w="24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同方光盘股份有限公司</w:t>
                        </w:r>
                      </w:p>
                    </w:tc>
                    <w:tc>
                      <w:tcPr>
                        <w:tcW w:w="2354" w:type="dxa"/>
                        <w:tcBorders>
                          <w:top w:val="single" w:sz="4" w:space="0" w:color="000000"/>
                          <w:left w:val="nil" w:sz="6" w:space="0" w:color="auto"/>
                          <w:bottom w:val="nil" w:sz="6" w:space="0" w:color="auto"/>
                          <w:right w:val="nil" w:sz="6" w:space="0" w:color="auto"/>
                        </w:tcBorders>
                      </w:tcPr>
                      <w:p>
                        <w:pPr>
                          <w:pStyle w:val="TableParagraph"/>
                          <w:spacing w:line="226" w:lineRule="exact"/>
                          <w:ind w:left="168" w:right="0"/>
                          <w:jc w:val="left"/>
                          <w:rPr>
                            <w:rFonts w:ascii="楷体" w:hAnsi="楷体" w:cs="楷体" w:eastAsia="楷体" w:hint="default"/>
                            <w:sz w:val="18"/>
                            <w:szCs w:val="18"/>
                          </w:rPr>
                        </w:pPr>
                        <w:r>
                          <w:rPr>
                            <w:rFonts w:ascii="楷体" w:hAnsi="楷体" w:cs="楷体" w:eastAsia="楷体" w:hint="default"/>
                            <w:sz w:val="18"/>
                            <w:szCs w:val="18"/>
                          </w:rPr>
                          <w:t>北京银行清华园支行</w:t>
                        </w:r>
                      </w:p>
                    </w:tc>
                    <w:tc>
                      <w:tcPr>
                        <w:tcW w:w="1931" w:type="dxa"/>
                        <w:tcBorders>
                          <w:top w:val="single" w:sz="4" w:space="0" w:color="000000"/>
                          <w:left w:val="nil" w:sz="6" w:space="0" w:color="auto"/>
                          <w:bottom w:val="nil" w:sz="6" w:space="0" w:color="auto"/>
                          <w:right w:val="nil" w:sz="6" w:space="0" w:color="auto"/>
                        </w:tcBorders>
                      </w:tcPr>
                      <w:p>
                        <w:pPr>
                          <w:pStyle w:val="TableParagraph"/>
                          <w:spacing w:line="239" w:lineRule="exact"/>
                          <w:ind w:right="208"/>
                          <w:jc w:val="right"/>
                          <w:rPr>
                            <w:rFonts w:ascii="楷体" w:hAnsi="楷体" w:cs="楷体" w:eastAsia="楷体" w:hint="default"/>
                            <w:sz w:val="18"/>
                            <w:szCs w:val="18"/>
                          </w:rPr>
                        </w:pPr>
                        <w:r>
                          <w:rPr>
                            <w:rFonts w:ascii="Times New Roman" w:hAnsi="Times New Roman" w:cs="Times New Roman" w:eastAsia="Times New Roman" w:hint="default"/>
                            <w:sz w:val="18"/>
                            <w:szCs w:val="18"/>
                          </w:rPr>
                          <w:t>577.15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center"/>
                          <w:rPr>
                            <w:rFonts w:ascii="Times New Roman" w:hAnsi="Times New Roman" w:cs="Times New Roman" w:eastAsia="Times New Roman" w:hint="default"/>
                            <w:sz w:val="18"/>
                            <w:szCs w:val="18"/>
                          </w:rPr>
                        </w:pPr>
                        <w:r>
                          <w:rPr>
                            <w:rFonts w:ascii="Times New Roman"/>
                            <w:sz w:val="18"/>
                          </w:rPr>
                          <w:t>2008.10.16-2009.02.27</w:t>
                        </w:r>
                      </w:p>
                    </w:tc>
                  </w:tr>
                  <w:tr>
                    <w:trPr>
                      <w:trHeight w:val="283"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北京同方吉兆科技有限公司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227" w:lineRule="exact"/>
                          <w:ind w:left="168" w:right="0"/>
                          <w:jc w:val="left"/>
                          <w:rPr>
                            <w:rFonts w:ascii="楷体" w:hAnsi="楷体" w:cs="楷体" w:eastAsia="楷体" w:hint="default"/>
                            <w:sz w:val="18"/>
                            <w:szCs w:val="18"/>
                          </w:rPr>
                        </w:pPr>
                        <w:r>
                          <w:rPr>
                            <w:rFonts w:ascii="楷体" w:hAnsi="楷体" w:cs="楷体" w:eastAsia="楷体" w:hint="default"/>
                            <w:sz w:val="18"/>
                            <w:szCs w:val="18"/>
                          </w:rPr>
                          <w:t>北京银行清华园支行</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exact"/>
                          <w:ind w:right="208"/>
                          <w:jc w:val="right"/>
                          <w:rPr>
                            <w:rFonts w:ascii="楷体" w:hAnsi="楷体" w:cs="楷体" w:eastAsia="楷体" w:hint="default"/>
                            <w:sz w:val="18"/>
                            <w:szCs w:val="18"/>
                          </w:rPr>
                        </w:pPr>
                        <w:r>
                          <w:rPr>
                            <w:rFonts w:ascii="Times New Roman" w:hAnsi="Times New Roman" w:cs="Times New Roman" w:eastAsia="Times New Roman" w:hint="default"/>
                            <w:sz w:val="18"/>
                            <w:szCs w:val="18"/>
                          </w:rPr>
                          <w:t>3,435.32</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center"/>
                          <w:rPr>
                            <w:rFonts w:ascii="Times New Roman" w:hAnsi="Times New Roman" w:cs="Times New Roman" w:eastAsia="Times New Roman" w:hint="default"/>
                            <w:sz w:val="18"/>
                            <w:szCs w:val="18"/>
                          </w:rPr>
                        </w:pPr>
                        <w:r>
                          <w:rPr>
                            <w:rFonts w:ascii="Times New Roman"/>
                            <w:sz w:val="18"/>
                          </w:rPr>
                          <w:t>2008.07.17-2009.06.24</w:t>
                        </w:r>
                      </w:p>
                    </w:tc>
                  </w:tr>
                  <w:tr>
                    <w:trPr>
                      <w:trHeight w:val="283"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北京同方凌讯科技有限公司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227" w:lineRule="exact"/>
                          <w:ind w:left="168" w:right="0"/>
                          <w:jc w:val="left"/>
                          <w:rPr>
                            <w:rFonts w:ascii="楷体" w:hAnsi="楷体" w:cs="楷体" w:eastAsia="楷体" w:hint="default"/>
                            <w:sz w:val="18"/>
                            <w:szCs w:val="18"/>
                          </w:rPr>
                        </w:pPr>
                        <w:r>
                          <w:rPr>
                            <w:rFonts w:ascii="楷体" w:hAnsi="楷体" w:cs="楷体" w:eastAsia="楷体" w:hint="default"/>
                            <w:sz w:val="18"/>
                            <w:szCs w:val="18"/>
                          </w:rPr>
                          <w:t>北京银行清华园支行</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exact"/>
                          <w:ind w:right="208"/>
                          <w:jc w:val="right"/>
                          <w:rPr>
                            <w:rFonts w:ascii="楷体" w:hAnsi="楷体" w:cs="楷体" w:eastAsia="楷体" w:hint="default"/>
                            <w:sz w:val="18"/>
                            <w:szCs w:val="18"/>
                          </w:rPr>
                        </w:pPr>
                        <w:r>
                          <w:rPr>
                            <w:rFonts w:ascii="Times New Roman" w:hAnsi="Times New Roman" w:cs="Times New Roman" w:eastAsia="Times New Roman" w:hint="default"/>
                            <w:sz w:val="18"/>
                            <w:szCs w:val="18"/>
                          </w:rPr>
                          <w:t>1,082.45</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1"/>
                          <w:jc w:val="center"/>
                          <w:rPr>
                            <w:rFonts w:ascii="Times New Roman" w:hAnsi="Times New Roman" w:cs="Times New Roman" w:eastAsia="Times New Roman" w:hint="default"/>
                            <w:sz w:val="18"/>
                            <w:szCs w:val="18"/>
                          </w:rPr>
                        </w:pPr>
                        <w:r>
                          <w:rPr>
                            <w:rFonts w:ascii="Times New Roman"/>
                            <w:sz w:val="18"/>
                          </w:rPr>
                          <w:t>2008.09.19-2009.05.20</w:t>
                        </w:r>
                      </w:p>
                    </w:tc>
                  </w:tr>
                  <w:tr>
                    <w:trPr>
                      <w:trHeight w:val="283"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北京同方微电子有限公司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227" w:lineRule="exact"/>
                          <w:ind w:left="168" w:right="0"/>
                          <w:jc w:val="left"/>
                          <w:rPr>
                            <w:rFonts w:ascii="楷体" w:hAnsi="楷体" w:cs="楷体" w:eastAsia="楷体" w:hint="default"/>
                            <w:sz w:val="18"/>
                            <w:szCs w:val="18"/>
                          </w:rPr>
                        </w:pPr>
                        <w:r>
                          <w:rPr>
                            <w:rFonts w:ascii="楷体" w:hAnsi="楷体" w:cs="楷体" w:eastAsia="楷体" w:hint="default"/>
                            <w:sz w:val="18"/>
                            <w:szCs w:val="18"/>
                          </w:rPr>
                          <w:t>交通银行亚运村支行</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exact"/>
                          <w:ind w:right="208"/>
                          <w:jc w:val="right"/>
                          <w:rPr>
                            <w:rFonts w:ascii="楷体" w:hAnsi="楷体" w:cs="楷体" w:eastAsia="楷体" w:hint="default"/>
                            <w:sz w:val="18"/>
                            <w:szCs w:val="18"/>
                          </w:rPr>
                        </w:pPr>
                        <w:r>
                          <w:rPr>
                            <w:rFonts w:ascii="Times New Roman" w:hAnsi="Times New Roman" w:cs="Times New Roman" w:eastAsia="Times New Roman" w:hint="default"/>
                            <w:sz w:val="18"/>
                            <w:szCs w:val="18"/>
                          </w:rPr>
                          <w:t>4,479.86</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1"/>
                          <w:jc w:val="center"/>
                          <w:rPr>
                            <w:rFonts w:ascii="Times New Roman" w:hAnsi="Times New Roman" w:cs="Times New Roman" w:eastAsia="Times New Roman" w:hint="default"/>
                            <w:sz w:val="18"/>
                            <w:szCs w:val="18"/>
                          </w:rPr>
                        </w:pPr>
                        <w:r>
                          <w:rPr>
                            <w:rFonts w:ascii="Times New Roman"/>
                            <w:sz w:val="18"/>
                          </w:rPr>
                          <w:t>2008.07.20-2009.04.22</w:t>
                        </w:r>
                      </w:p>
                    </w:tc>
                  </w:tr>
                  <w:tr>
                    <w:trPr>
                      <w:trHeight w:val="283"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北京同方微电子有限公司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227" w:lineRule="exact"/>
                          <w:ind w:left="168" w:right="0"/>
                          <w:jc w:val="left"/>
                          <w:rPr>
                            <w:rFonts w:ascii="楷体" w:hAnsi="楷体" w:cs="楷体" w:eastAsia="楷体" w:hint="default"/>
                            <w:sz w:val="18"/>
                            <w:szCs w:val="18"/>
                          </w:rPr>
                        </w:pPr>
                        <w:r>
                          <w:rPr>
                            <w:rFonts w:ascii="楷体" w:hAnsi="楷体" w:cs="楷体" w:eastAsia="楷体" w:hint="default"/>
                            <w:sz w:val="18"/>
                            <w:szCs w:val="18"/>
                          </w:rPr>
                          <w:t>北京银行清华园支行</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exact"/>
                          <w:ind w:right="208"/>
                          <w:jc w:val="right"/>
                          <w:rPr>
                            <w:rFonts w:ascii="楷体" w:hAnsi="楷体" w:cs="楷体" w:eastAsia="楷体" w:hint="default"/>
                            <w:sz w:val="18"/>
                            <w:szCs w:val="18"/>
                          </w:rPr>
                        </w:pPr>
                        <w:r>
                          <w:rPr>
                            <w:rFonts w:ascii="Times New Roman" w:hAnsi="Times New Roman" w:cs="Times New Roman" w:eastAsia="Times New Roman" w:hint="default"/>
                            <w:sz w:val="18"/>
                            <w:szCs w:val="18"/>
                          </w:rPr>
                          <w:t>5,914.31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1"/>
                          <w:jc w:val="center"/>
                          <w:rPr>
                            <w:rFonts w:ascii="Times New Roman" w:hAnsi="Times New Roman" w:cs="Times New Roman" w:eastAsia="Times New Roman" w:hint="default"/>
                            <w:sz w:val="18"/>
                            <w:szCs w:val="18"/>
                          </w:rPr>
                        </w:pPr>
                        <w:r>
                          <w:rPr>
                            <w:rFonts w:ascii="Times New Roman"/>
                            <w:sz w:val="18"/>
                          </w:rPr>
                          <w:t>2008.08.20-2009.06.24</w:t>
                        </w:r>
                      </w:p>
                    </w:tc>
                  </w:tr>
                  <w:tr>
                    <w:trPr>
                      <w:trHeight w:val="288" w:hRule="exact"/>
                    </w:trPr>
                    <w:tc>
                      <w:tcPr>
                        <w:tcW w:w="2436"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同方人工环境有限公司</w:t>
                        </w:r>
                      </w:p>
                    </w:tc>
                    <w:tc>
                      <w:tcPr>
                        <w:tcW w:w="2354" w:type="dxa"/>
                        <w:tcBorders>
                          <w:top w:val="nil" w:sz="6" w:space="0" w:color="auto"/>
                          <w:left w:val="nil" w:sz="6" w:space="0" w:color="auto"/>
                          <w:bottom w:val="single" w:sz="4" w:space="0" w:color="000000"/>
                          <w:right w:val="nil" w:sz="6" w:space="0" w:color="auto"/>
                        </w:tcBorders>
                      </w:tcPr>
                      <w:p>
                        <w:pPr>
                          <w:pStyle w:val="TableParagraph"/>
                          <w:spacing w:line="227" w:lineRule="exact"/>
                          <w:ind w:left="168" w:right="0"/>
                          <w:jc w:val="left"/>
                          <w:rPr>
                            <w:rFonts w:ascii="楷体" w:hAnsi="楷体" w:cs="楷体" w:eastAsia="楷体" w:hint="default"/>
                            <w:sz w:val="18"/>
                            <w:szCs w:val="18"/>
                          </w:rPr>
                        </w:pPr>
                        <w:r>
                          <w:rPr>
                            <w:rFonts w:ascii="楷体" w:hAnsi="楷体" w:cs="楷体" w:eastAsia="楷体" w:hint="default"/>
                            <w:sz w:val="18"/>
                            <w:szCs w:val="18"/>
                          </w:rPr>
                          <w:t>交通银行北京林萃路支行</w:t>
                        </w:r>
                      </w:p>
                    </w:tc>
                    <w:tc>
                      <w:tcPr>
                        <w:tcW w:w="1931" w:type="dxa"/>
                        <w:tcBorders>
                          <w:top w:val="nil" w:sz="6" w:space="0" w:color="auto"/>
                          <w:left w:val="nil" w:sz="6" w:space="0" w:color="auto"/>
                          <w:bottom w:val="single" w:sz="4" w:space="0" w:color="000000"/>
                          <w:right w:val="nil" w:sz="6" w:space="0" w:color="auto"/>
                        </w:tcBorders>
                      </w:tcPr>
                      <w:p>
                        <w:pPr>
                          <w:pStyle w:val="TableParagraph"/>
                          <w:spacing w:line="240" w:lineRule="exact"/>
                          <w:ind w:right="208"/>
                          <w:jc w:val="right"/>
                          <w:rPr>
                            <w:rFonts w:ascii="楷体" w:hAnsi="楷体" w:cs="楷体" w:eastAsia="楷体" w:hint="default"/>
                            <w:sz w:val="18"/>
                            <w:szCs w:val="18"/>
                          </w:rPr>
                        </w:pPr>
                        <w:r>
                          <w:rPr>
                            <w:rFonts w:ascii="Times New Roman" w:hAnsi="Times New Roman" w:cs="Times New Roman" w:eastAsia="Times New Roman" w:hint="default"/>
                            <w:sz w:val="18"/>
                            <w:szCs w:val="18"/>
                          </w:rPr>
                          <w:t>538.00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2"/>
                          <w:jc w:val="center"/>
                          <w:rPr>
                            <w:rFonts w:ascii="Times New Roman" w:hAnsi="Times New Roman" w:cs="Times New Roman" w:eastAsia="Times New Roman" w:hint="default"/>
                            <w:sz w:val="18"/>
                            <w:szCs w:val="18"/>
                          </w:rPr>
                        </w:pPr>
                        <w:r>
                          <w:rPr>
                            <w:rFonts w:ascii="Times New Roman"/>
                            <w:sz w:val="18"/>
                          </w:rPr>
                          <w:t>2008.12.03-2009.06.18</w:t>
                        </w:r>
                      </w:p>
                    </w:tc>
                  </w:tr>
                  <w:tr>
                    <w:trPr>
                      <w:trHeight w:val="304" w:hRule="exact"/>
                    </w:trPr>
                    <w:tc>
                      <w:tcPr>
                        <w:tcW w:w="24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5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54" w:type="dxa"/>
                        <w:tcBorders>
                          <w:top w:val="single" w:sz="4" w:space="0" w:color="000000"/>
                          <w:left w:val="nil" w:sz="6" w:space="0" w:color="auto"/>
                          <w:bottom w:val="single" w:sz="12" w:space="0" w:color="000000"/>
                          <w:right w:val="nil" w:sz="6" w:space="0" w:color="auto"/>
                        </w:tcBorders>
                      </w:tcPr>
                      <w:p>
                        <w:pPr/>
                      </w:p>
                    </w:tc>
                    <w:tc>
                      <w:tcPr>
                        <w:tcW w:w="1931"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207"/>
                          <w:jc w:val="righ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16,027.09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1922" w:type="dxa"/>
                        <w:tcBorders>
                          <w:top w:val="single" w:sz="4" w:space="0" w:color="000000"/>
                          <w:left w:val="nil" w:sz="6" w:space="0" w:color="auto"/>
                          <w:bottom w:val="single" w:sz="12" w:space="0" w:color="000000"/>
                          <w:right w:val="nil" w:sz="6" w:space="0" w:color="auto"/>
                        </w:tcBorders>
                      </w:tcPr>
                      <w:p>
                        <w:pPr/>
                      </w:p>
                    </w:tc>
                  </w:tr>
                  <w:tr>
                    <w:trPr>
                      <w:trHeight w:val="576" w:hRule="exact"/>
                    </w:trPr>
                    <w:tc>
                      <w:tcPr>
                        <w:tcW w:w="24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89"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45"/>
                            <w:sz w:val="22"/>
                            <w:szCs w:val="22"/>
                          </w:rPr>
                          <w:t> </w:t>
                        </w:r>
                        <w:r>
                          <w:rPr>
                            <w:rFonts w:ascii="楷体" w:hAnsi="楷体" w:cs="楷体" w:eastAsia="楷体" w:hint="default"/>
                            <w:sz w:val="22"/>
                            <w:szCs w:val="22"/>
                          </w:rPr>
                          <w:t>保函担保</w:t>
                        </w:r>
                      </w:p>
                    </w:tc>
                    <w:tc>
                      <w:tcPr>
                        <w:tcW w:w="2354" w:type="dxa"/>
                        <w:tcBorders>
                          <w:top w:val="single" w:sz="12" w:space="0" w:color="000000"/>
                          <w:left w:val="nil" w:sz="6" w:space="0" w:color="auto"/>
                          <w:bottom w:val="single" w:sz="12" w:space="0" w:color="000000"/>
                          <w:right w:val="nil" w:sz="6" w:space="0" w:color="auto"/>
                        </w:tcBorders>
                      </w:tcPr>
                      <w:p>
                        <w:pPr/>
                      </w:p>
                    </w:tc>
                    <w:tc>
                      <w:tcPr>
                        <w:tcW w:w="1931" w:type="dxa"/>
                        <w:tcBorders>
                          <w:top w:val="single" w:sz="12" w:space="0" w:color="000000"/>
                          <w:left w:val="nil" w:sz="6" w:space="0" w:color="auto"/>
                          <w:bottom w:val="single" w:sz="12" w:space="0" w:color="000000"/>
                          <w:right w:val="nil" w:sz="6" w:space="0" w:color="auto"/>
                        </w:tcBorders>
                      </w:tcPr>
                      <w:p>
                        <w:pPr/>
                      </w:p>
                    </w:tc>
                    <w:tc>
                      <w:tcPr>
                        <w:tcW w:w="1922"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24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235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93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8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保函金额</w:t>
                        </w:r>
                        <w:r>
                          <w:rPr>
                            <w:rFonts w:ascii="Microsoft JhengHei" w:hAnsi="Microsoft JhengHei" w:cs="Microsoft JhengHei" w:eastAsia="Microsoft JhengHei" w:hint="default"/>
                            <w:sz w:val="18"/>
                            <w:szCs w:val="18"/>
                          </w:rPr>
                        </w:r>
                      </w:p>
                    </w:tc>
                    <w:tc>
                      <w:tcPr>
                        <w:tcW w:w="192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保函期限</w:t>
                        </w:r>
                        <w:r>
                          <w:rPr>
                            <w:rFonts w:ascii="Microsoft JhengHei" w:hAnsi="Microsoft JhengHei" w:cs="Microsoft JhengHei" w:eastAsia="Microsoft JhengHei" w:hint="default"/>
                            <w:sz w:val="18"/>
                            <w:szCs w:val="18"/>
                          </w:rPr>
                        </w:r>
                      </w:p>
                    </w:tc>
                  </w:tr>
                  <w:tr>
                    <w:trPr>
                      <w:trHeight w:val="288" w:hRule="exact"/>
                    </w:trPr>
                    <w:tc>
                      <w:tcPr>
                        <w:tcW w:w="24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北京同方吉兆科技有限公司</w:t>
                        </w:r>
                      </w:p>
                    </w:tc>
                    <w:tc>
                      <w:tcPr>
                        <w:tcW w:w="2354" w:type="dxa"/>
                        <w:tcBorders>
                          <w:top w:val="single" w:sz="4" w:space="0" w:color="000000"/>
                          <w:left w:val="nil" w:sz="6" w:space="0" w:color="auto"/>
                          <w:bottom w:val="nil" w:sz="6" w:space="0" w:color="auto"/>
                          <w:right w:val="nil" w:sz="6" w:space="0" w:color="auto"/>
                        </w:tcBorders>
                      </w:tcPr>
                      <w:p>
                        <w:pPr>
                          <w:pStyle w:val="TableParagraph"/>
                          <w:spacing w:line="226" w:lineRule="exact"/>
                          <w:ind w:left="47" w:right="0"/>
                          <w:jc w:val="left"/>
                          <w:rPr>
                            <w:rFonts w:ascii="楷体" w:hAnsi="楷体" w:cs="楷体" w:eastAsia="楷体" w:hint="default"/>
                            <w:sz w:val="18"/>
                            <w:szCs w:val="18"/>
                          </w:rPr>
                        </w:pPr>
                        <w:r>
                          <w:rPr>
                            <w:rFonts w:ascii="楷体" w:hAnsi="楷体" w:cs="楷体" w:eastAsia="楷体" w:hint="default"/>
                            <w:sz w:val="18"/>
                            <w:szCs w:val="18"/>
                          </w:rPr>
                          <w:t>交通银行北京林萃路支行</w:t>
                        </w:r>
                      </w:p>
                    </w:tc>
                    <w:tc>
                      <w:tcPr>
                        <w:tcW w:w="1931" w:type="dxa"/>
                        <w:tcBorders>
                          <w:top w:val="single" w:sz="4" w:space="0" w:color="000000"/>
                          <w:left w:val="nil" w:sz="6" w:space="0" w:color="auto"/>
                          <w:bottom w:val="nil" w:sz="6" w:space="0" w:color="auto"/>
                          <w:right w:val="nil" w:sz="6" w:space="0" w:color="auto"/>
                        </w:tcBorders>
                      </w:tcPr>
                      <w:p>
                        <w:pPr>
                          <w:pStyle w:val="TableParagraph"/>
                          <w:spacing w:line="239" w:lineRule="exact"/>
                          <w:ind w:right="78"/>
                          <w:jc w:val="right"/>
                          <w:rPr>
                            <w:rFonts w:ascii="楷体" w:hAnsi="楷体" w:cs="楷体" w:eastAsia="楷体" w:hint="default"/>
                            <w:sz w:val="18"/>
                            <w:szCs w:val="18"/>
                          </w:rPr>
                        </w:pPr>
                        <w:r>
                          <w:rPr>
                            <w:rFonts w:ascii="Times New Roman" w:hAnsi="Times New Roman" w:cs="Times New Roman" w:eastAsia="Times New Roman" w:hint="default"/>
                            <w:sz w:val="18"/>
                            <w:szCs w:val="18"/>
                          </w:rPr>
                          <w:t>198.77</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9" w:right="0"/>
                          <w:jc w:val="center"/>
                          <w:rPr>
                            <w:rFonts w:ascii="Times New Roman" w:hAnsi="Times New Roman" w:cs="Times New Roman" w:eastAsia="Times New Roman" w:hint="default"/>
                            <w:sz w:val="18"/>
                            <w:szCs w:val="18"/>
                          </w:rPr>
                        </w:pPr>
                        <w:r>
                          <w:rPr>
                            <w:rFonts w:ascii="Times New Roman"/>
                            <w:sz w:val="18"/>
                          </w:rPr>
                          <w:t>2007.12.28-2010.10.08</w:t>
                        </w:r>
                      </w:p>
                    </w:tc>
                  </w:tr>
                  <w:tr>
                    <w:trPr>
                      <w:trHeight w:val="303"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同方威视技术股份有限公司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227" w:lineRule="exact"/>
                          <w:ind w:left="47" w:right="0"/>
                          <w:jc w:val="left"/>
                          <w:rPr>
                            <w:rFonts w:ascii="楷体" w:hAnsi="楷体" w:cs="楷体" w:eastAsia="楷体" w:hint="default"/>
                            <w:sz w:val="18"/>
                            <w:szCs w:val="18"/>
                          </w:rPr>
                        </w:pPr>
                        <w:r>
                          <w:rPr>
                            <w:rFonts w:ascii="楷体" w:hAnsi="楷体" w:cs="楷体" w:eastAsia="楷体" w:hint="default"/>
                            <w:sz w:val="18"/>
                            <w:szCs w:val="18"/>
                          </w:rPr>
                          <w:t>中国银行北京分行</w:t>
                        </w:r>
                      </w:p>
                    </w:tc>
                    <w:tc>
                      <w:tcPr>
                        <w:tcW w:w="1931" w:type="dxa"/>
                        <w:tcBorders>
                          <w:top w:val="nil" w:sz="6" w:space="0" w:color="auto"/>
                          <w:left w:val="nil" w:sz="6" w:space="0" w:color="auto"/>
                          <w:bottom w:val="nil" w:sz="6" w:space="0" w:color="auto"/>
                          <w:right w:val="nil" w:sz="6" w:space="0" w:color="auto"/>
                        </w:tcBorders>
                      </w:tcPr>
                      <w:p>
                        <w:pPr>
                          <w:pStyle w:val="TableParagraph"/>
                          <w:spacing w:line="241" w:lineRule="exact"/>
                          <w:ind w:right="78"/>
                          <w:jc w:val="right"/>
                          <w:rPr>
                            <w:rFonts w:ascii="楷体" w:hAnsi="楷体" w:cs="楷体" w:eastAsia="楷体" w:hint="default"/>
                            <w:sz w:val="18"/>
                            <w:szCs w:val="18"/>
                          </w:rPr>
                        </w:pPr>
                        <w:r>
                          <w:rPr>
                            <w:rFonts w:ascii="Times New Roman" w:hAnsi="Times New Roman" w:cs="Times New Roman" w:eastAsia="Times New Roman" w:hint="default"/>
                            <w:sz w:val="18"/>
                            <w:szCs w:val="18"/>
                          </w:rPr>
                          <w:t>348.00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 w:right="0"/>
                          <w:jc w:val="center"/>
                          <w:rPr>
                            <w:rFonts w:ascii="Times New Roman" w:hAnsi="Times New Roman" w:cs="Times New Roman" w:eastAsia="Times New Roman" w:hint="default"/>
                            <w:sz w:val="18"/>
                            <w:szCs w:val="18"/>
                          </w:rPr>
                        </w:pPr>
                        <w:r>
                          <w:rPr>
                            <w:rFonts w:ascii="Times New Roman"/>
                            <w:sz w:val="18"/>
                          </w:rPr>
                          <w:t>2006.08.04-2009.12.31</w:t>
                        </w:r>
                      </w:p>
                    </w:tc>
                  </w:tr>
                </w:tbl>
                <w:p>
                  <w:pPr/>
                </w:p>
              </w:txbxContent>
            </v:textbox>
            <w10:wrap type="none"/>
          </v:shape>
        </w:pict>
      </w:r>
      <w:r>
        <w:rPr>
          <w:rFonts w:ascii="楷体" w:hAnsi="楷体" w:cs="楷体" w:eastAsia="楷体" w:hint="default"/>
          <w:sz w:val="18"/>
          <w:szCs w:val="18"/>
        </w:rPr>
        <w:t>沈阳同方多媒体科技有限公司</w:t>
        <w:tab/>
        <w:t>上海浦东发展银行和平支行</w:t>
      </w:r>
      <w:r>
        <w:rPr>
          <w:rFonts w:ascii="Times New Roman" w:hAnsi="Times New Roman" w:cs="Times New Roman" w:eastAsia="Times New Roman" w:hint="default"/>
          <w:sz w:val="18"/>
          <w:szCs w:val="18"/>
        </w:rPr>
        <w:tab/>
        <w:t>2008.11.21-2009.02.20</w:t>
      </w:r>
    </w:p>
    <w:p>
      <w:pPr>
        <w:spacing w:after="0" w:line="194" w:lineRule="exact"/>
        <w:jc w:val="left"/>
        <w:rPr>
          <w:rFonts w:ascii="Times New Roman" w:hAnsi="Times New Roman" w:cs="Times New Roman" w:eastAsia="Times New Roman" w:hint="default"/>
          <w:sz w:val="18"/>
          <w:szCs w:val="18"/>
        </w:rPr>
        <w:sectPr>
          <w:pgSz w:w="11910" w:h="16840"/>
          <w:pgMar w:header="610" w:footer="784" w:top="1080" w:bottom="980" w:left="760" w:right="64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tabs>
          <w:tab w:pos="3420" w:val="left" w:leader="none"/>
        </w:tabs>
        <w:spacing w:line="576" w:lineRule="auto" w:before="137"/>
        <w:ind w:left="1044" w:right="0" w:firstLine="0"/>
        <w:jc w:val="left"/>
        <w:rPr>
          <w:rFonts w:ascii="楷体" w:hAnsi="楷体" w:cs="楷体" w:eastAsia="楷体" w:hint="default"/>
          <w:sz w:val="18"/>
          <w:szCs w:val="18"/>
        </w:rPr>
      </w:pPr>
      <w:r>
        <w:rPr>
          <w:rFonts w:ascii="楷体" w:hAnsi="楷体" w:cs="楷体" w:eastAsia="楷体" w:hint="default"/>
          <w:sz w:val="18"/>
          <w:szCs w:val="18"/>
        </w:rPr>
        <w:t>同方威视技术股份有限公司</w:t>
        <w:tab/>
        <w:t>中国银行北京分行 同方威视技术股份有限公司</w:t>
        <w:tab/>
        <w:t>中国银行北京分行 同方威视技术股份有限公司</w:t>
        <w:tab/>
        <w:t>中国银行北京分行 同方威视技术股份有限公司</w:t>
        <w:tab/>
        <w:t>中国银行总行 九江同方江新造船有限公司</w:t>
        <w:tab/>
        <w:t>招行南昌分行叠山路支行</w:t>
      </w:r>
    </w:p>
    <w:p>
      <w:pPr>
        <w:spacing w:line="240" w:lineRule="auto" w:before="0"/>
        <w:rPr>
          <w:rFonts w:ascii="楷体" w:hAnsi="楷体" w:cs="楷体" w:eastAsia="楷体" w:hint="default"/>
          <w:sz w:val="18"/>
          <w:szCs w:val="18"/>
        </w:rPr>
      </w:pPr>
      <w:r>
        <w:rPr/>
        <w:br w:type="column"/>
      </w:r>
      <w:r>
        <w:rPr>
          <w:rFonts w:ascii="楷体"/>
          <w:sz w:val="18"/>
        </w:rPr>
      </w: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9"/>
        <w:rPr>
          <w:rFonts w:ascii="楷体" w:hAnsi="楷体" w:cs="楷体" w:eastAsia="楷体" w:hint="default"/>
          <w:sz w:val="23"/>
          <w:szCs w:val="23"/>
        </w:rPr>
      </w:pPr>
    </w:p>
    <w:p>
      <w:pPr>
        <w:spacing w:before="0"/>
        <w:ind w:left="0" w:right="0" w:firstLine="0"/>
        <w:jc w:val="right"/>
        <w:rPr>
          <w:rFonts w:ascii="楷体" w:hAnsi="楷体" w:cs="楷体" w:eastAsia="楷体" w:hint="default"/>
          <w:sz w:val="18"/>
          <w:szCs w:val="18"/>
        </w:rPr>
      </w:pPr>
      <w:r>
        <w:rPr>
          <w:rFonts w:ascii="Times New Roman" w:hAnsi="Times New Roman" w:cs="Times New Roman" w:eastAsia="Times New Roman" w:hint="default"/>
          <w:sz w:val="18"/>
          <w:szCs w:val="18"/>
        </w:rPr>
        <w:t>1,606.73</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万美元</w:t>
      </w:r>
    </w:p>
    <w:p>
      <w:pPr>
        <w:spacing w:before="34"/>
        <w:ind w:left="0" w:right="1" w:firstLine="0"/>
        <w:jc w:val="right"/>
        <w:rPr>
          <w:rFonts w:ascii="楷体" w:hAnsi="楷体" w:cs="楷体" w:eastAsia="楷体" w:hint="default"/>
          <w:sz w:val="18"/>
          <w:szCs w:val="18"/>
        </w:rPr>
      </w:pP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10,981.36</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line="273" w:lineRule="auto" w:before="34"/>
        <w:ind w:left="516" w:right="1" w:firstLine="540"/>
        <w:jc w:val="right"/>
        <w:rPr>
          <w:rFonts w:ascii="楷体" w:hAnsi="楷体" w:cs="楷体" w:eastAsia="楷体" w:hint="default"/>
          <w:sz w:val="18"/>
          <w:szCs w:val="18"/>
        </w:rPr>
      </w:pPr>
      <w:r>
        <w:rPr>
          <w:rFonts w:ascii="Times New Roman" w:hAnsi="Times New Roman" w:cs="Times New Roman" w:eastAsia="Times New Roman" w:hint="default"/>
          <w:sz w:val="18"/>
          <w:szCs w:val="18"/>
        </w:rPr>
        <w:t>502.76</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万欧元 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4,856.17</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 </w:t>
      </w:r>
      <w:r>
        <w:rPr>
          <w:rFonts w:ascii="Times New Roman" w:hAnsi="Times New Roman" w:cs="Times New Roman" w:eastAsia="Times New Roman" w:hint="default"/>
          <w:sz w:val="18"/>
          <w:szCs w:val="18"/>
        </w:rPr>
        <w:t>455.58</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万挪威克朗</w:t>
      </w:r>
    </w:p>
    <w:p>
      <w:pPr>
        <w:spacing w:before="6"/>
        <w:ind w:left="0" w:right="1" w:firstLine="0"/>
        <w:jc w:val="right"/>
        <w:rPr>
          <w:rFonts w:ascii="楷体" w:hAnsi="楷体" w:cs="楷体" w:eastAsia="楷体" w:hint="default"/>
          <w:sz w:val="18"/>
          <w:szCs w:val="18"/>
        </w:rPr>
      </w:pP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445.08</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line="273" w:lineRule="auto" w:before="32"/>
        <w:ind w:left="652" w:right="0" w:firstLine="494"/>
        <w:jc w:val="right"/>
        <w:rPr>
          <w:rFonts w:ascii="楷体" w:hAnsi="楷体" w:cs="楷体" w:eastAsia="楷体" w:hint="default"/>
          <w:sz w:val="18"/>
          <w:szCs w:val="18"/>
        </w:rPr>
      </w:pPr>
      <w:r>
        <w:rPr>
          <w:rFonts w:ascii="Times New Roman" w:hAnsi="Times New Roman" w:cs="Times New Roman" w:eastAsia="Times New Roman" w:hint="default"/>
          <w:sz w:val="18"/>
          <w:szCs w:val="18"/>
        </w:rPr>
        <w:t>71.47</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万欧元 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690.30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 </w:t>
      </w:r>
      <w:r>
        <w:rPr>
          <w:rFonts w:ascii="Times New Roman" w:hAnsi="Times New Roman" w:cs="Times New Roman" w:eastAsia="Times New Roman" w:hint="default"/>
          <w:sz w:val="18"/>
          <w:szCs w:val="18"/>
        </w:rPr>
        <w:t>1,384.00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万欧元</w:t>
      </w:r>
    </w:p>
    <w:p>
      <w:pPr>
        <w:spacing w:before="6"/>
        <w:ind w:left="0" w:right="1" w:firstLine="0"/>
        <w:jc w:val="right"/>
        <w:rPr>
          <w:rFonts w:ascii="楷体" w:hAnsi="楷体" w:cs="楷体" w:eastAsia="楷体" w:hint="default"/>
          <w:sz w:val="18"/>
          <w:szCs w:val="18"/>
        </w:rPr>
      </w:pPr>
      <w:r>
        <w:rPr/>
        <w:pict>
          <v:group style="position:absolute;margin-left:84.449997pt;margin-top:14.93402pt;width:433.05pt;height:1.5pt;mso-position-horizontal-relative:page;mso-position-vertical-relative:paragraph;z-index:-896656" coordorigin="1689,299" coordsize="8661,30">
            <v:group style="position:absolute;left:1704;top:314;width:2362;height:2" coordorigin="1704,314" coordsize="2362,2">
              <v:shape style="position:absolute;left:1704;top:314;width:2362;height:2" coordorigin="1704,314" coordsize="2362,0" path="m1704,314l4066,314e" filled="false" stroked="true" strokeweight="1.5pt" strokecolor="#000000">
                <v:path arrowok="t"/>
              </v:shape>
            </v:group>
            <v:group style="position:absolute;left:4080;top:314;width:2339;height:2" coordorigin="4080,314" coordsize="2339,2">
              <v:shape style="position:absolute;left:4080;top:314;width:2339;height:2" coordorigin="4080,314" coordsize="2339,0" path="m4080,314l6419,314e" filled="false" stroked="true" strokeweight="1.5pt" strokecolor="#000000">
                <v:path arrowok="t"/>
              </v:shape>
            </v:group>
            <v:group style="position:absolute;left:6433;top:314;width:2006;height:2" coordorigin="6433,314" coordsize="2006,2">
              <v:shape style="position:absolute;left:6433;top:314;width:2006;height:2" coordorigin="6433,314" coordsize="2006,0" path="m6433,314l8438,314e" filled="false" stroked="true" strokeweight="1.5pt" strokecolor="#000000">
                <v:path arrowok="t"/>
              </v:shape>
            </v:group>
            <v:group style="position:absolute;left:8453;top:314;width:1882;height:2" coordorigin="8453,314" coordsize="1882,2">
              <v:shape style="position:absolute;left:8453;top:314;width:1882;height:2" coordorigin="8453,314" coordsize="1882,0" path="m8453,314l10334,314e" filled="false" stroked="true" strokeweight="1.5pt" strokecolor="#000000">
                <v:path arrowok="t"/>
              </v:shape>
            </v:group>
            <w10:wrap type="none"/>
          </v:group>
        </w:pict>
      </w: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13,368.06</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line="240" w:lineRule="auto" w:before="0"/>
        <w:rPr>
          <w:rFonts w:ascii="楷体" w:hAnsi="楷体" w:cs="楷体" w:eastAsia="楷体" w:hint="default"/>
          <w:sz w:val="18"/>
          <w:szCs w:val="18"/>
        </w:rPr>
      </w:pPr>
      <w:r>
        <w:rPr/>
        <w:br w:type="column"/>
      </w:r>
      <w:r>
        <w:rPr>
          <w:rFonts w:ascii="楷体"/>
          <w:sz w:val="18"/>
        </w:rPr>
      </w: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0"/>
        <w:rPr>
          <w:rFonts w:ascii="楷体" w:hAnsi="楷体" w:cs="楷体" w:eastAsia="楷体" w:hint="default"/>
          <w:sz w:val="18"/>
          <w:szCs w:val="18"/>
        </w:rPr>
      </w:pPr>
    </w:p>
    <w:p>
      <w:pPr>
        <w:spacing w:line="240" w:lineRule="auto" w:before="10"/>
        <w:rPr>
          <w:rFonts w:ascii="楷体" w:hAnsi="楷体" w:cs="楷体" w:eastAsia="楷体" w:hint="default"/>
          <w:sz w:val="19"/>
          <w:szCs w:val="19"/>
        </w:rPr>
      </w:pPr>
    </w:p>
    <w:p>
      <w:pPr>
        <w:spacing w:before="0"/>
        <w:ind w:left="180" w:right="0" w:firstLine="0"/>
        <w:jc w:val="left"/>
        <w:rPr>
          <w:rFonts w:ascii="Times New Roman" w:hAnsi="Times New Roman" w:cs="Times New Roman" w:eastAsia="Times New Roman" w:hint="default"/>
          <w:sz w:val="18"/>
          <w:szCs w:val="18"/>
        </w:rPr>
      </w:pPr>
      <w:r>
        <w:rPr>
          <w:rFonts w:ascii="Times New Roman"/>
          <w:sz w:val="18"/>
        </w:rPr>
        <w:t>2006.02.16-2011.05.16</w:t>
      </w:r>
    </w:p>
    <w:p>
      <w:pPr>
        <w:spacing w:line="240" w:lineRule="auto" w:before="0"/>
        <w:rPr>
          <w:rFonts w:ascii="Times New Roman" w:hAnsi="Times New Roman" w:cs="Times New Roman" w:eastAsia="Times New Roman" w:hint="default"/>
          <w:sz w:val="18"/>
          <w:szCs w:val="18"/>
        </w:rPr>
      </w:pPr>
    </w:p>
    <w:p>
      <w:pPr>
        <w:spacing w:before="152"/>
        <w:ind w:left="180" w:right="0" w:firstLine="0"/>
        <w:jc w:val="left"/>
        <w:rPr>
          <w:rFonts w:ascii="Times New Roman" w:hAnsi="Times New Roman" w:cs="Times New Roman" w:eastAsia="Times New Roman" w:hint="default"/>
          <w:sz w:val="18"/>
          <w:szCs w:val="18"/>
        </w:rPr>
      </w:pPr>
      <w:r>
        <w:rPr>
          <w:rFonts w:ascii="Times New Roman"/>
          <w:sz w:val="18"/>
        </w:rPr>
        <w:t>2006.09.08-2010.11.30</w:t>
      </w:r>
    </w:p>
    <w:p>
      <w:pPr>
        <w:spacing w:line="240" w:lineRule="auto" w:before="0"/>
        <w:rPr>
          <w:rFonts w:ascii="Times New Roman" w:hAnsi="Times New Roman" w:cs="Times New Roman" w:eastAsia="Times New Roman" w:hint="default"/>
          <w:sz w:val="18"/>
          <w:szCs w:val="18"/>
        </w:rPr>
      </w:pPr>
    </w:p>
    <w:p>
      <w:pPr>
        <w:spacing w:before="152"/>
        <w:ind w:left="174" w:right="0" w:firstLine="0"/>
        <w:jc w:val="left"/>
        <w:rPr>
          <w:rFonts w:ascii="Times New Roman" w:hAnsi="Times New Roman" w:cs="Times New Roman" w:eastAsia="Times New Roman" w:hint="default"/>
          <w:sz w:val="18"/>
          <w:szCs w:val="18"/>
        </w:rPr>
      </w:pPr>
      <w:r>
        <w:rPr>
          <w:rFonts w:ascii="Times New Roman"/>
          <w:sz w:val="18"/>
        </w:rPr>
        <w:t>2008.10.10-2009.05.31</w:t>
      </w:r>
    </w:p>
    <w:p>
      <w:pPr>
        <w:spacing w:line="240" w:lineRule="auto" w:before="0"/>
        <w:rPr>
          <w:rFonts w:ascii="Times New Roman" w:hAnsi="Times New Roman" w:cs="Times New Roman" w:eastAsia="Times New Roman" w:hint="default"/>
          <w:sz w:val="18"/>
          <w:szCs w:val="18"/>
        </w:rPr>
      </w:pPr>
    </w:p>
    <w:p>
      <w:pPr>
        <w:spacing w:before="151"/>
        <w:ind w:left="174" w:right="0" w:firstLine="0"/>
        <w:jc w:val="left"/>
        <w:rPr>
          <w:rFonts w:ascii="Times New Roman" w:hAnsi="Times New Roman" w:cs="Times New Roman" w:eastAsia="Times New Roman" w:hint="default"/>
          <w:sz w:val="18"/>
          <w:szCs w:val="18"/>
        </w:rPr>
      </w:pPr>
      <w:r>
        <w:rPr>
          <w:rFonts w:ascii="Times New Roman"/>
          <w:sz w:val="18"/>
        </w:rPr>
        <w:t>2007.02.09-2010.06.12</w:t>
      </w:r>
    </w:p>
    <w:p>
      <w:pPr>
        <w:spacing w:line="240" w:lineRule="auto" w:before="0"/>
        <w:rPr>
          <w:rFonts w:ascii="Times New Roman" w:hAnsi="Times New Roman" w:cs="Times New Roman" w:eastAsia="Times New Roman" w:hint="default"/>
          <w:sz w:val="18"/>
          <w:szCs w:val="18"/>
        </w:rPr>
      </w:pPr>
    </w:p>
    <w:p>
      <w:pPr>
        <w:spacing w:before="152"/>
        <w:ind w:left="186" w:right="0" w:firstLine="0"/>
        <w:jc w:val="left"/>
        <w:rPr>
          <w:rFonts w:ascii="Times New Roman" w:hAnsi="Times New Roman" w:cs="Times New Roman" w:eastAsia="Times New Roman" w:hint="default"/>
          <w:sz w:val="18"/>
          <w:szCs w:val="18"/>
        </w:rPr>
      </w:pPr>
      <w:r>
        <w:rPr>
          <w:rFonts w:ascii="Times New Roman"/>
          <w:sz w:val="18"/>
        </w:rPr>
        <w:t>2007.11.02-2011.09.02</w:t>
      </w:r>
    </w:p>
    <w:p>
      <w:pPr>
        <w:spacing w:after="0"/>
        <w:jc w:val="left"/>
        <w:rPr>
          <w:rFonts w:ascii="Times New Roman" w:hAnsi="Times New Roman" w:cs="Times New Roman" w:eastAsia="Times New Roman" w:hint="default"/>
          <w:sz w:val="18"/>
          <w:szCs w:val="18"/>
        </w:rPr>
        <w:sectPr>
          <w:type w:val="continuous"/>
          <w:pgSz w:w="11910" w:h="16840"/>
          <w:pgMar w:top="1600" w:bottom="280" w:left="760" w:right="640"/>
          <w:cols w:num="3" w:equalWidth="0">
            <w:col w:w="5401" w:space="40"/>
            <w:col w:w="2138" w:space="40"/>
            <w:col w:w="2891"/>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p>
      <w:pPr>
        <w:spacing w:line="30" w:lineRule="exact"/>
        <w:ind w:left="801"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tabs>
          <w:tab w:pos="4007" w:val="left" w:leader="none"/>
          <w:tab w:pos="6193" w:val="left" w:leader="none"/>
          <w:tab w:pos="8151" w:val="left" w:leader="none"/>
        </w:tabs>
        <w:spacing w:line="246" w:lineRule="exact" w:before="0"/>
        <w:ind w:left="155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tab/>
        <w:t>贷款银行</w:t>
        <w:tab/>
        <w:t>保函金额</w:t>
        <w:tab/>
        <w:t>保函期限</w:t>
      </w:r>
      <w:r>
        <w:rPr>
          <w:rFonts w:ascii="Microsoft JhengHei" w:hAnsi="Microsoft JhengHei" w:cs="Microsoft JhengHei" w:eastAsia="Microsoft JhengHei" w:hint="default"/>
          <w:sz w:val="18"/>
          <w:szCs w:val="18"/>
        </w:rPr>
      </w:r>
    </w:p>
    <w:p>
      <w:pPr>
        <w:spacing w:line="240" w:lineRule="auto" w:before="1"/>
        <w:rPr>
          <w:rFonts w:ascii="Microsoft JhengHei" w:hAnsi="Microsoft JhengHei" w:cs="Microsoft JhengHei" w:eastAsia="Microsoft JhengHei" w:hint="default"/>
          <w:b/>
          <w:bCs/>
          <w:sz w:val="2"/>
          <w:szCs w:val="2"/>
        </w:rPr>
      </w:pPr>
    </w:p>
    <w:p>
      <w:pPr>
        <w:spacing w:line="20" w:lineRule="exact"/>
        <w:ind w:left="8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167" w:lineRule="exact" w:before="0"/>
        <w:ind w:left="6243" w:right="0" w:firstLine="0"/>
        <w:jc w:val="left"/>
        <w:rPr>
          <w:rFonts w:ascii="楷体" w:hAnsi="楷体" w:cs="楷体" w:eastAsia="楷体" w:hint="default"/>
          <w:sz w:val="18"/>
          <w:szCs w:val="18"/>
        </w:rPr>
      </w:pPr>
      <w:r>
        <w:rPr>
          <w:rFonts w:ascii="Times New Roman" w:hAnsi="Times New Roman" w:cs="Times New Roman" w:eastAsia="Times New Roman" w:hint="default"/>
          <w:sz w:val="18"/>
          <w:szCs w:val="18"/>
        </w:rPr>
        <w:t>1,384.00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万欧元</w:t>
      </w:r>
    </w:p>
    <w:p>
      <w:pPr>
        <w:spacing w:after="0" w:line="167" w:lineRule="exact"/>
        <w:jc w:val="left"/>
        <w:rPr>
          <w:rFonts w:ascii="楷体" w:hAnsi="楷体" w:cs="楷体" w:eastAsia="楷体" w:hint="default"/>
          <w:sz w:val="18"/>
          <w:szCs w:val="18"/>
        </w:rPr>
        <w:sectPr>
          <w:pgSz w:w="11910" w:h="16840"/>
          <w:pgMar w:header="610" w:footer="784" w:top="1080" w:bottom="980" w:left="880" w:right="760"/>
        </w:sectPr>
      </w:pPr>
    </w:p>
    <w:p>
      <w:pPr>
        <w:tabs>
          <w:tab w:pos="3300" w:val="left" w:leader="none"/>
        </w:tabs>
        <w:spacing w:line="180" w:lineRule="exact" w:before="0"/>
        <w:ind w:left="924" w:right="0" w:firstLine="0"/>
        <w:jc w:val="left"/>
        <w:rPr>
          <w:rFonts w:ascii="楷体" w:hAnsi="楷体" w:cs="楷体" w:eastAsia="楷体" w:hint="default"/>
          <w:sz w:val="18"/>
          <w:szCs w:val="18"/>
        </w:rPr>
      </w:pPr>
      <w:r>
        <w:rPr>
          <w:rFonts w:ascii="楷体" w:hAnsi="楷体" w:cs="楷体" w:eastAsia="楷体" w:hint="default"/>
          <w:sz w:val="18"/>
          <w:szCs w:val="18"/>
        </w:rPr>
        <w:t>九江同方江新造船有限公司</w:t>
        <w:tab/>
        <w:t>中国银行九江市分行</w:t>
      </w:r>
    </w:p>
    <w:p>
      <w:pPr>
        <w:spacing w:line="240" w:lineRule="auto" w:before="0"/>
        <w:rPr>
          <w:rFonts w:ascii="楷体" w:hAnsi="楷体" w:cs="楷体" w:eastAsia="楷体" w:hint="default"/>
          <w:sz w:val="26"/>
          <w:szCs w:val="26"/>
        </w:rPr>
      </w:pPr>
    </w:p>
    <w:p>
      <w:pPr>
        <w:tabs>
          <w:tab w:pos="3299" w:val="left" w:leader="none"/>
        </w:tabs>
        <w:spacing w:line="576" w:lineRule="auto" w:before="0"/>
        <w:ind w:left="923" w:right="0" w:firstLine="1"/>
        <w:jc w:val="left"/>
        <w:rPr>
          <w:rFonts w:ascii="楷体" w:hAnsi="楷体" w:cs="楷体" w:eastAsia="楷体" w:hint="default"/>
          <w:sz w:val="18"/>
          <w:szCs w:val="18"/>
        </w:rPr>
      </w:pPr>
      <w:r>
        <w:rPr>
          <w:rFonts w:ascii="楷体" w:hAnsi="楷体" w:cs="楷体" w:eastAsia="楷体" w:hint="default"/>
          <w:sz w:val="18"/>
          <w:szCs w:val="18"/>
        </w:rPr>
        <w:t>九江同方江新造船有限公司</w:t>
        <w:tab/>
        <w:t>交通银行九江市分行 九江同方江新造船有限公司</w:t>
        <w:tab/>
        <w:t>中国农业银行南昌市支行 九江同方江新造船有限公司</w:t>
        <w:tab/>
        <w:t>中国建设银行九江市分行 九江同方江新造船有限公司</w:t>
        <w:tab/>
        <w:t>交通银行九江分行 九江同方江新造船有限公司</w:t>
        <w:tab/>
        <w:t>中国银行九江市分行 九江同方江新造船有限公司</w:t>
        <w:tab/>
        <w:t>中国农业银行湖口县支行</w:t>
      </w:r>
    </w:p>
    <w:p>
      <w:pPr>
        <w:tabs>
          <w:tab w:pos="3299" w:val="left" w:leader="none"/>
        </w:tabs>
        <w:spacing w:before="77"/>
        <w:ind w:left="923" w:right="-19" w:firstLine="0"/>
        <w:jc w:val="left"/>
        <w:rPr>
          <w:rFonts w:ascii="楷体" w:hAnsi="楷体" w:cs="楷体" w:eastAsia="楷体" w:hint="default"/>
          <w:sz w:val="18"/>
          <w:szCs w:val="18"/>
        </w:rPr>
      </w:pPr>
      <w:r>
        <w:rPr>
          <w:rFonts w:ascii="楷体" w:hAnsi="楷体" w:cs="楷体" w:eastAsia="楷体" w:hint="default"/>
          <w:sz w:val="18"/>
          <w:szCs w:val="18"/>
        </w:rPr>
        <w:t>九江同方江新造船有限公司</w:t>
        <w:tab/>
        <w:t>招行南昌分行叠山路支行</w:t>
      </w:r>
    </w:p>
    <w:p>
      <w:pPr>
        <w:spacing w:before="95"/>
        <w:ind w:left="427" w:right="-17" w:firstLine="0"/>
        <w:jc w:val="left"/>
        <w:rPr>
          <w:rFonts w:ascii="楷体" w:hAnsi="楷体" w:cs="楷体" w:eastAsia="楷体" w:hint="default"/>
          <w:sz w:val="18"/>
          <w:szCs w:val="18"/>
        </w:rPr>
      </w:pPr>
      <w:r>
        <w:rPr/>
        <w:br w:type="column"/>
      </w: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13,368.06</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before="34"/>
        <w:ind w:left="922" w:right="-18" w:firstLine="0"/>
        <w:jc w:val="left"/>
        <w:rPr>
          <w:rFonts w:ascii="楷体" w:hAnsi="楷体" w:cs="楷体" w:eastAsia="楷体" w:hint="default"/>
          <w:sz w:val="18"/>
          <w:szCs w:val="18"/>
        </w:rPr>
      </w:pPr>
      <w:r>
        <w:rPr>
          <w:rFonts w:ascii="Times New Roman" w:hAnsi="Times New Roman" w:cs="Times New Roman" w:eastAsia="Times New Roman" w:hint="default"/>
          <w:sz w:val="18"/>
          <w:szCs w:val="18"/>
        </w:rPr>
        <w:t>1,384.00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万欧元</w:t>
      </w:r>
    </w:p>
    <w:p>
      <w:pPr>
        <w:spacing w:before="34"/>
        <w:ind w:left="426" w:right="-16" w:firstLine="0"/>
        <w:jc w:val="left"/>
        <w:rPr>
          <w:rFonts w:ascii="楷体" w:hAnsi="楷体" w:cs="楷体" w:eastAsia="楷体" w:hint="default"/>
          <w:sz w:val="18"/>
          <w:szCs w:val="18"/>
        </w:rPr>
      </w:pP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13,368.06</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before="34"/>
        <w:ind w:left="922" w:right="-18" w:firstLine="0"/>
        <w:jc w:val="left"/>
        <w:rPr>
          <w:rFonts w:ascii="楷体" w:hAnsi="楷体" w:cs="楷体" w:eastAsia="楷体" w:hint="default"/>
          <w:sz w:val="18"/>
          <w:szCs w:val="18"/>
        </w:rPr>
      </w:pPr>
      <w:r>
        <w:rPr>
          <w:rFonts w:ascii="Times New Roman" w:hAnsi="Times New Roman" w:cs="Times New Roman" w:eastAsia="Times New Roman" w:hint="default"/>
          <w:sz w:val="18"/>
          <w:szCs w:val="18"/>
        </w:rPr>
        <w:t>6,300.00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万美元</w:t>
      </w:r>
    </w:p>
    <w:p>
      <w:pPr>
        <w:spacing w:before="34"/>
        <w:ind w:left="426" w:right="-16" w:firstLine="0"/>
        <w:jc w:val="left"/>
        <w:rPr>
          <w:rFonts w:ascii="楷体" w:hAnsi="楷体" w:cs="楷体" w:eastAsia="楷体" w:hint="default"/>
          <w:sz w:val="18"/>
          <w:szCs w:val="18"/>
        </w:rPr>
      </w:pP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43,057.98</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before="34"/>
        <w:ind w:left="922" w:right="-18" w:firstLine="0"/>
        <w:jc w:val="left"/>
        <w:rPr>
          <w:rFonts w:ascii="楷体" w:hAnsi="楷体" w:cs="楷体" w:eastAsia="楷体" w:hint="default"/>
          <w:sz w:val="18"/>
          <w:szCs w:val="18"/>
        </w:rPr>
      </w:pPr>
      <w:r>
        <w:rPr>
          <w:rFonts w:ascii="Times New Roman" w:hAnsi="Times New Roman" w:cs="Times New Roman" w:eastAsia="Times New Roman" w:hint="default"/>
          <w:sz w:val="18"/>
          <w:szCs w:val="18"/>
        </w:rPr>
        <w:t>2,814.40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万美元</w:t>
      </w:r>
    </w:p>
    <w:p>
      <w:pPr>
        <w:spacing w:before="33"/>
        <w:ind w:left="426" w:right="-16" w:firstLine="0"/>
        <w:jc w:val="left"/>
        <w:rPr>
          <w:rFonts w:ascii="楷体" w:hAnsi="楷体" w:cs="楷体" w:eastAsia="楷体" w:hint="default"/>
          <w:sz w:val="18"/>
          <w:szCs w:val="18"/>
        </w:rPr>
      </w:pP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19,235.30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before="34"/>
        <w:ind w:left="922" w:right="-18" w:firstLine="0"/>
        <w:jc w:val="left"/>
        <w:rPr>
          <w:rFonts w:ascii="楷体" w:hAnsi="楷体" w:cs="楷体" w:eastAsia="楷体" w:hint="default"/>
          <w:sz w:val="18"/>
          <w:szCs w:val="18"/>
        </w:rPr>
      </w:pPr>
      <w:r>
        <w:rPr>
          <w:rFonts w:ascii="Times New Roman" w:hAnsi="Times New Roman" w:cs="Times New Roman" w:eastAsia="Times New Roman" w:hint="default"/>
          <w:sz w:val="18"/>
          <w:szCs w:val="18"/>
        </w:rPr>
        <w:t>4,558.80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万美元</w:t>
      </w:r>
    </w:p>
    <w:p>
      <w:pPr>
        <w:spacing w:before="34"/>
        <w:ind w:left="426" w:right="-16" w:firstLine="0"/>
        <w:jc w:val="left"/>
        <w:rPr>
          <w:rFonts w:ascii="楷体" w:hAnsi="楷体" w:cs="楷体" w:eastAsia="楷体" w:hint="default"/>
          <w:sz w:val="18"/>
          <w:szCs w:val="18"/>
        </w:rPr>
      </w:pP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31,157.57</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before="34"/>
        <w:ind w:left="921" w:right="-17" w:firstLine="0"/>
        <w:jc w:val="left"/>
        <w:rPr>
          <w:rFonts w:ascii="楷体" w:hAnsi="楷体" w:cs="楷体" w:eastAsia="楷体" w:hint="default"/>
          <w:sz w:val="18"/>
          <w:szCs w:val="18"/>
        </w:rPr>
      </w:pPr>
      <w:r>
        <w:rPr>
          <w:rFonts w:ascii="Times New Roman" w:hAnsi="Times New Roman" w:cs="Times New Roman" w:eastAsia="Times New Roman" w:hint="default"/>
          <w:sz w:val="18"/>
          <w:szCs w:val="18"/>
        </w:rPr>
        <w:t>7,862.80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万美元</w:t>
      </w:r>
    </w:p>
    <w:p>
      <w:pPr>
        <w:spacing w:before="34"/>
        <w:ind w:left="426" w:right="-16" w:firstLine="0"/>
        <w:jc w:val="left"/>
        <w:rPr>
          <w:rFonts w:ascii="楷体" w:hAnsi="楷体" w:cs="楷体" w:eastAsia="楷体" w:hint="default"/>
          <w:sz w:val="18"/>
          <w:szCs w:val="18"/>
        </w:rPr>
      </w:pP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53,739.10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before="34"/>
        <w:ind w:left="921" w:right="-17" w:firstLine="0"/>
        <w:jc w:val="left"/>
        <w:rPr>
          <w:rFonts w:ascii="楷体" w:hAnsi="楷体" w:cs="楷体" w:eastAsia="楷体" w:hint="default"/>
          <w:sz w:val="18"/>
          <w:szCs w:val="18"/>
        </w:rPr>
      </w:pPr>
      <w:r>
        <w:rPr>
          <w:rFonts w:ascii="Times New Roman" w:hAnsi="Times New Roman" w:cs="Times New Roman" w:eastAsia="Times New Roman" w:hint="default"/>
          <w:sz w:val="18"/>
          <w:szCs w:val="18"/>
        </w:rPr>
        <w:t>4,368.00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万美元</w:t>
      </w:r>
    </w:p>
    <w:p>
      <w:pPr>
        <w:spacing w:before="33"/>
        <w:ind w:left="426" w:right="-16" w:firstLine="0"/>
        <w:jc w:val="left"/>
        <w:rPr>
          <w:rFonts w:ascii="楷体" w:hAnsi="楷体" w:cs="楷体" w:eastAsia="楷体" w:hint="default"/>
          <w:sz w:val="18"/>
          <w:szCs w:val="18"/>
        </w:rPr>
      </w:pP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29,853.54</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before="34"/>
        <w:ind w:left="921" w:right="-17" w:firstLine="0"/>
        <w:jc w:val="left"/>
        <w:rPr>
          <w:rFonts w:ascii="楷体" w:hAnsi="楷体" w:cs="楷体" w:eastAsia="楷体" w:hint="default"/>
          <w:sz w:val="18"/>
          <w:szCs w:val="18"/>
        </w:rPr>
      </w:pPr>
      <w:r>
        <w:rPr>
          <w:rFonts w:ascii="Times New Roman" w:hAnsi="Times New Roman" w:cs="Times New Roman" w:eastAsia="Times New Roman" w:hint="default"/>
          <w:sz w:val="18"/>
          <w:szCs w:val="18"/>
        </w:rPr>
        <w:t>3,503.28</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万美元</w:t>
      </w:r>
    </w:p>
    <w:p>
      <w:pPr>
        <w:spacing w:before="34"/>
        <w:ind w:left="425" w:right="-15" w:firstLine="0"/>
        <w:jc w:val="left"/>
        <w:rPr>
          <w:rFonts w:ascii="楷体" w:hAnsi="楷体" w:cs="楷体" w:eastAsia="楷体" w:hint="default"/>
          <w:sz w:val="18"/>
          <w:szCs w:val="18"/>
        </w:rPr>
      </w:pPr>
      <w:r>
        <w:rPr/>
        <w:pict>
          <v:group style="position:absolute;margin-left:84.839996pt;margin-top:16.577049pt;width:431.9pt;height:.1pt;mso-position-horizontal-relative:page;mso-position-vertical-relative:paragraph;z-index:-896512" coordorigin="1697,332" coordsize="8638,2">
            <v:shape style="position:absolute;left:1697;top:332;width:8638;height:2" coordorigin="1697,332" coordsize="8638,0" path="m1697,332l10334,332e" filled="false" stroked="true" strokeweight=".48pt" strokecolor="#000000">
              <v:path arrowok="t"/>
            </v:shape>
            <w10:wrap type="none"/>
          </v:group>
        </w:pict>
      </w: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23,943.52</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line="194" w:lineRule="exact" w:before="0"/>
        <w:ind w:left="180" w:right="0" w:firstLine="0"/>
        <w:jc w:val="left"/>
        <w:rPr>
          <w:rFonts w:ascii="Times New Roman" w:hAnsi="Times New Roman" w:cs="Times New Roman" w:eastAsia="Times New Roman" w:hint="default"/>
          <w:sz w:val="18"/>
          <w:szCs w:val="18"/>
        </w:rPr>
      </w:pPr>
      <w:r>
        <w:rPr/>
        <w:br w:type="column"/>
      </w:r>
      <w:r>
        <w:rPr>
          <w:rFonts w:ascii="Times New Roman"/>
          <w:sz w:val="18"/>
        </w:rPr>
        <w:t>2007.10.19-2011.04.15</w:t>
      </w: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spacing w:before="0"/>
        <w:ind w:left="187" w:right="0" w:firstLine="0"/>
        <w:jc w:val="left"/>
        <w:rPr>
          <w:rFonts w:ascii="Times New Roman" w:hAnsi="Times New Roman" w:cs="Times New Roman" w:eastAsia="Times New Roman" w:hint="default"/>
          <w:sz w:val="18"/>
          <w:szCs w:val="18"/>
        </w:rPr>
      </w:pPr>
      <w:r>
        <w:rPr>
          <w:rFonts w:ascii="Times New Roman"/>
          <w:sz w:val="18"/>
        </w:rPr>
        <w:t>2007.10.25-2011.09.11</w:t>
      </w:r>
    </w:p>
    <w:p>
      <w:pPr>
        <w:spacing w:line="240" w:lineRule="auto" w:before="0"/>
        <w:rPr>
          <w:rFonts w:ascii="Times New Roman" w:hAnsi="Times New Roman" w:cs="Times New Roman" w:eastAsia="Times New Roman" w:hint="default"/>
          <w:sz w:val="18"/>
          <w:szCs w:val="18"/>
        </w:rPr>
      </w:pPr>
    </w:p>
    <w:p>
      <w:pPr>
        <w:spacing w:before="152"/>
        <w:ind w:left="174" w:right="0" w:firstLine="0"/>
        <w:jc w:val="left"/>
        <w:rPr>
          <w:rFonts w:ascii="Times New Roman" w:hAnsi="Times New Roman" w:cs="Times New Roman" w:eastAsia="Times New Roman" w:hint="default"/>
          <w:sz w:val="18"/>
          <w:szCs w:val="18"/>
        </w:rPr>
      </w:pPr>
      <w:r>
        <w:rPr>
          <w:rFonts w:ascii="Times New Roman"/>
          <w:sz w:val="18"/>
        </w:rPr>
        <w:t>2006.08.31-2009.05.31</w:t>
      </w:r>
    </w:p>
    <w:p>
      <w:pPr>
        <w:spacing w:line="240" w:lineRule="auto" w:before="0"/>
        <w:rPr>
          <w:rFonts w:ascii="Times New Roman" w:hAnsi="Times New Roman" w:cs="Times New Roman" w:eastAsia="Times New Roman" w:hint="default"/>
          <w:sz w:val="18"/>
          <w:szCs w:val="18"/>
        </w:rPr>
      </w:pPr>
    </w:p>
    <w:p>
      <w:pPr>
        <w:spacing w:before="152"/>
        <w:ind w:left="174" w:right="0" w:firstLine="0"/>
        <w:jc w:val="left"/>
        <w:rPr>
          <w:rFonts w:ascii="Times New Roman" w:hAnsi="Times New Roman" w:cs="Times New Roman" w:eastAsia="Times New Roman" w:hint="default"/>
          <w:sz w:val="18"/>
          <w:szCs w:val="18"/>
        </w:rPr>
      </w:pPr>
      <w:r>
        <w:rPr>
          <w:rFonts w:ascii="Times New Roman"/>
          <w:sz w:val="18"/>
        </w:rPr>
        <w:t>2007.04.30-2009.12.30</w:t>
      </w:r>
    </w:p>
    <w:p>
      <w:pPr>
        <w:spacing w:line="240" w:lineRule="auto" w:before="0"/>
        <w:rPr>
          <w:rFonts w:ascii="Times New Roman" w:hAnsi="Times New Roman" w:cs="Times New Roman" w:eastAsia="Times New Roman" w:hint="default"/>
          <w:sz w:val="18"/>
          <w:szCs w:val="18"/>
        </w:rPr>
      </w:pPr>
    </w:p>
    <w:p>
      <w:pPr>
        <w:spacing w:before="151"/>
        <w:ind w:left="187" w:right="0" w:firstLine="0"/>
        <w:jc w:val="left"/>
        <w:rPr>
          <w:rFonts w:ascii="Times New Roman" w:hAnsi="Times New Roman" w:cs="Times New Roman" w:eastAsia="Times New Roman" w:hint="default"/>
          <w:sz w:val="18"/>
          <w:szCs w:val="18"/>
        </w:rPr>
      </w:pPr>
      <w:r>
        <w:rPr>
          <w:rFonts w:ascii="Times New Roman"/>
          <w:sz w:val="18"/>
        </w:rPr>
        <w:t>2007.08.09-2011.09.11</w:t>
      </w:r>
    </w:p>
    <w:p>
      <w:pPr>
        <w:spacing w:line="240" w:lineRule="auto" w:before="0"/>
        <w:rPr>
          <w:rFonts w:ascii="Times New Roman" w:hAnsi="Times New Roman" w:cs="Times New Roman" w:eastAsia="Times New Roman" w:hint="default"/>
          <w:sz w:val="18"/>
          <w:szCs w:val="18"/>
        </w:rPr>
      </w:pPr>
    </w:p>
    <w:p>
      <w:pPr>
        <w:spacing w:before="152"/>
        <w:ind w:left="179" w:right="0" w:firstLine="0"/>
        <w:jc w:val="left"/>
        <w:rPr>
          <w:rFonts w:ascii="Times New Roman" w:hAnsi="Times New Roman" w:cs="Times New Roman" w:eastAsia="Times New Roman" w:hint="default"/>
          <w:sz w:val="18"/>
          <w:szCs w:val="18"/>
        </w:rPr>
      </w:pPr>
      <w:r>
        <w:rPr>
          <w:rFonts w:ascii="Times New Roman"/>
          <w:sz w:val="18"/>
        </w:rPr>
        <w:t>2007.08.31-2011.09.12</w:t>
      </w:r>
    </w:p>
    <w:p>
      <w:pPr>
        <w:spacing w:line="240" w:lineRule="auto" w:before="0"/>
        <w:rPr>
          <w:rFonts w:ascii="Times New Roman" w:hAnsi="Times New Roman" w:cs="Times New Roman" w:eastAsia="Times New Roman" w:hint="default"/>
          <w:sz w:val="18"/>
          <w:szCs w:val="18"/>
        </w:rPr>
      </w:pPr>
    </w:p>
    <w:p>
      <w:pPr>
        <w:spacing w:before="152"/>
        <w:ind w:left="173" w:right="0" w:firstLine="0"/>
        <w:jc w:val="left"/>
        <w:rPr>
          <w:rFonts w:ascii="Times New Roman" w:hAnsi="Times New Roman" w:cs="Times New Roman" w:eastAsia="Times New Roman" w:hint="default"/>
          <w:sz w:val="18"/>
          <w:szCs w:val="18"/>
        </w:rPr>
      </w:pPr>
      <w:r>
        <w:rPr>
          <w:rFonts w:ascii="Times New Roman"/>
          <w:sz w:val="18"/>
        </w:rPr>
        <w:t>2007.08.31-2012.03.12</w:t>
      </w:r>
    </w:p>
    <w:p>
      <w:pPr>
        <w:spacing w:line="240" w:lineRule="auto" w:before="0"/>
        <w:rPr>
          <w:rFonts w:ascii="Times New Roman" w:hAnsi="Times New Roman" w:cs="Times New Roman" w:eastAsia="Times New Roman" w:hint="default"/>
          <w:sz w:val="18"/>
          <w:szCs w:val="18"/>
        </w:rPr>
      </w:pPr>
    </w:p>
    <w:p>
      <w:pPr>
        <w:spacing w:before="151"/>
        <w:ind w:left="185" w:right="0" w:firstLine="0"/>
        <w:jc w:val="left"/>
        <w:rPr>
          <w:rFonts w:ascii="Times New Roman" w:hAnsi="Times New Roman" w:cs="Times New Roman" w:eastAsia="Times New Roman" w:hint="default"/>
          <w:sz w:val="18"/>
          <w:szCs w:val="18"/>
        </w:rPr>
      </w:pPr>
      <w:r>
        <w:rPr>
          <w:rFonts w:ascii="Times New Roman"/>
          <w:sz w:val="18"/>
        </w:rPr>
        <w:t>2007.11.02-2011.09.02</w:t>
      </w:r>
    </w:p>
    <w:p>
      <w:pPr>
        <w:spacing w:after="0"/>
        <w:jc w:val="left"/>
        <w:rPr>
          <w:rFonts w:ascii="Times New Roman" w:hAnsi="Times New Roman" w:cs="Times New Roman" w:eastAsia="Times New Roman" w:hint="default"/>
          <w:sz w:val="18"/>
          <w:szCs w:val="18"/>
        </w:rPr>
        <w:sectPr>
          <w:type w:val="continuous"/>
          <w:pgSz w:w="11910" w:h="16840"/>
          <w:pgMar w:top="1600" w:bottom="280" w:left="880" w:right="760"/>
          <w:cols w:num="3" w:equalWidth="0">
            <w:col w:w="5281" w:space="40"/>
            <w:col w:w="2139" w:space="40"/>
            <w:col w:w="2770"/>
          </w:cols>
        </w:sectPr>
      </w:pPr>
    </w:p>
    <w:p>
      <w:pPr>
        <w:tabs>
          <w:tab w:pos="5652" w:val="left" w:leader="none"/>
        </w:tabs>
        <w:spacing w:line="300" w:lineRule="exact" w:before="0"/>
        <w:ind w:left="1822"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tab/>
        <w:t>约 </w:t>
      </w:r>
      <w:r>
        <w:rPr>
          <w:rFonts w:ascii="Times New Roman" w:hAnsi="Times New Roman" w:cs="Times New Roman" w:eastAsia="Times New Roman" w:hint="default"/>
          <w:b/>
          <w:bCs/>
          <w:sz w:val="18"/>
          <w:szCs w:val="18"/>
        </w:rPr>
        <w:t>258,610.87</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万人民币</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30" w:lineRule="exact"/>
        <w:ind w:left="787"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434.5pt;height:1.5pt;mso-position-horizontal-relative:char;mso-position-vertical-relative:line" coordorigin="0,0" coordsize="8690,30">
            <v:group style="position:absolute;left:15;top:15;width:2391;height:2" coordorigin="15,15" coordsize="2391,2">
              <v:shape style="position:absolute;left:15;top:15;width:2391;height:2" coordorigin="15,15" coordsize="2391,0" path="m15,15l2405,15e" filled="false" stroked="true" strokeweight="1.5pt" strokecolor="#000000">
                <v:path arrowok="t"/>
              </v:shape>
            </v:group>
            <v:group style="position:absolute;left:2391;top:15;width:2368;height:2" coordorigin="2391,15" coordsize="2368,2">
              <v:shape style="position:absolute;left:2391;top:15;width:2368;height:2" coordorigin="2391,15" coordsize="2368,0" path="m2391,15l4759,15e" filled="false" stroked="true" strokeweight="1.5pt" strokecolor="#000000">
                <v:path arrowok="t"/>
              </v:shape>
            </v:group>
            <v:group style="position:absolute;left:4744;top:15;width:2034;height:2" coordorigin="4744,15" coordsize="2034,2">
              <v:shape style="position:absolute;left:4744;top:15;width:2034;height:2" coordorigin="4744,15" coordsize="2034,0" path="m4744,15l6778,15e" filled="false" stroked="true" strokeweight="1.5pt" strokecolor="#000000">
                <v:path arrowok="t"/>
              </v:shape>
            </v:group>
            <v:group style="position:absolute;left:6764;top:15;width:1911;height:2" coordorigin="6764,15" coordsize="1911,2">
              <v:shape style="position:absolute;left:6764;top:15;width:1911;height:2" coordorigin="6764,15" coordsize="1911,0" path="m6764,15l8674,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line="240" w:lineRule="auto" w:before="11"/>
        <w:rPr>
          <w:rFonts w:ascii="Microsoft JhengHei" w:hAnsi="Microsoft JhengHei" w:cs="Microsoft JhengHei" w:eastAsia="Microsoft JhengHei" w:hint="default"/>
          <w:b/>
          <w:bCs/>
          <w:sz w:val="3"/>
          <w:szCs w:val="3"/>
        </w:rPr>
      </w:pPr>
    </w:p>
    <w:p>
      <w:pPr>
        <w:spacing w:before="31"/>
        <w:ind w:left="99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控股子公司之间提供担保</w:t>
      </w:r>
    </w:p>
    <w:p>
      <w:pPr>
        <w:spacing w:line="307" w:lineRule="auto" w:before="163"/>
        <w:ind w:left="538" w:right="0"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43"/>
          <w:sz w:val="22"/>
          <w:szCs w:val="22"/>
        </w:rPr>
        <w:t> </w:t>
      </w:r>
      <w:r>
        <w:rPr>
          <w:rFonts w:ascii="楷体" w:hAnsi="楷体" w:cs="楷体" w:eastAsia="楷体" w:hint="default"/>
          <w:sz w:val="22"/>
          <w:szCs w:val="22"/>
        </w:rPr>
        <w:t>截至</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w:t>
      </w:r>
      <w:r>
        <w:rPr>
          <w:rFonts w:ascii="楷体" w:hAnsi="楷体" w:cs="楷体" w:eastAsia="楷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月</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日，公司持股</w:t>
      </w:r>
      <w:r>
        <w:rPr>
          <w:rFonts w:ascii="楷体" w:hAnsi="楷体" w:cs="楷体" w:eastAsia="楷体" w:hint="default"/>
          <w:spacing w:val="-51"/>
          <w:sz w:val="22"/>
          <w:szCs w:val="22"/>
        </w:rPr>
        <w:t> </w:t>
      </w:r>
      <w:r>
        <w:rPr>
          <w:rFonts w:ascii="Times New Roman" w:hAnsi="Times New Roman" w:cs="Times New Roman" w:eastAsia="Times New Roman" w:hint="default"/>
          <w:sz w:val="22"/>
          <w:szCs w:val="22"/>
        </w:rPr>
        <w:t>76%</w:t>
      </w:r>
      <w:r>
        <w:rPr>
          <w:rFonts w:ascii="楷体" w:hAnsi="楷体" w:cs="楷体" w:eastAsia="楷体" w:hint="default"/>
          <w:sz w:val="22"/>
          <w:szCs w:val="22"/>
        </w:rPr>
        <w:t>的同方威视技术股份有限公司以保证方式为其</w:t>
      </w:r>
      <w:r>
        <w:rPr>
          <w:rFonts w:ascii="楷体" w:hAnsi="楷体" w:cs="楷体" w:eastAsia="楷体" w:hint="default"/>
          <w:w w:val="99"/>
          <w:sz w:val="22"/>
          <w:szCs w:val="22"/>
        </w:rPr>
        <w:t> </w:t>
      </w:r>
      <w:r>
        <w:rPr>
          <w:rFonts w:ascii="楷体" w:hAnsi="楷体" w:cs="楷体" w:eastAsia="楷体" w:hint="default"/>
          <w:sz w:val="22"/>
          <w:szCs w:val="22"/>
        </w:rPr>
        <w:t>下属持股</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72%</w:t>
      </w:r>
      <w:r>
        <w:rPr>
          <w:rFonts w:ascii="楷体" w:hAnsi="楷体" w:cs="楷体" w:eastAsia="楷体" w:hint="default"/>
          <w:sz w:val="22"/>
          <w:szCs w:val="22"/>
        </w:rPr>
        <w:t>的子公司北京威视数据系统有限公司的下列银行借款提供连带责任担保：</w:t>
      </w:r>
    </w:p>
    <w:p>
      <w:pPr>
        <w:spacing w:line="240" w:lineRule="auto" w:before="2"/>
        <w:rPr>
          <w:rFonts w:ascii="楷体" w:hAnsi="楷体" w:cs="楷体" w:eastAsia="楷体" w:hint="default"/>
          <w:sz w:val="7"/>
          <w:szCs w:val="7"/>
        </w:rPr>
      </w:pPr>
    </w:p>
    <w:tbl>
      <w:tblPr>
        <w:tblW w:w="0" w:type="auto"/>
        <w:jc w:val="left"/>
        <w:tblInd w:w="816" w:type="dxa"/>
        <w:tblLayout w:type="fixed"/>
        <w:tblCellMar>
          <w:top w:w="0" w:type="dxa"/>
          <w:left w:w="0" w:type="dxa"/>
          <w:bottom w:w="0" w:type="dxa"/>
          <w:right w:w="0" w:type="dxa"/>
        </w:tblCellMar>
        <w:tblLook w:val="01E0"/>
      </w:tblPr>
      <w:tblGrid>
        <w:gridCol w:w="2222"/>
        <w:gridCol w:w="1963"/>
        <w:gridCol w:w="2352"/>
        <w:gridCol w:w="2101"/>
      </w:tblGrid>
      <w:tr>
        <w:trPr>
          <w:trHeight w:val="303" w:hRule="exact"/>
        </w:trPr>
        <w:tc>
          <w:tcPr>
            <w:tcW w:w="2222"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96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5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35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10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303" w:hRule="exact"/>
        </w:trPr>
        <w:tc>
          <w:tcPr>
            <w:tcW w:w="2222"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北京银行清华园支行</w:t>
            </w:r>
          </w:p>
        </w:tc>
        <w:tc>
          <w:tcPr>
            <w:tcW w:w="1963"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60" w:right="0"/>
              <w:jc w:val="center"/>
              <w:rPr>
                <w:rFonts w:ascii="楷体" w:hAnsi="楷体" w:cs="楷体" w:eastAsia="楷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95" w:right="0"/>
              <w:jc w:val="center"/>
              <w:rPr>
                <w:rFonts w:ascii="Times New Roman" w:hAnsi="Times New Roman" w:cs="Times New Roman" w:eastAsia="Times New Roman" w:hint="default"/>
                <w:sz w:val="18"/>
                <w:szCs w:val="18"/>
              </w:rPr>
            </w:pPr>
            <w:r>
              <w:rPr>
                <w:rFonts w:ascii="Times New Roman"/>
                <w:sz w:val="18"/>
              </w:rPr>
              <w:t>2008.09.04-2009.09.04</w:t>
            </w:r>
          </w:p>
        </w:tc>
        <w:tc>
          <w:tcPr>
            <w:tcW w:w="21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47" w:right="0"/>
              <w:jc w:val="center"/>
              <w:rPr>
                <w:rFonts w:ascii="Times New Roman" w:hAnsi="Times New Roman" w:cs="Times New Roman" w:eastAsia="Times New Roman" w:hint="default"/>
                <w:sz w:val="18"/>
                <w:szCs w:val="18"/>
              </w:rPr>
            </w:pPr>
            <w:r>
              <w:rPr>
                <w:rFonts w:ascii="Times New Roman"/>
                <w:sz w:val="18"/>
              </w:rPr>
              <w:t>2008.09.04-2011.09.04</w:t>
            </w:r>
          </w:p>
        </w:tc>
      </w:tr>
    </w:tbl>
    <w:p>
      <w:pPr>
        <w:spacing w:before="79"/>
        <w:ind w:left="1106"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42"/>
          <w:sz w:val="22"/>
          <w:szCs w:val="22"/>
        </w:rPr>
        <w:t> </w:t>
      </w:r>
      <w:r>
        <w:rPr>
          <w:rFonts w:ascii="楷体" w:hAnsi="楷体" w:cs="楷体" w:eastAsia="楷体" w:hint="default"/>
          <w:sz w:val="22"/>
          <w:szCs w:val="22"/>
        </w:rPr>
        <w:t>截至</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年</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月</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楷体" w:hAnsi="楷体" w:cs="楷体" w:eastAsia="楷体" w:hint="default"/>
          <w:spacing w:val="-14"/>
          <w:sz w:val="22"/>
          <w:szCs w:val="22"/>
        </w:rPr>
        <w:t>日，公司持股</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100%</w:t>
      </w:r>
      <w:r>
        <w:rPr>
          <w:rFonts w:ascii="楷体" w:hAnsi="楷体" w:cs="楷体" w:eastAsia="楷体" w:hint="default"/>
          <w:sz w:val="22"/>
          <w:szCs w:val="22"/>
        </w:rPr>
        <w:t>的同方工业有限公司以保证方式为其下属持股</w:t>
      </w:r>
    </w:p>
    <w:p>
      <w:pPr>
        <w:spacing w:before="85"/>
        <w:ind w:left="538" w:right="0" w:firstLine="0"/>
        <w:jc w:val="left"/>
        <w:rPr>
          <w:rFonts w:ascii="楷体" w:hAnsi="楷体" w:cs="楷体" w:eastAsia="楷体" w:hint="default"/>
          <w:sz w:val="22"/>
          <w:szCs w:val="22"/>
        </w:rPr>
      </w:pPr>
      <w:r>
        <w:rPr>
          <w:rFonts w:ascii="Times New Roman" w:hAnsi="Times New Roman" w:cs="Times New Roman" w:eastAsia="Times New Roman" w:hint="default"/>
          <w:sz w:val="22"/>
          <w:szCs w:val="22"/>
        </w:rPr>
        <w:t>100%</w:t>
      </w:r>
      <w:r>
        <w:rPr>
          <w:rFonts w:ascii="楷体" w:hAnsi="楷体" w:cs="楷体" w:eastAsia="楷体" w:hint="default"/>
          <w:sz w:val="22"/>
          <w:szCs w:val="22"/>
        </w:rPr>
        <w:t>的子公司同方江新造船有限公司的下列银行借款提供连带责任担保：</w:t>
      </w:r>
    </w:p>
    <w:p>
      <w:pPr>
        <w:spacing w:line="240" w:lineRule="auto" w:before="5"/>
        <w:rPr>
          <w:rFonts w:ascii="楷体" w:hAnsi="楷体" w:cs="楷体" w:eastAsia="楷体" w:hint="default"/>
          <w:sz w:val="12"/>
          <w:szCs w:val="12"/>
        </w:rPr>
      </w:pPr>
    </w:p>
    <w:tbl>
      <w:tblPr>
        <w:tblW w:w="0" w:type="auto"/>
        <w:jc w:val="left"/>
        <w:tblInd w:w="816" w:type="dxa"/>
        <w:tblLayout w:type="fixed"/>
        <w:tblCellMar>
          <w:top w:w="0" w:type="dxa"/>
          <w:left w:w="0" w:type="dxa"/>
          <w:bottom w:w="0" w:type="dxa"/>
          <w:right w:w="0" w:type="dxa"/>
        </w:tblCellMar>
        <w:tblLook w:val="01E0"/>
      </w:tblPr>
      <w:tblGrid>
        <w:gridCol w:w="2093"/>
        <w:gridCol w:w="2092"/>
        <w:gridCol w:w="2350"/>
        <w:gridCol w:w="2103"/>
      </w:tblGrid>
      <w:tr>
        <w:trPr>
          <w:trHeight w:val="303" w:hRule="exact"/>
        </w:trPr>
        <w:tc>
          <w:tcPr>
            <w:tcW w:w="209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2092"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54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35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10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287" w:hRule="exact"/>
        </w:trPr>
        <w:tc>
          <w:tcPr>
            <w:tcW w:w="209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九江市商业银行</w:t>
            </w:r>
          </w:p>
        </w:tc>
        <w:tc>
          <w:tcPr>
            <w:tcW w:w="2092" w:type="dxa"/>
            <w:tcBorders>
              <w:top w:val="single" w:sz="4" w:space="0" w:color="000000"/>
              <w:left w:val="nil" w:sz="6" w:space="0" w:color="auto"/>
              <w:bottom w:val="nil" w:sz="6" w:space="0" w:color="auto"/>
              <w:right w:val="nil" w:sz="6" w:space="0" w:color="auto"/>
            </w:tcBorders>
          </w:tcPr>
          <w:p>
            <w:pPr>
              <w:pStyle w:val="TableParagraph"/>
              <w:spacing w:line="239" w:lineRule="exact"/>
              <w:ind w:right="431"/>
              <w:jc w:val="right"/>
              <w:rPr>
                <w:rFonts w:ascii="楷体" w:hAnsi="楷体" w:cs="楷体" w:eastAsia="楷体" w:hint="default"/>
                <w:sz w:val="18"/>
                <w:szCs w:val="18"/>
              </w:rPr>
            </w:pP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35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97" w:right="0"/>
              <w:jc w:val="center"/>
              <w:rPr>
                <w:rFonts w:ascii="Times New Roman" w:hAnsi="Times New Roman" w:cs="Times New Roman" w:eastAsia="Times New Roman" w:hint="default"/>
                <w:sz w:val="18"/>
                <w:szCs w:val="18"/>
              </w:rPr>
            </w:pPr>
            <w:r>
              <w:rPr>
                <w:rFonts w:ascii="Times New Roman"/>
                <w:sz w:val="18"/>
              </w:rPr>
              <w:t>2007.08.16-2009.08.15</w:t>
            </w: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49" w:right="0"/>
              <w:jc w:val="center"/>
              <w:rPr>
                <w:rFonts w:ascii="Times New Roman" w:hAnsi="Times New Roman" w:cs="Times New Roman" w:eastAsia="Times New Roman" w:hint="default"/>
                <w:sz w:val="18"/>
                <w:szCs w:val="18"/>
              </w:rPr>
            </w:pPr>
            <w:r>
              <w:rPr>
                <w:rFonts w:ascii="Times New Roman"/>
                <w:sz w:val="18"/>
              </w:rPr>
              <w:t>2007.08.16-2011.08.15</w:t>
            </w:r>
          </w:p>
        </w:tc>
      </w:tr>
      <w:tr>
        <w:trPr>
          <w:trHeight w:val="283"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九江市商业银行</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exact"/>
              <w:ind w:right="431"/>
              <w:jc w:val="right"/>
              <w:rPr>
                <w:rFonts w:ascii="楷体" w:hAnsi="楷体" w:cs="楷体" w:eastAsia="楷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97" w:right="0"/>
              <w:jc w:val="center"/>
              <w:rPr>
                <w:rFonts w:ascii="Times New Roman" w:hAnsi="Times New Roman" w:cs="Times New Roman" w:eastAsia="Times New Roman" w:hint="default"/>
                <w:sz w:val="18"/>
                <w:szCs w:val="18"/>
              </w:rPr>
            </w:pPr>
            <w:r>
              <w:rPr>
                <w:rFonts w:ascii="Times New Roman"/>
                <w:sz w:val="18"/>
              </w:rPr>
              <w:t>2008.06.13-2009.06.12</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9" w:right="0"/>
              <w:jc w:val="center"/>
              <w:rPr>
                <w:rFonts w:ascii="Times New Roman" w:hAnsi="Times New Roman" w:cs="Times New Roman" w:eastAsia="Times New Roman" w:hint="default"/>
                <w:sz w:val="18"/>
                <w:szCs w:val="18"/>
              </w:rPr>
            </w:pPr>
            <w:r>
              <w:rPr>
                <w:rFonts w:ascii="Times New Roman"/>
                <w:sz w:val="18"/>
              </w:rPr>
              <w:t>2008.06.13-2011.06.12</w:t>
            </w:r>
          </w:p>
        </w:tc>
      </w:tr>
      <w:tr>
        <w:trPr>
          <w:trHeight w:val="283"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九江市商业银行</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exact"/>
              <w:ind w:right="431"/>
              <w:jc w:val="right"/>
              <w:rPr>
                <w:rFonts w:ascii="楷体" w:hAnsi="楷体" w:cs="楷体" w:eastAsia="楷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97" w:right="0"/>
              <w:jc w:val="center"/>
              <w:rPr>
                <w:rFonts w:ascii="Times New Roman" w:hAnsi="Times New Roman" w:cs="Times New Roman" w:eastAsia="Times New Roman" w:hint="default"/>
                <w:sz w:val="18"/>
                <w:szCs w:val="18"/>
              </w:rPr>
            </w:pPr>
            <w:r>
              <w:rPr>
                <w:rFonts w:ascii="Times New Roman"/>
                <w:sz w:val="18"/>
              </w:rPr>
              <w:t>2007.03.17-2010.05.16</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9" w:right="0"/>
              <w:jc w:val="center"/>
              <w:rPr>
                <w:rFonts w:ascii="Times New Roman" w:hAnsi="Times New Roman" w:cs="Times New Roman" w:eastAsia="Times New Roman" w:hint="default"/>
                <w:sz w:val="18"/>
                <w:szCs w:val="18"/>
              </w:rPr>
            </w:pPr>
            <w:r>
              <w:rPr>
                <w:rFonts w:ascii="Times New Roman"/>
                <w:sz w:val="18"/>
              </w:rPr>
              <w:t>2007.03.17-2012.05.16</w:t>
            </w:r>
          </w:p>
        </w:tc>
      </w:tr>
      <w:tr>
        <w:trPr>
          <w:trHeight w:val="289" w:hRule="exact"/>
        </w:trPr>
        <w:tc>
          <w:tcPr>
            <w:tcW w:w="2093"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九江市商业银行</w:t>
            </w:r>
          </w:p>
        </w:tc>
        <w:tc>
          <w:tcPr>
            <w:tcW w:w="2092" w:type="dxa"/>
            <w:tcBorders>
              <w:top w:val="nil" w:sz="6" w:space="0" w:color="auto"/>
              <w:left w:val="nil" w:sz="6" w:space="0" w:color="auto"/>
              <w:bottom w:val="single" w:sz="4" w:space="0" w:color="000000"/>
              <w:right w:val="nil" w:sz="6" w:space="0" w:color="auto"/>
            </w:tcBorders>
          </w:tcPr>
          <w:p>
            <w:pPr>
              <w:pStyle w:val="TableParagraph"/>
              <w:spacing w:line="240" w:lineRule="exact"/>
              <w:ind w:right="431"/>
              <w:jc w:val="right"/>
              <w:rPr>
                <w:rFonts w:ascii="楷体" w:hAnsi="楷体" w:cs="楷体" w:eastAsia="楷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35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97" w:right="0"/>
              <w:jc w:val="center"/>
              <w:rPr>
                <w:rFonts w:ascii="Times New Roman" w:hAnsi="Times New Roman" w:cs="Times New Roman" w:eastAsia="Times New Roman" w:hint="default"/>
                <w:sz w:val="18"/>
                <w:szCs w:val="18"/>
              </w:rPr>
            </w:pPr>
            <w:r>
              <w:rPr>
                <w:rFonts w:ascii="Times New Roman"/>
                <w:sz w:val="18"/>
              </w:rPr>
              <w:t>2008.02.14-2010.05.13</w:t>
            </w:r>
          </w:p>
        </w:tc>
        <w:tc>
          <w:tcPr>
            <w:tcW w:w="210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49" w:right="0"/>
              <w:jc w:val="center"/>
              <w:rPr>
                <w:rFonts w:ascii="Times New Roman" w:hAnsi="Times New Roman" w:cs="Times New Roman" w:eastAsia="Times New Roman" w:hint="default"/>
                <w:sz w:val="18"/>
                <w:szCs w:val="18"/>
              </w:rPr>
            </w:pPr>
            <w:r>
              <w:rPr>
                <w:rFonts w:ascii="Times New Roman"/>
                <w:sz w:val="18"/>
              </w:rPr>
              <w:t>2008.02.14-2012.05.13</w:t>
            </w:r>
          </w:p>
        </w:tc>
      </w:tr>
      <w:tr>
        <w:trPr>
          <w:trHeight w:val="303" w:hRule="exact"/>
        </w:trPr>
        <w:tc>
          <w:tcPr>
            <w:tcW w:w="2093"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3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092"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431"/>
              <w:jc w:val="righ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5,000.00</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350" w:type="dxa"/>
            <w:tcBorders>
              <w:top w:val="single" w:sz="4" w:space="0" w:color="000000"/>
              <w:left w:val="nil" w:sz="6" w:space="0" w:color="auto"/>
              <w:bottom w:val="single" w:sz="12" w:space="0" w:color="000000"/>
              <w:right w:val="nil" w:sz="6" w:space="0" w:color="auto"/>
            </w:tcBorders>
          </w:tcPr>
          <w:p>
            <w:pPr/>
          </w:p>
        </w:tc>
        <w:tc>
          <w:tcPr>
            <w:tcW w:w="2103" w:type="dxa"/>
            <w:tcBorders>
              <w:top w:val="single" w:sz="4" w:space="0" w:color="000000"/>
              <w:left w:val="nil" w:sz="6" w:space="0" w:color="auto"/>
              <w:bottom w:val="single" w:sz="12" w:space="0" w:color="000000"/>
              <w:right w:val="nil" w:sz="6" w:space="0" w:color="auto"/>
            </w:tcBorders>
          </w:tcPr>
          <w:p>
            <w:pPr/>
          </w:p>
        </w:tc>
      </w:tr>
    </w:tbl>
    <w:p>
      <w:pPr>
        <w:spacing w:line="307" w:lineRule="auto" w:before="79"/>
        <w:ind w:left="538" w:right="0"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43"/>
          <w:sz w:val="22"/>
          <w:szCs w:val="22"/>
        </w:rPr>
        <w:t> </w:t>
      </w:r>
      <w:r>
        <w:rPr>
          <w:rFonts w:ascii="楷体" w:hAnsi="楷体" w:cs="楷体" w:eastAsia="楷体" w:hint="default"/>
          <w:sz w:val="22"/>
          <w:szCs w:val="22"/>
        </w:rPr>
        <w:t>截至</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w:t>
      </w:r>
      <w:r>
        <w:rPr>
          <w:rFonts w:ascii="楷体" w:hAnsi="楷体" w:cs="楷体" w:eastAsia="楷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月</w:t>
      </w:r>
      <w:r>
        <w:rPr>
          <w:rFonts w:ascii="楷体" w:hAnsi="楷体" w:cs="楷体" w:eastAsia="楷体" w:hint="default"/>
          <w:spacing w:val="-53"/>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日，公司持股</w:t>
      </w:r>
      <w:r>
        <w:rPr>
          <w:rFonts w:ascii="楷体" w:hAnsi="楷体" w:cs="楷体" w:eastAsia="楷体" w:hint="default"/>
          <w:spacing w:val="-51"/>
          <w:sz w:val="22"/>
          <w:szCs w:val="22"/>
        </w:rPr>
        <w:t> </w:t>
      </w:r>
      <w:r>
        <w:rPr>
          <w:rFonts w:ascii="Times New Roman" w:hAnsi="Times New Roman" w:cs="Times New Roman" w:eastAsia="Times New Roman" w:hint="default"/>
          <w:sz w:val="22"/>
          <w:szCs w:val="22"/>
        </w:rPr>
        <w:t>97%</w:t>
      </w:r>
      <w:r>
        <w:rPr>
          <w:rFonts w:ascii="楷体" w:hAnsi="楷体" w:cs="楷体" w:eastAsia="楷体" w:hint="default"/>
          <w:sz w:val="22"/>
          <w:szCs w:val="22"/>
        </w:rPr>
        <w:t>的山东同方鲁颖电子有限公司以保证方式为其</w:t>
      </w:r>
      <w:r>
        <w:rPr>
          <w:rFonts w:ascii="楷体" w:hAnsi="楷体" w:cs="楷体" w:eastAsia="楷体" w:hint="default"/>
          <w:w w:val="99"/>
          <w:sz w:val="22"/>
          <w:szCs w:val="22"/>
        </w:rPr>
        <w:t> </w:t>
      </w:r>
      <w:r>
        <w:rPr>
          <w:rFonts w:ascii="楷体" w:hAnsi="楷体" w:cs="楷体" w:eastAsia="楷体" w:hint="default"/>
          <w:sz w:val="22"/>
          <w:szCs w:val="22"/>
        </w:rPr>
        <w:t>下属控股子公司沂南同皓电子元件有限公司的下列银行借款提供连带责任担保：</w:t>
      </w:r>
    </w:p>
    <w:p>
      <w:pPr>
        <w:spacing w:line="240" w:lineRule="auto" w:before="12"/>
        <w:rPr>
          <w:rFonts w:ascii="楷体" w:hAnsi="楷体" w:cs="楷体" w:eastAsia="楷体" w:hint="default"/>
          <w:sz w:val="8"/>
          <w:szCs w:val="8"/>
        </w:rPr>
      </w:pPr>
    </w:p>
    <w:tbl>
      <w:tblPr>
        <w:tblW w:w="0" w:type="auto"/>
        <w:jc w:val="left"/>
        <w:tblInd w:w="816" w:type="dxa"/>
        <w:tblLayout w:type="fixed"/>
        <w:tblCellMar>
          <w:top w:w="0" w:type="dxa"/>
          <w:left w:w="0" w:type="dxa"/>
          <w:bottom w:w="0" w:type="dxa"/>
          <w:right w:w="0" w:type="dxa"/>
        </w:tblCellMar>
        <w:tblLook w:val="01E0"/>
      </w:tblPr>
      <w:tblGrid>
        <w:gridCol w:w="2302"/>
        <w:gridCol w:w="1868"/>
        <w:gridCol w:w="2360"/>
        <w:gridCol w:w="2107"/>
      </w:tblGrid>
      <w:tr>
        <w:trPr>
          <w:trHeight w:val="303" w:hRule="exact"/>
        </w:trPr>
        <w:tc>
          <w:tcPr>
            <w:tcW w:w="2302"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3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86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36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10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287" w:hRule="exact"/>
        </w:trPr>
        <w:tc>
          <w:tcPr>
            <w:tcW w:w="2302"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中国农业银行沂南支行</w:t>
            </w:r>
          </w:p>
        </w:tc>
        <w:tc>
          <w:tcPr>
            <w:tcW w:w="1868" w:type="dxa"/>
            <w:tcBorders>
              <w:top w:val="single" w:sz="4" w:space="0" w:color="000000"/>
              <w:left w:val="nil" w:sz="6" w:space="0" w:color="auto"/>
              <w:bottom w:val="nil" w:sz="6" w:space="0" w:color="auto"/>
              <w:right w:val="nil" w:sz="6" w:space="0" w:color="auto"/>
            </w:tcBorders>
          </w:tcPr>
          <w:p>
            <w:pPr>
              <w:pStyle w:val="TableParagraph"/>
              <w:spacing w:line="239" w:lineRule="exact"/>
              <w:ind w:right="434"/>
              <w:jc w:val="right"/>
              <w:rPr>
                <w:rFonts w:ascii="楷体" w:hAnsi="楷体" w:cs="楷体" w:eastAsia="楷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36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94" w:right="0"/>
              <w:jc w:val="center"/>
              <w:rPr>
                <w:rFonts w:ascii="Times New Roman" w:hAnsi="Times New Roman" w:cs="Times New Roman" w:eastAsia="Times New Roman" w:hint="default"/>
                <w:sz w:val="18"/>
                <w:szCs w:val="18"/>
              </w:rPr>
            </w:pPr>
            <w:r>
              <w:rPr>
                <w:rFonts w:ascii="Times New Roman"/>
                <w:sz w:val="18"/>
              </w:rPr>
              <w:t>2008.02.28-2009.02.15</w:t>
            </w:r>
          </w:p>
        </w:tc>
        <w:tc>
          <w:tcPr>
            <w:tcW w:w="210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51" w:right="0"/>
              <w:jc w:val="center"/>
              <w:rPr>
                <w:rFonts w:ascii="Times New Roman" w:hAnsi="Times New Roman" w:cs="Times New Roman" w:eastAsia="Times New Roman" w:hint="default"/>
                <w:sz w:val="18"/>
                <w:szCs w:val="18"/>
              </w:rPr>
            </w:pPr>
            <w:r>
              <w:rPr>
                <w:rFonts w:ascii="Times New Roman"/>
                <w:sz w:val="18"/>
              </w:rPr>
              <w:t>2008.02.28-2011.02.15</w:t>
            </w:r>
          </w:p>
        </w:tc>
      </w:tr>
      <w:tr>
        <w:trPr>
          <w:trHeight w:val="283"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中国农业银行沂南支行</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exact"/>
              <w:ind w:right="434"/>
              <w:jc w:val="right"/>
              <w:rPr>
                <w:rFonts w:ascii="楷体" w:hAnsi="楷体" w:cs="楷体" w:eastAsia="楷体" w:hint="default"/>
                <w:sz w:val="18"/>
                <w:szCs w:val="18"/>
              </w:rPr>
            </w:pPr>
            <w:r>
              <w:rPr>
                <w:rFonts w:ascii="Times New Roman" w:hAnsi="Times New Roman" w:cs="Times New Roman" w:eastAsia="Times New Roman" w:hint="default"/>
                <w:sz w:val="18"/>
                <w:szCs w:val="18"/>
              </w:rPr>
              <w:t>1,200.00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94" w:right="0"/>
              <w:jc w:val="center"/>
              <w:rPr>
                <w:rFonts w:ascii="Times New Roman" w:hAnsi="Times New Roman" w:cs="Times New Roman" w:eastAsia="Times New Roman" w:hint="default"/>
                <w:sz w:val="18"/>
                <w:szCs w:val="18"/>
              </w:rPr>
            </w:pPr>
            <w:r>
              <w:rPr>
                <w:rFonts w:ascii="Times New Roman"/>
                <w:sz w:val="18"/>
              </w:rPr>
              <w:t>2008.10.31-2009.10.30</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1" w:right="0"/>
              <w:jc w:val="center"/>
              <w:rPr>
                <w:rFonts w:ascii="Times New Roman" w:hAnsi="Times New Roman" w:cs="Times New Roman" w:eastAsia="Times New Roman" w:hint="default"/>
                <w:sz w:val="18"/>
                <w:szCs w:val="18"/>
              </w:rPr>
            </w:pPr>
            <w:r>
              <w:rPr>
                <w:rFonts w:ascii="Times New Roman"/>
                <w:sz w:val="18"/>
              </w:rPr>
              <w:t>2008.10.31-2011.10.30</w:t>
            </w:r>
          </w:p>
        </w:tc>
      </w:tr>
      <w:tr>
        <w:trPr>
          <w:trHeight w:val="288" w:hRule="exact"/>
        </w:trPr>
        <w:tc>
          <w:tcPr>
            <w:tcW w:w="2302"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中国农业银行沂南支行</w:t>
            </w:r>
          </w:p>
        </w:tc>
        <w:tc>
          <w:tcPr>
            <w:tcW w:w="1868" w:type="dxa"/>
            <w:tcBorders>
              <w:top w:val="nil" w:sz="6" w:space="0" w:color="auto"/>
              <w:left w:val="nil" w:sz="6" w:space="0" w:color="auto"/>
              <w:bottom w:val="single" w:sz="4" w:space="0" w:color="000000"/>
              <w:right w:val="nil" w:sz="6" w:space="0" w:color="auto"/>
            </w:tcBorders>
          </w:tcPr>
          <w:p>
            <w:pPr>
              <w:pStyle w:val="TableParagraph"/>
              <w:spacing w:line="240" w:lineRule="exact"/>
              <w:ind w:right="434"/>
              <w:jc w:val="right"/>
              <w:rPr>
                <w:rFonts w:ascii="楷体" w:hAnsi="楷体" w:cs="楷体" w:eastAsia="楷体" w:hint="default"/>
                <w:sz w:val="18"/>
                <w:szCs w:val="18"/>
              </w:rPr>
            </w:pP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36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94" w:right="0"/>
              <w:jc w:val="center"/>
              <w:rPr>
                <w:rFonts w:ascii="Times New Roman" w:hAnsi="Times New Roman" w:cs="Times New Roman" w:eastAsia="Times New Roman" w:hint="default"/>
                <w:sz w:val="18"/>
                <w:szCs w:val="18"/>
              </w:rPr>
            </w:pPr>
            <w:r>
              <w:rPr>
                <w:rFonts w:ascii="Times New Roman"/>
                <w:sz w:val="18"/>
              </w:rPr>
              <w:t>2008.11.28-2009.11.27</w:t>
            </w:r>
          </w:p>
        </w:tc>
        <w:tc>
          <w:tcPr>
            <w:tcW w:w="210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49" w:right="0"/>
              <w:jc w:val="center"/>
              <w:rPr>
                <w:rFonts w:ascii="Times New Roman" w:hAnsi="Times New Roman" w:cs="Times New Roman" w:eastAsia="Times New Roman" w:hint="default"/>
                <w:sz w:val="18"/>
                <w:szCs w:val="18"/>
              </w:rPr>
            </w:pPr>
            <w:r>
              <w:rPr>
                <w:rFonts w:ascii="Times New Roman"/>
                <w:sz w:val="18"/>
              </w:rPr>
              <w:t>2008.11.28-2011.11.27</w:t>
            </w:r>
          </w:p>
        </w:tc>
      </w:tr>
      <w:tr>
        <w:trPr>
          <w:trHeight w:val="304" w:hRule="exact"/>
        </w:trPr>
        <w:tc>
          <w:tcPr>
            <w:tcW w:w="2302"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3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868"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434"/>
              <w:jc w:val="righ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3,000.00</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360" w:type="dxa"/>
            <w:tcBorders>
              <w:top w:val="single" w:sz="4" w:space="0" w:color="000000"/>
              <w:left w:val="nil" w:sz="6" w:space="0" w:color="auto"/>
              <w:bottom w:val="single" w:sz="12" w:space="0" w:color="000000"/>
              <w:right w:val="nil" w:sz="6" w:space="0" w:color="auto"/>
            </w:tcBorders>
          </w:tcPr>
          <w:p>
            <w:pPr/>
          </w:p>
        </w:tc>
        <w:tc>
          <w:tcPr>
            <w:tcW w:w="2107" w:type="dxa"/>
            <w:tcBorders>
              <w:top w:val="single" w:sz="4" w:space="0" w:color="000000"/>
              <w:left w:val="nil" w:sz="6" w:space="0" w:color="auto"/>
              <w:bottom w:val="single" w:sz="12" w:space="0" w:color="000000"/>
              <w:right w:val="nil" w:sz="6" w:space="0" w:color="auto"/>
            </w:tcBorders>
          </w:tcPr>
          <w:p>
            <w:pPr/>
          </w:p>
        </w:tc>
      </w:tr>
    </w:tbl>
    <w:p>
      <w:pPr>
        <w:spacing w:line="307" w:lineRule="auto" w:before="79"/>
        <w:ind w:left="538" w:right="0"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43"/>
          <w:sz w:val="22"/>
          <w:szCs w:val="22"/>
        </w:rPr>
        <w:t> </w:t>
      </w:r>
      <w:r>
        <w:rPr>
          <w:rFonts w:ascii="楷体" w:hAnsi="楷体" w:cs="楷体" w:eastAsia="楷体" w:hint="default"/>
          <w:sz w:val="22"/>
          <w:szCs w:val="22"/>
        </w:rPr>
        <w:t>截至</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楷体" w:hAnsi="楷体" w:cs="楷体" w:eastAsia="楷体" w:hint="default"/>
          <w:spacing w:val="-5"/>
          <w:sz w:val="22"/>
          <w:szCs w:val="22"/>
        </w:rPr>
        <w:t>日，公司持股</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23.37%</w:t>
      </w:r>
      <w:r>
        <w:rPr>
          <w:rFonts w:ascii="楷体" w:hAnsi="楷体" w:cs="楷体" w:eastAsia="楷体" w:hint="default"/>
          <w:sz w:val="22"/>
          <w:szCs w:val="22"/>
        </w:rPr>
        <w:t>的泰豪科技股份有限公司以保证方式对其下</w:t>
      </w:r>
      <w:r>
        <w:rPr>
          <w:rFonts w:ascii="楷体" w:hAnsi="楷体" w:cs="楷体" w:eastAsia="楷体" w:hint="default"/>
          <w:w w:val="99"/>
          <w:sz w:val="22"/>
          <w:szCs w:val="22"/>
        </w:rPr>
        <w:t> </w:t>
      </w:r>
      <w:r>
        <w:rPr>
          <w:rFonts w:ascii="楷体" w:hAnsi="楷体" w:cs="楷体" w:eastAsia="楷体" w:hint="default"/>
          <w:sz w:val="22"/>
          <w:szCs w:val="22"/>
        </w:rPr>
        <w:t>属子公司的以下银行借款提供连带责任担保：</w:t>
      </w:r>
    </w:p>
    <w:p>
      <w:pPr>
        <w:tabs>
          <w:tab w:pos="3886" w:val="left" w:leader="none"/>
          <w:tab w:pos="5802" w:val="left" w:leader="none"/>
          <w:tab w:pos="7266" w:val="left" w:leader="none"/>
          <w:tab w:pos="8976" w:val="left" w:leader="none"/>
        </w:tabs>
        <w:spacing w:before="94"/>
        <w:ind w:left="1108" w:right="0" w:firstLine="0"/>
        <w:jc w:val="left"/>
        <w:rPr>
          <w:rFonts w:ascii="Microsoft JhengHei" w:hAnsi="Microsoft JhengHei" w:cs="Microsoft JhengHei" w:eastAsia="Microsoft JhengHei" w:hint="default"/>
          <w:sz w:val="16"/>
          <w:szCs w:val="16"/>
        </w:rPr>
      </w:pPr>
      <w:r>
        <w:rPr/>
        <w:pict>
          <v:group style="position:absolute;margin-left:49.41pt;margin-top:5.0694pt;width:502.7pt;height:1.5pt;mso-position-horizontal-relative:page;mso-position-vertical-relative:paragraph;z-index:-896488" coordorigin="988,101" coordsize="10054,30">
            <v:group style="position:absolute;left:1003;top:116;width:6634;height:2" coordorigin="1003,116" coordsize="6634,2">
              <v:shape style="position:absolute;left:1003;top:116;width:6634;height:2" coordorigin="1003,116" coordsize="6634,0" path="m1003,116l7637,116e" filled="false" stroked="true" strokeweight="1.5pt" strokecolor="#000000">
                <v:path arrowok="t"/>
              </v:shape>
            </v:group>
            <v:group style="position:absolute;left:7637;top:116;width:1680;height:2" coordorigin="7637,116" coordsize="1680,2">
              <v:shape style="position:absolute;left:7637;top:116;width:1680;height:2" coordorigin="7637,116" coordsize="1680,0" path="m7637,116l9317,116e" filled="false" stroked="true" strokeweight="1.5pt" strokecolor="#000000">
                <v:path arrowok="t"/>
              </v:shape>
            </v:group>
            <v:group style="position:absolute;left:9317;top:116;width:1710;height:2" coordorigin="9317,116" coordsize="1710,2">
              <v:shape style="position:absolute;left:9317;top:116;width:1710;height:2" coordorigin="9317,116" coordsize="1710,0" path="m9317,116l11027,116e" filled="false" stroked="true" strokeweight="1.5pt" strokecolor="#000000">
                <v:path arrowok="t"/>
              </v:shape>
            </v:group>
            <w10:wrap type="none"/>
          </v:group>
        </w:pict>
      </w:r>
      <w:r>
        <w:rPr>
          <w:rFonts w:ascii="Microsoft JhengHei" w:hAnsi="Microsoft JhengHei" w:cs="Microsoft JhengHei" w:eastAsia="Microsoft JhengHei" w:hint="default"/>
          <w:b/>
          <w:bCs/>
          <w:sz w:val="16"/>
          <w:szCs w:val="16"/>
        </w:rPr>
        <w:t>子公司名称</w:t>
        <w:tab/>
        <w:t>贷款银行</w:t>
        <w:tab/>
        <w:t>贷款金额</w:t>
        <w:tab/>
        <w:t>贷款期限</w:t>
        <w:tab/>
        <w:t>保证期间</w:t>
      </w:r>
      <w:r>
        <w:rPr>
          <w:rFonts w:ascii="Microsoft JhengHei" w:hAnsi="Microsoft JhengHei" w:cs="Microsoft JhengHei" w:eastAsia="Microsoft JhengHei" w:hint="default"/>
          <w:sz w:val="16"/>
          <w:szCs w:val="16"/>
        </w:rPr>
      </w:r>
    </w:p>
    <w:p>
      <w:pPr>
        <w:spacing w:line="240" w:lineRule="auto" w:before="7"/>
        <w:rPr>
          <w:rFonts w:ascii="Microsoft JhengHei" w:hAnsi="Microsoft JhengHei" w:cs="Microsoft JhengHei" w:eastAsia="Microsoft JhengHei" w:hint="default"/>
          <w:b/>
          <w:bCs/>
          <w:sz w:val="2"/>
          <w:szCs w:val="2"/>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02.75pt;height:.5pt;mso-position-horizontal-relative:char;mso-position-vertical-relative:line" coordorigin="0,0" coordsize="10055,10">
            <v:group style="position:absolute;left:5;top:5;width:2792;height:2" coordorigin="5,5" coordsize="2792,2">
              <v:shape style="position:absolute;left:5;top:5;width:2792;height:2" coordorigin="5,5" coordsize="2792,0" path="m5,5l2796,5e" filled="false" stroked="true" strokeweight=".48pt" strokecolor="#000000">
                <v:path arrowok="t"/>
              </v:shape>
            </v:group>
            <v:group style="position:absolute;left:2782;top:5;width:2631;height:2" coordorigin="2782,5" coordsize="2631,2">
              <v:shape style="position:absolute;left:2782;top:5;width:2631;height:2" coordorigin="2782,5" coordsize="2631,0" path="m2782,5l5412,5e" filled="false" stroked="true" strokeweight=".48pt" strokecolor="#000000">
                <v:path arrowok="t"/>
              </v:shape>
            </v:group>
            <v:group style="position:absolute;left:5398;top:5;width:1233;height:2" coordorigin="5398,5" coordsize="1233,2">
              <v:shape style="position:absolute;left:5398;top:5;width:1233;height:2" coordorigin="5398,5" coordsize="1233,0" path="m5398,5l6630,5e" filled="false" stroked="true" strokeweight=".48pt" strokecolor="#000000">
                <v:path arrowok="t"/>
              </v:shape>
            </v:group>
            <v:group style="position:absolute;left:6616;top:5;width:1725;height:2" coordorigin="6616,5" coordsize="1725,2">
              <v:shape style="position:absolute;left:6616;top:5;width:1725;height:2" coordorigin="6616,5" coordsize="1725,0" path="m6616,5l8340,5e" filled="false" stroked="true" strokeweight=".48pt" strokecolor="#000000">
                <v:path arrowok="t"/>
              </v:shape>
            </v:group>
            <v:group style="position:absolute;left:8326;top:5;width:1725;height:2" coordorigin="8326,5" coordsize="1725,2">
              <v:shape style="position:absolute;left:8326;top:5;width:1725;height:2" coordorigin="8326,5" coordsize="1725,0" path="m8326,5l10050,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1910" w:h="16840"/>
          <w:pgMar w:top="1600" w:bottom="280" w:left="880" w:right="76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5"/>
          <w:szCs w:val="15"/>
        </w:rPr>
      </w:pPr>
    </w:p>
    <w:tbl>
      <w:tblPr>
        <w:tblW w:w="0" w:type="auto"/>
        <w:jc w:val="left"/>
        <w:tblInd w:w="143" w:type="dxa"/>
        <w:tblLayout w:type="fixed"/>
        <w:tblCellMar>
          <w:top w:w="0" w:type="dxa"/>
          <w:left w:w="0" w:type="dxa"/>
          <w:bottom w:w="0" w:type="dxa"/>
          <w:right w:w="0" w:type="dxa"/>
        </w:tblCellMar>
        <w:tblLook w:val="01E0"/>
      </w:tblPr>
      <w:tblGrid>
        <w:gridCol w:w="2776"/>
        <w:gridCol w:w="2656"/>
        <w:gridCol w:w="1179"/>
        <w:gridCol w:w="1710"/>
        <w:gridCol w:w="1703"/>
      </w:tblGrid>
      <w:tr>
        <w:trPr>
          <w:trHeight w:val="302" w:hRule="exact"/>
        </w:trPr>
        <w:tc>
          <w:tcPr>
            <w:tcW w:w="2776" w:type="dxa"/>
            <w:tcBorders>
              <w:top w:val="single" w:sz="12" w:space="0" w:color="000000"/>
              <w:left w:val="nil" w:sz="6" w:space="0" w:color="auto"/>
              <w:bottom w:val="single" w:sz="4" w:space="0" w:color="000000"/>
              <w:right w:val="nil" w:sz="6" w:space="0" w:color="auto"/>
            </w:tcBorders>
          </w:tcPr>
          <w:p>
            <w:pPr>
              <w:pStyle w:val="TableParagraph"/>
              <w:spacing w:line="241"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子公司名称</w:t>
            </w:r>
            <w:r>
              <w:rPr>
                <w:rFonts w:ascii="Microsoft JhengHei" w:hAnsi="Microsoft JhengHei" w:cs="Microsoft JhengHei" w:eastAsia="Microsoft JhengHei" w:hint="default"/>
                <w:sz w:val="16"/>
                <w:szCs w:val="16"/>
              </w:rPr>
            </w:r>
          </w:p>
        </w:tc>
        <w:tc>
          <w:tcPr>
            <w:tcW w:w="2656" w:type="dxa"/>
            <w:tcBorders>
              <w:top w:val="single" w:sz="12" w:space="0" w:color="000000"/>
              <w:left w:val="nil" w:sz="6" w:space="0" w:color="auto"/>
              <w:bottom w:val="single" w:sz="4" w:space="0" w:color="000000"/>
              <w:right w:val="nil" w:sz="6" w:space="0" w:color="auto"/>
            </w:tcBorders>
          </w:tcPr>
          <w:p>
            <w:pPr>
              <w:pStyle w:val="TableParagraph"/>
              <w:spacing w:line="241" w:lineRule="exact"/>
              <w:ind w:right="37"/>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贷款银行</w:t>
            </w:r>
            <w:r>
              <w:rPr>
                <w:rFonts w:ascii="Microsoft JhengHei" w:hAnsi="Microsoft JhengHei" w:cs="Microsoft JhengHei" w:eastAsia="Microsoft JhengHei" w:hint="default"/>
                <w:sz w:val="16"/>
                <w:szCs w:val="16"/>
              </w:rPr>
            </w:r>
          </w:p>
        </w:tc>
        <w:tc>
          <w:tcPr>
            <w:tcW w:w="1179"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24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贷款金额</w:t>
            </w:r>
            <w:r>
              <w:rPr>
                <w:rFonts w:ascii="Microsoft JhengHei" w:hAnsi="Microsoft JhengHei" w:cs="Microsoft JhengHei" w:eastAsia="Microsoft JhengHei" w:hint="default"/>
                <w:sz w:val="16"/>
                <w:szCs w:val="16"/>
              </w:rPr>
            </w:r>
          </w:p>
        </w:tc>
        <w:tc>
          <w:tcPr>
            <w:tcW w:w="1710" w:type="dxa"/>
            <w:tcBorders>
              <w:top w:val="single" w:sz="12" w:space="0" w:color="000000"/>
              <w:left w:val="nil" w:sz="6" w:space="0" w:color="auto"/>
              <w:bottom w:val="single" w:sz="4" w:space="0" w:color="000000"/>
              <w:right w:val="nil" w:sz="6" w:space="0" w:color="auto"/>
            </w:tcBorders>
          </w:tcPr>
          <w:p>
            <w:pPr>
              <w:pStyle w:val="TableParagraph"/>
              <w:spacing w:line="241" w:lineRule="exact"/>
              <w:ind w:right="1"/>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贷款期限</w:t>
            </w:r>
            <w:r>
              <w:rPr>
                <w:rFonts w:ascii="Microsoft JhengHei" w:hAnsi="Microsoft JhengHei" w:cs="Microsoft JhengHei" w:eastAsia="Microsoft JhengHei" w:hint="default"/>
                <w:sz w:val="16"/>
                <w:szCs w:val="16"/>
              </w:rPr>
            </w:r>
          </w:p>
        </w:tc>
        <w:tc>
          <w:tcPr>
            <w:tcW w:w="1703"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5"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保证期间</w:t>
            </w:r>
            <w:r>
              <w:rPr>
                <w:rFonts w:ascii="Microsoft JhengHei" w:hAnsi="Microsoft JhengHei" w:cs="Microsoft JhengHei" w:eastAsia="Microsoft JhengHei" w:hint="default"/>
                <w:sz w:val="16"/>
                <w:szCs w:val="16"/>
              </w:rPr>
            </w:r>
          </w:p>
        </w:tc>
      </w:tr>
      <w:tr>
        <w:trPr>
          <w:trHeight w:val="294" w:hRule="exact"/>
        </w:trPr>
        <w:tc>
          <w:tcPr>
            <w:tcW w:w="277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8" w:right="0"/>
              <w:jc w:val="left"/>
              <w:rPr>
                <w:rFonts w:ascii="楷体" w:hAnsi="楷体" w:cs="楷体" w:eastAsia="楷体" w:hint="default"/>
                <w:sz w:val="16"/>
                <w:szCs w:val="16"/>
              </w:rPr>
            </w:pPr>
            <w:r>
              <w:rPr>
                <w:rFonts w:ascii="楷体" w:hAnsi="楷体" w:cs="楷体" w:eastAsia="楷体" w:hint="default"/>
                <w:sz w:val="16"/>
                <w:szCs w:val="16"/>
              </w:rPr>
              <w:t>北京泰豪智能科技有限公司</w:t>
            </w:r>
          </w:p>
        </w:tc>
        <w:tc>
          <w:tcPr>
            <w:tcW w:w="265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8" w:right="0"/>
              <w:jc w:val="left"/>
              <w:rPr>
                <w:rFonts w:ascii="楷体" w:hAnsi="楷体" w:cs="楷体" w:eastAsia="楷体" w:hint="default"/>
                <w:sz w:val="16"/>
                <w:szCs w:val="16"/>
              </w:rPr>
            </w:pPr>
            <w:r>
              <w:rPr>
                <w:rFonts w:ascii="楷体" w:hAnsi="楷体" w:cs="楷体" w:eastAsia="楷体" w:hint="default"/>
                <w:sz w:val="16"/>
                <w:szCs w:val="16"/>
              </w:rPr>
              <w:t>北京银行翠微路支行</w:t>
            </w:r>
          </w:p>
        </w:tc>
        <w:tc>
          <w:tcPr>
            <w:tcW w:w="117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6"/>
              <w:jc w:val="right"/>
              <w:rPr>
                <w:rFonts w:ascii="楷体" w:hAnsi="楷体" w:cs="楷体" w:eastAsia="楷体" w:hint="default"/>
                <w:sz w:val="16"/>
                <w:szCs w:val="16"/>
              </w:rPr>
            </w:pP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Times New Roman" w:hAnsi="Times New Roman" w:cs="Times New Roman" w:eastAsia="Times New Roman" w:hint="default"/>
                <w:sz w:val="16"/>
                <w:szCs w:val="16"/>
              </w:rPr>
            </w:pPr>
            <w:r>
              <w:rPr>
                <w:rFonts w:ascii="Times New Roman"/>
                <w:sz w:val="16"/>
              </w:rPr>
              <w:t>2008.09.17-2009.09.16</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 w:right="0"/>
              <w:jc w:val="center"/>
              <w:rPr>
                <w:rFonts w:ascii="Times New Roman" w:hAnsi="Times New Roman" w:cs="Times New Roman" w:eastAsia="Times New Roman" w:hint="default"/>
                <w:sz w:val="16"/>
                <w:szCs w:val="16"/>
              </w:rPr>
            </w:pPr>
            <w:r>
              <w:rPr>
                <w:rFonts w:ascii="Times New Roman"/>
                <w:sz w:val="16"/>
              </w:rPr>
              <w:t>2008.09.17-2011.09.16</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北京泰豪智能科技有限公司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北京银行翠微路支行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楷体" w:hAnsi="楷体" w:cs="楷体" w:eastAsia="楷体" w:hint="default"/>
                <w:sz w:val="16"/>
                <w:szCs w:val="16"/>
              </w:rPr>
            </w:pP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2008.08.22-2009.08.21</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 w:right="0"/>
              <w:jc w:val="center"/>
              <w:rPr>
                <w:rFonts w:ascii="Times New Roman" w:hAnsi="Times New Roman" w:cs="Times New Roman" w:eastAsia="Times New Roman" w:hint="default"/>
                <w:sz w:val="16"/>
                <w:szCs w:val="16"/>
              </w:rPr>
            </w:pPr>
            <w:r>
              <w:rPr>
                <w:rFonts w:ascii="Times New Roman"/>
                <w:sz w:val="16"/>
              </w:rPr>
              <w:t>2008.08.22-2011.08.21</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衡阳泰豪通信车辆有限公司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中国建设银行衡阳市雁峰支行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楷体" w:hAnsi="楷体" w:cs="楷体" w:eastAsia="楷体" w:hint="default"/>
                <w:sz w:val="16"/>
                <w:szCs w:val="16"/>
              </w:rPr>
            </w:pPr>
            <w:r>
              <w:rPr>
                <w:rFonts w:ascii="Times New Roman" w:hAnsi="Times New Roman" w:cs="Times New Roman" w:eastAsia="Times New Roman" w:hint="default"/>
                <w:sz w:val="16"/>
                <w:szCs w:val="16"/>
              </w:rPr>
              <w:t>1,500.00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2005.06.30-2009.12.31</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 w:right="0"/>
              <w:jc w:val="center"/>
              <w:rPr>
                <w:rFonts w:ascii="Times New Roman" w:hAnsi="Times New Roman" w:cs="Times New Roman" w:eastAsia="Times New Roman" w:hint="default"/>
                <w:sz w:val="16"/>
                <w:szCs w:val="16"/>
              </w:rPr>
            </w:pPr>
            <w:r>
              <w:rPr>
                <w:rFonts w:ascii="Times New Roman"/>
                <w:sz w:val="16"/>
              </w:rPr>
              <w:t>2005.06.30-2011.12.31</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衡阳泰豪通信车辆有限公司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中国建设银行衡阳市雁峰支行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楷体" w:hAnsi="楷体" w:cs="楷体" w:eastAsia="楷体" w:hint="default"/>
                <w:sz w:val="16"/>
                <w:szCs w:val="16"/>
              </w:rPr>
            </w:pP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2005.06.30-2010.12.31</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 w:right="0"/>
              <w:jc w:val="center"/>
              <w:rPr>
                <w:rFonts w:ascii="Times New Roman" w:hAnsi="Times New Roman" w:cs="Times New Roman" w:eastAsia="Times New Roman" w:hint="default"/>
                <w:sz w:val="16"/>
                <w:szCs w:val="16"/>
              </w:rPr>
            </w:pPr>
            <w:r>
              <w:rPr>
                <w:rFonts w:ascii="Times New Roman"/>
                <w:sz w:val="16"/>
              </w:rPr>
              <w:t>2005.06.30-2012.12.31</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衡阳泰豪通信车辆有限公司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中国工商银行衡阳市城中支行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楷体" w:hAnsi="楷体" w:cs="楷体" w:eastAsia="楷体" w:hint="default"/>
                <w:sz w:val="16"/>
                <w:szCs w:val="16"/>
              </w:rPr>
            </w:pPr>
            <w:r>
              <w:rPr>
                <w:rFonts w:ascii="Times New Roman" w:hAnsi="Times New Roman" w:cs="Times New Roman" w:eastAsia="Times New Roman" w:hint="default"/>
                <w:sz w:val="16"/>
                <w:szCs w:val="16"/>
              </w:rPr>
              <w:t>350.00</w:t>
            </w:r>
            <w:r>
              <w:rPr>
                <w:rFonts w:ascii="Times New Roman" w:hAnsi="Times New Roman" w:cs="Times New Roman" w:eastAsia="Times New Roman" w:hint="default"/>
                <w:spacing w:val="-2"/>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2008.04.01-2009.03.30</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 w:right="0"/>
              <w:jc w:val="center"/>
              <w:rPr>
                <w:rFonts w:ascii="Times New Roman" w:hAnsi="Times New Roman" w:cs="Times New Roman" w:eastAsia="Times New Roman" w:hint="default"/>
                <w:sz w:val="16"/>
                <w:szCs w:val="16"/>
              </w:rPr>
            </w:pPr>
            <w:r>
              <w:rPr>
                <w:rFonts w:ascii="Times New Roman"/>
                <w:sz w:val="16"/>
              </w:rPr>
              <w:t>2008.04.01-2011.03.30</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衡阳泰豪通信车辆有限公司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中国工商银行衡阳市城中支行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楷体" w:hAnsi="楷体" w:cs="楷体" w:eastAsia="楷体" w:hint="default"/>
                <w:sz w:val="16"/>
                <w:szCs w:val="16"/>
              </w:rPr>
            </w:pPr>
            <w:r>
              <w:rPr>
                <w:rFonts w:ascii="Times New Roman" w:hAnsi="Times New Roman" w:cs="Times New Roman" w:eastAsia="Times New Roman" w:hint="default"/>
                <w:sz w:val="16"/>
                <w:szCs w:val="16"/>
              </w:rPr>
              <w:t>1,250.00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2008.10.31-2009.10.30</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 w:right="0"/>
              <w:jc w:val="center"/>
              <w:rPr>
                <w:rFonts w:ascii="Times New Roman" w:hAnsi="Times New Roman" w:cs="Times New Roman" w:eastAsia="Times New Roman" w:hint="default"/>
                <w:sz w:val="16"/>
                <w:szCs w:val="16"/>
              </w:rPr>
            </w:pPr>
            <w:r>
              <w:rPr>
                <w:rFonts w:ascii="Times New Roman"/>
                <w:sz w:val="16"/>
              </w:rPr>
              <w:t>2008.10.31-2011.10.30</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江西清华泰豪三波电机有限公司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兴业银行南昌分行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楷体" w:hAnsi="楷体" w:cs="楷体" w:eastAsia="楷体" w:hint="default"/>
                <w:sz w:val="16"/>
                <w:szCs w:val="16"/>
              </w:rPr>
            </w:pP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2008.06.16-2009.06.16</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 w:right="0"/>
              <w:jc w:val="center"/>
              <w:rPr>
                <w:rFonts w:ascii="Times New Roman" w:hAnsi="Times New Roman" w:cs="Times New Roman" w:eastAsia="Times New Roman" w:hint="default"/>
                <w:sz w:val="16"/>
                <w:szCs w:val="16"/>
              </w:rPr>
            </w:pPr>
            <w:r>
              <w:rPr>
                <w:rFonts w:ascii="Times New Roman"/>
                <w:sz w:val="16"/>
              </w:rPr>
              <w:t>2008.06.16-2011.06.16</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江西清华泰豪三波电机有限公司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中国工商银行南昌市北京西路支行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楷体" w:hAnsi="楷体" w:cs="楷体" w:eastAsia="楷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6"/>
                <w:szCs w:val="16"/>
              </w:rPr>
            </w:pPr>
            <w:r>
              <w:rPr>
                <w:rFonts w:ascii="Times New Roman"/>
                <w:sz w:val="16"/>
              </w:rPr>
              <w:t>2008.11.19-2009.11.17</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 w:right="0"/>
              <w:jc w:val="center"/>
              <w:rPr>
                <w:rFonts w:ascii="Times New Roman" w:hAnsi="Times New Roman" w:cs="Times New Roman" w:eastAsia="Times New Roman" w:hint="default"/>
                <w:sz w:val="16"/>
                <w:szCs w:val="16"/>
              </w:rPr>
            </w:pPr>
            <w:r>
              <w:rPr>
                <w:rFonts w:ascii="Times New Roman"/>
                <w:sz w:val="16"/>
              </w:rPr>
              <w:t>2008.11.19-2011.11.17</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江西泰豪特种电机有限公司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中国银行高安支行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楷体" w:hAnsi="楷体" w:cs="楷体" w:eastAsia="楷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2007.01.29-2009.01.29</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 w:right="0"/>
              <w:jc w:val="center"/>
              <w:rPr>
                <w:rFonts w:ascii="Times New Roman" w:hAnsi="Times New Roman" w:cs="Times New Roman" w:eastAsia="Times New Roman" w:hint="default"/>
                <w:sz w:val="16"/>
                <w:szCs w:val="16"/>
              </w:rPr>
            </w:pPr>
            <w:r>
              <w:rPr>
                <w:rFonts w:ascii="Times New Roman"/>
                <w:sz w:val="16"/>
              </w:rPr>
              <w:t>2007.01.29-2011.01.29</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江西泰豪特种电机有限公司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楷体" w:hAnsi="楷体" w:cs="楷体" w:eastAsia="楷体" w:hint="default"/>
                <w:sz w:val="16"/>
                <w:szCs w:val="16"/>
              </w:rPr>
            </w:pPr>
            <w:r>
              <w:rPr>
                <w:rFonts w:ascii="楷体" w:hAnsi="楷体" w:cs="楷体" w:eastAsia="楷体" w:hint="default"/>
                <w:sz w:val="16"/>
                <w:szCs w:val="16"/>
              </w:rPr>
              <w:t>中国银行高安支行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楷体" w:hAnsi="楷体" w:cs="楷体" w:eastAsia="楷体" w:hint="default"/>
                <w:sz w:val="16"/>
                <w:szCs w:val="16"/>
              </w:rPr>
            </w:pPr>
            <w:r>
              <w:rPr>
                <w:rFonts w:ascii="Times New Roman" w:hAnsi="Times New Roman" w:cs="Times New Roman" w:eastAsia="Times New Roman" w:hint="default"/>
                <w:sz w:val="16"/>
                <w:szCs w:val="16"/>
              </w:rPr>
              <w:t>1,500.00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2007.07.09-2011.07.09</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 w:right="0"/>
              <w:jc w:val="center"/>
              <w:rPr>
                <w:rFonts w:ascii="Times New Roman" w:hAnsi="Times New Roman" w:cs="Times New Roman" w:eastAsia="Times New Roman" w:hint="default"/>
                <w:sz w:val="16"/>
                <w:szCs w:val="16"/>
              </w:rPr>
            </w:pPr>
            <w:r>
              <w:rPr>
                <w:rFonts w:ascii="Times New Roman"/>
                <w:sz w:val="16"/>
              </w:rPr>
              <w:t>2007.07.09-2013.07.09</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江西泰豪特种电机有限公司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楷体" w:hAnsi="楷体" w:cs="楷体" w:eastAsia="楷体" w:hint="default"/>
                <w:sz w:val="16"/>
                <w:szCs w:val="16"/>
              </w:rPr>
            </w:pPr>
            <w:r>
              <w:rPr>
                <w:rFonts w:ascii="楷体" w:hAnsi="楷体" w:cs="楷体" w:eastAsia="楷体" w:hint="default"/>
                <w:sz w:val="16"/>
                <w:szCs w:val="16"/>
              </w:rPr>
              <w:t>中国工商银行高安市支行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楷体" w:hAnsi="楷体" w:cs="楷体" w:eastAsia="楷体" w:hint="default"/>
                <w:sz w:val="16"/>
                <w:szCs w:val="16"/>
              </w:rPr>
            </w:pPr>
            <w:r>
              <w:rPr>
                <w:rFonts w:ascii="Times New Roman" w:hAnsi="Times New Roman" w:cs="Times New Roman" w:eastAsia="Times New Roman" w:hint="default"/>
                <w:sz w:val="16"/>
                <w:szCs w:val="16"/>
              </w:rPr>
              <w:t>800.00</w:t>
            </w:r>
            <w:r>
              <w:rPr>
                <w:rFonts w:ascii="Times New Roman" w:hAnsi="Times New Roman" w:cs="Times New Roman" w:eastAsia="Times New Roman" w:hint="default"/>
                <w:spacing w:val="-2"/>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16"/>
                <w:szCs w:val="16"/>
              </w:rPr>
            </w:pPr>
            <w:r>
              <w:rPr>
                <w:rFonts w:ascii="Times New Roman"/>
                <w:sz w:val="16"/>
              </w:rPr>
              <w:t>2008.05.12-2009.05.11</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 w:right="0"/>
              <w:jc w:val="center"/>
              <w:rPr>
                <w:rFonts w:ascii="Times New Roman" w:hAnsi="Times New Roman" w:cs="Times New Roman" w:eastAsia="Times New Roman" w:hint="default"/>
                <w:sz w:val="16"/>
                <w:szCs w:val="16"/>
              </w:rPr>
            </w:pPr>
            <w:r>
              <w:rPr>
                <w:rFonts w:ascii="Times New Roman"/>
                <w:sz w:val="16"/>
              </w:rPr>
              <w:t>2008.05.12-2011.05.11</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江西泰豪特种电机有限公司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楷体" w:hAnsi="楷体" w:cs="楷体" w:eastAsia="楷体" w:hint="default"/>
                <w:sz w:val="16"/>
                <w:szCs w:val="16"/>
              </w:rPr>
            </w:pPr>
            <w:r>
              <w:rPr>
                <w:rFonts w:ascii="楷体" w:hAnsi="楷体" w:cs="楷体" w:eastAsia="楷体" w:hint="default"/>
                <w:sz w:val="16"/>
                <w:szCs w:val="16"/>
              </w:rPr>
              <w:t>中国工商银行高安市支行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楷体" w:hAnsi="楷体" w:cs="楷体" w:eastAsia="楷体" w:hint="default"/>
                <w:sz w:val="16"/>
                <w:szCs w:val="16"/>
              </w:rPr>
            </w:pPr>
            <w:r>
              <w:rPr>
                <w:rFonts w:ascii="Times New Roman" w:hAnsi="Times New Roman" w:cs="Times New Roman" w:eastAsia="Times New Roman" w:hint="default"/>
                <w:sz w:val="16"/>
                <w:szCs w:val="16"/>
              </w:rPr>
              <w:t>200.00</w:t>
            </w:r>
            <w:r>
              <w:rPr>
                <w:rFonts w:ascii="Times New Roman" w:hAnsi="Times New Roman" w:cs="Times New Roman" w:eastAsia="Times New Roman" w:hint="default"/>
                <w:spacing w:val="-2"/>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2008.05.23-2009.05.21</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 w:right="0"/>
              <w:jc w:val="center"/>
              <w:rPr>
                <w:rFonts w:ascii="Times New Roman" w:hAnsi="Times New Roman" w:cs="Times New Roman" w:eastAsia="Times New Roman" w:hint="default"/>
                <w:sz w:val="16"/>
                <w:szCs w:val="16"/>
              </w:rPr>
            </w:pPr>
            <w:r>
              <w:rPr>
                <w:rFonts w:ascii="Times New Roman"/>
                <w:sz w:val="16"/>
              </w:rPr>
              <w:t>2008.05.23-2011.05.21</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泰豪科技（深圳）电力技术有限公司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楷体" w:hAnsi="楷体" w:cs="楷体" w:eastAsia="楷体" w:hint="default"/>
                <w:sz w:val="16"/>
                <w:szCs w:val="16"/>
              </w:rPr>
            </w:pPr>
            <w:r>
              <w:rPr>
                <w:rFonts w:ascii="楷体" w:hAnsi="楷体" w:cs="楷体" w:eastAsia="楷体" w:hint="default"/>
                <w:sz w:val="16"/>
                <w:szCs w:val="16"/>
              </w:rPr>
              <w:t>深圳建设银行宝安支行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楷体" w:hAnsi="楷体" w:cs="楷体" w:eastAsia="楷体" w:hint="default"/>
                <w:sz w:val="16"/>
                <w:szCs w:val="16"/>
              </w:rPr>
            </w:pPr>
            <w:r>
              <w:rPr>
                <w:rFonts w:ascii="Times New Roman" w:hAnsi="Times New Roman" w:cs="Times New Roman" w:eastAsia="Times New Roman" w:hint="default"/>
                <w:sz w:val="16"/>
                <w:szCs w:val="16"/>
              </w:rPr>
              <w:t>2,100.00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2006.04.30-2010.04.29</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 w:right="0"/>
              <w:jc w:val="center"/>
              <w:rPr>
                <w:rFonts w:ascii="Times New Roman" w:hAnsi="Times New Roman" w:cs="Times New Roman" w:eastAsia="Times New Roman" w:hint="default"/>
                <w:sz w:val="16"/>
                <w:szCs w:val="16"/>
              </w:rPr>
            </w:pPr>
            <w:r>
              <w:rPr>
                <w:rFonts w:ascii="Times New Roman"/>
                <w:sz w:val="16"/>
              </w:rPr>
              <w:t>2006.04.30-2010.04.29</w:t>
            </w:r>
          </w:p>
        </w:tc>
      </w:tr>
      <w:tr>
        <w:trPr>
          <w:trHeight w:val="2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泰豪科技（深圳）电力技术有限公司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上海浦东发展银行龙华支行</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楷体" w:hAnsi="楷体" w:cs="楷体" w:eastAsia="楷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6"/>
                <w:szCs w:val="16"/>
              </w:rPr>
            </w:pPr>
            <w:r>
              <w:rPr>
                <w:rFonts w:ascii="Times New Roman"/>
                <w:sz w:val="16"/>
              </w:rPr>
              <w:t>2008.04.28-2009.04.27</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 w:right="0"/>
              <w:jc w:val="center"/>
              <w:rPr>
                <w:rFonts w:ascii="Times New Roman" w:hAnsi="Times New Roman" w:cs="Times New Roman" w:eastAsia="Times New Roman" w:hint="default"/>
                <w:sz w:val="16"/>
                <w:szCs w:val="16"/>
              </w:rPr>
            </w:pPr>
            <w:r>
              <w:rPr>
                <w:rFonts w:ascii="Times New Roman"/>
                <w:sz w:val="16"/>
              </w:rPr>
              <w:t>2008.04.28-2011.04.27</w:t>
            </w:r>
          </w:p>
        </w:tc>
      </w:tr>
      <w:tr>
        <w:trPr>
          <w:trHeight w:val="283" w:hRule="exact"/>
        </w:trPr>
        <w:tc>
          <w:tcPr>
            <w:tcW w:w="277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泰豪科技（深圳）电力技术有限公司</w:t>
            </w:r>
          </w:p>
        </w:tc>
        <w:tc>
          <w:tcPr>
            <w:tcW w:w="265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8" w:right="0"/>
              <w:jc w:val="left"/>
              <w:rPr>
                <w:rFonts w:ascii="楷体" w:hAnsi="楷体" w:cs="楷体" w:eastAsia="楷体" w:hint="default"/>
                <w:sz w:val="16"/>
                <w:szCs w:val="16"/>
              </w:rPr>
            </w:pPr>
            <w:r>
              <w:rPr>
                <w:rFonts w:ascii="楷体" w:hAnsi="楷体" w:cs="楷体" w:eastAsia="楷体" w:hint="default"/>
                <w:sz w:val="16"/>
                <w:szCs w:val="16"/>
              </w:rPr>
              <w:t>深圳市商业银行民田路支行</w:t>
            </w:r>
          </w:p>
        </w:tc>
        <w:tc>
          <w:tcPr>
            <w:tcW w:w="117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5"/>
              <w:jc w:val="right"/>
              <w:rPr>
                <w:rFonts w:ascii="楷体" w:hAnsi="楷体" w:cs="楷体" w:eastAsia="楷体" w:hint="default"/>
                <w:sz w:val="16"/>
                <w:szCs w:val="16"/>
              </w:rPr>
            </w:pP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4"/>
                <w:sz w:val="16"/>
                <w:szCs w:val="16"/>
              </w:rPr>
              <w:t> </w:t>
            </w:r>
            <w:r>
              <w:rPr>
                <w:rFonts w:ascii="楷体" w:hAnsi="楷体" w:cs="楷体" w:eastAsia="楷体" w:hint="default"/>
                <w:sz w:val="16"/>
                <w:szCs w:val="16"/>
              </w:rPr>
              <w:t>万元</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2008.08.20-2009.08.20</w:t>
            </w: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5" w:right="0"/>
              <w:jc w:val="center"/>
              <w:rPr>
                <w:rFonts w:ascii="Times New Roman" w:hAnsi="Times New Roman" w:cs="Times New Roman" w:eastAsia="Times New Roman" w:hint="default"/>
                <w:sz w:val="16"/>
                <w:szCs w:val="16"/>
              </w:rPr>
            </w:pPr>
            <w:r>
              <w:rPr>
                <w:rFonts w:ascii="Times New Roman"/>
                <w:sz w:val="16"/>
              </w:rPr>
              <w:t>2008.08.20-2011.08.20</w:t>
            </w:r>
          </w:p>
        </w:tc>
      </w:tr>
    </w:tbl>
    <w:p>
      <w:pPr>
        <w:tabs>
          <w:tab w:pos="5644" w:val="left" w:leader="none"/>
        </w:tabs>
        <w:spacing w:line="236" w:lineRule="exact" w:before="0"/>
        <w:ind w:left="1370"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合计</w:t>
        <w:tab/>
      </w:r>
      <w:r>
        <w:rPr>
          <w:rFonts w:ascii="Times New Roman" w:hAnsi="Times New Roman" w:cs="Times New Roman" w:eastAsia="Times New Roman" w:hint="default"/>
          <w:b/>
          <w:bCs/>
          <w:sz w:val="16"/>
          <w:szCs w:val="16"/>
        </w:rPr>
        <w:t>22,700.00</w:t>
      </w:r>
      <w:r>
        <w:rPr>
          <w:rFonts w:ascii="Times New Roman" w:hAnsi="Times New Roman" w:cs="Times New Roman" w:eastAsia="Times New Roman" w:hint="default"/>
          <w:b/>
          <w:bCs/>
          <w:spacing w:val="-4"/>
          <w:sz w:val="16"/>
          <w:szCs w:val="16"/>
        </w:rPr>
        <w:t> </w:t>
      </w:r>
      <w:r>
        <w:rPr>
          <w:rFonts w:ascii="Microsoft JhengHei" w:hAnsi="Microsoft JhengHei" w:cs="Microsoft JhengHei" w:eastAsia="Microsoft JhengHei" w:hint="default"/>
          <w:b/>
          <w:bCs/>
          <w:sz w:val="16"/>
          <w:szCs w:val="16"/>
        </w:rPr>
        <w:t>万元</w:t>
      </w:r>
      <w:r>
        <w:rPr>
          <w:rFonts w:ascii="Microsoft JhengHei" w:hAnsi="Microsoft JhengHei" w:cs="Microsoft JhengHei" w:eastAsia="Microsoft JhengHei" w:hint="default"/>
          <w:sz w:val="16"/>
          <w:szCs w:val="16"/>
        </w:rPr>
      </w:r>
    </w:p>
    <w:p>
      <w:pPr>
        <w:spacing w:line="240" w:lineRule="auto" w:before="8"/>
        <w:rPr>
          <w:rFonts w:ascii="Microsoft JhengHei" w:hAnsi="Microsoft JhengHei" w:cs="Microsoft JhengHei" w:eastAsia="Microsoft JhengHei" w:hint="default"/>
          <w:b/>
          <w:bCs/>
          <w:sz w:val="2"/>
          <w:szCs w:val="2"/>
        </w:rPr>
      </w:pPr>
    </w:p>
    <w:p>
      <w:pPr>
        <w:spacing w:line="30" w:lineRule="exact"/>
        <w:ind w:left="113"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503.8pt;height:1.5pt;mso-position-horizontal-relative:char;mso-position-vertical-relative:line" coordorigin="0,0" coordsize="10076,30">
            <v:group style="position:absolute;left:15;top:15;width:2792;height:2" coordorigin="15,15" coordsize="2792,2">
              <v:shape style="position:absolute;left:15;top:15;width:2792;height:2" coordorigin="15,15" coordsize="2792,0" path="m15,15l2806,15e" filled="false" stroked="true" strokeweight="1.5pt" strokecolor="#000000">
                <v:path arrowok="t"/>
              </v:shape>
            </v:group>
            <v:group style="position:absolute;left:2792;top:15;width:2631;height:2" coordorigin="2792,15" coordsize="2631,2">
              <v:shape style="position:absolute;left:2792;top:15;width:2631;height:2" coordorigin="2792,15" coordsize="2631,0" path="m2792,15l5422,15e" filled="false" stroked="true" strokeweight="1.5pt" strokecolor="#000000">
                <v:path arrowok="t"/>
              </v:shape>
            </v:group>
            <v:group style="position:absolute;left:5408;top:15;width:1233;height:2" coordorigin="5408,15" coordsize="1233,2">
              <v:shape style="position:absolute;left:5408;top:15;width:1233;height:2" coordorigin="5408,15" coordsize="1233,0" path="m5408,15l6640,15e" filled="false" stroked="true" strokeweight="1.5pt" strokecolor="#000000">
                <v:path arrowok="t"/>
              </v:shape>
            </v:group>
            <v:group style="position:absolute;left:6626;top:15;width:1725;height:2" coordorigin="6626,15" coordsize="1725,2">
              <v:shape style="position:absolute;left:6626;top:15;width:1725;height:2" coordorigin="6626,15" coordsize="1725,0" path="m6626,15l8350,15e" filled="false" stroked="true" strokeweight="1.5pt" strokecolor="#000000">
                <v:path arrowok="t"/>
              </v:shape>
            </v:group>
            <v:group style="position:absolute;left:8336;top:15;width:1725;height:2" coordorigin="8336,15" coordsize="1725,2">
              <v:shape style="position:absolute;left:8336;top:15;width:1725;height:2" coordorigin="8336,15" coordsize="1725,0" path="m8336,15l10060,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line="240" w:lineRule="auto" w:before="11"/>
        <w:rPr>
          <w:rFonts w:ascii="Microsoft JhengHei" w:hAnsi="Microsoft JhengHei" w:cs="Microsoft JhengHei" w:eastAsia="Microsoft JhengHei" w:hint="default"/>
          <w:b/>
          <w:bCs/>
          <w:sz w:val="3"/>
          <w:szCs w:val="3"/>
        </w:rPr>
      </w:pPr>
    </w:p>
    <w:p>
      <w:pPr>
        <w:spacing w:before="31"/>
        <w:ind w:left="1126"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43"/>
          <w:sz w:val="22"/>
          <w:szCs w:val="22"/>
        </w:rPr>
        <w:t> </w:t>
      </w:r>
      <w:r>
        <w:rPr>
          <w:rFonts w:ascii="楷体" w:hAnsi="楷体" w:cs="楷体" w:eastAsia="楷体" w:hint="default"/>
          <w:sz w:val="22"/>
          <w:szCs w:val="22"/>
        </w:rPr>
        <w:t>截至</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年</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月</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楷体" w:hAnsi="楷体" w:cs="楷体" w:eastAsia="楷体" w:hint="default"/>
          <w:spacing w:val="-5"/>
          <w:sz w:val="22"/>
          <w:szCs w:val="22"/>
        </w:rPr>
        <w:t>日，公司持股</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23.37%</w:t>
      </w:r>
      <w:r>
        <w:rPr>
          <w:rFonts w:ascii="楷体" w:hAnsi="楷体" w:cs="楷体" w:eastAsia="楷体" w:hint="default"/>
          <w:sz w:val="22"/>
          <w:szCs w:val="22"/>
        </w:rPr>
        <w:t>的泰豪科技股份有限公司以保证方式对其下</w:t>
      </w:r>
    </w:p>
    <w:p>
      <w:pPr>
        <w:spacing w:before="85"/>
        <w:ind w:left="558" w:right="0" w:firstLine="0"/>
        <w:jc w:val="left"/>
        <w:rPr>
          <w:rFonts w:ascii="楷体" w:hAnsi="楷体" w:cs="楷体" w:eastAsia="楷体" w:hint="default"/>
          <w:sz w:val="22"/>
          <w:szCs w:val="22"/>
        </w:rPr>
      </w:pPr>
      <w:r>
        <w:rPr>
          <w:rFonts w:ascii="楷体" w:hAnsi="楷体" w:cs="楷体" w:eastAsia="楷体" w:hint="default"/>
          <w:sz w:val="22"/>
          <w:szCs w:val="22"/>
        </w:rPr>
        <w:t>属子公司的</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1483</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万元银行承兑汇票及</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269</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万元保函提供担保。</w:t>
      </w:r>
    </w:p>
    <w:p>
      <w:pPr>
        <w:spacing w:before="163"/>
        <w:ind w:left="1011"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公司法人实体为其他关联方提供担保</w:t>
      </w:r>
    </w:p>
    <w:p>
      <w:pPr>
        <w:spacing w:line="307" w:lineRule="auto" w:before="163"/>
        <w:ind w:left="557" w:right="0"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44"/>
          <w:sz w:val="22"/>
          <w:szCs w:val="22"/>
        </w:rPr>
        <w:t> </w:t>
      </w:r>
      <w:r>
        <w:rPr>
          <w:rFonts w:ascii="楷体" w:hAnsi="楷体" w:cs="楷体" w:eastAsia="楷体" w:hint="default"/>
          <w:sz w:val="22"/>
          <w:szCs w:val="22"/>
        </w:rPr>
        <w:t>截至</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年</w:t>
      </w:r>
      <w:r>
        <w:rPr>
          <w:rFonts w:ascii="楷体" w:hAnsi="楷体" w:cs="楷体" w:eastAsia="楷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月</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日，公司以保证方式为北京同方易豪科技有限公司的下列银行承</w:t>
      </w:r>
      <w:r>
        <w:rPr>
          <w:rFonts w:ascii="楷体" w:hAnsi="楷体" w:cs="楷体" w:eastAsia="楷体" w:hint="default"/>
          <w:w w:val="99"/>
          <w:sz w:val="22"/>
          <w:szCs w:val="22"/>
        </w:rPr>
        <w:t> </w:t>
      </w:r>
      <w:r>
        <w:rPr>
          <w:rFonts w:ascii="楷体" w:hAnsi="楷体" w:cs="楷体" w:eastAsia="楷体" w:hint="default"/>
          <w:sz w:val="22"/>
          <w:szCs w:val="22"/>
        </w:rPr>
        <w:t>兑汇票和银行借款提供连带责任担保：</w:t>
      </w:r>
    </w:p>
    <w:p>
      <w:pPr>
        <w:spacing w:line="240" w:lineRule="auto" w:before="12"/>
        <w:rPr>
          <w:rFonts w:ascii="楷体" w:hAnsi="楷体" w:cs="楷体" w:eastAsia="楷体" w:hint="default"/>
          <w:sz w:val="8"/>
          <w:szCs w:val="8"/>
        </w:rPr>
      </w:pPr>
    </w:p>
    <w:tbl>
      <w:tblPr>
        <w:tblW w:w="0" w:type="auto"/>
        <w:jc w:val="left"/>
        <w:tblInd w:w="836" w:type="dxa"/>
        <w:tblLayout w:type="fixed"/>
        <w:tblCellMar>
          <w:top w:w="0" w:type="dxa"/>
          <w:left w:w="0" w:type="dxa"/>
          <w:bottom w:w="0" w:type="dxa"/>
          <w:right w:w="0" w:type="dxa"/>
        </w:tblCellMar>
        <w:tblLook w:val="01E0"/>
      </w:tblPr>
      <w:tblGrid>
        <w:gridCol w:w="1988"/>
        <w:gridCol w:w="1477"/>
        <w:gridCol w:w="1394"/>
        <w:gridCol w:w="1896"/>
        <w:gridCol w:w="1883"/>
      </w:tblGrid>
      <w:tr>
        <w:trPr>
          <w:trHeight w:val="303" w:hRule="exact"/>
        </w:trPr>
        <w:tc>
          <w:tcPr>
            <w:tcW w:w="19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8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47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类型</w:t>
            </w:r>
            <w:r>
              <w:rPr>
                <w:rFonts w:ascii="Microsoft JhengHei" w:hAnsi="Microsoft JhengHei" w:cs="Microsoft JhengHei" w:eastAsia="Microsoft JhengHei" w:hint="default"/>
                <w:sz w:val="18"/>
                <w:szCs w:val="18"/>
              </w:rPr>
            </w:r>
          </w:p>
        </w:tc>
        <w:tc>
          <w:tcPr>
            <w:tcW w:w="1394"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2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汇票金额</w:t>
            </w:r>
            <w:r>
              <w:rPr>
                <w:rFonts w:ascii="Microsoft JhengHei" w:hAnsi="Microsoft JhengHei" w:cs="Microsoft JhengHei" w:eastAsia="Microsoft JhengHei" w:hint="default"/>
                <w:sz w:val="18"/>
                <w:szCs w:val="18"/>
              </w:rPr>
            </w:r>
          </w:p>
        </w:tc>
        <w:tc>
          <w:tcPr>
            <w:tcW w:w="1896"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汇票期限</w:t>
            </w:r>
            <w:r>
              <w:rPr>
                <w:rFonts w:ascii="Microsoft JhengHei" w:hAnsi="Microsoft JhengHei" w:cs="Microsoft JhengHei" w:eastAsia="Microsoft JhengHei" w:hint="default"/>
                <w:sz w:val="18"/>
                <w:szCs w:val="18"/>
              </w:rPr>
            </w:r>
          </w:p>
        </w:tc>
        <w:tc>
          <w:tcPr>
            <w:tcW w:w="188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287" w:hRule="exact"/>
        </w:trPr>
        <w:tc>
          <w:tcPr>
            <w:tcW w:w="1988"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北京银行清华园支行</w:t>
            </w:r>
          </w:p>
        </w:tc>
        <w:tc>
          <w:tcPr>
            <w:tcW w:w="1477" w:type="dxa"/>
            <w:tcBorders>
              <w:top w:val="single" w:sz="4" w:space="0" w:color="000000"/>
              <w:left w:val="nil" w:sz="6" w:space="0" w:color="auto"/>
              <w:bottom w:val="nil" w:sz="6" w:space="0" w:color="auto"/>
              <w:right w:val="nil" w:sz="6" w:space="0" w:color="auto"/>
            </w:tcBorders>
          </w:tcPr>
          <w:p>
            <w:pPr>
              <w:pStyle w:val="TableParagraph"/>
              <w:spacing w:line="226" w:lineRule="exact"/>
              <w:ind w:left="124" w:right="0"/>
              <w:jc w:val="center"/>
              <w:rPr>
                <w:rFonts w:ascii="楷体" w:hAnsi="楷体" w:cs="楷体" w:eastAsia="楷体" w:hint="default"/>
                <w:sz w:val="18"/>
                <w:szCs w:val="18"/>
              </w:rPr>
            </w:pPr>
            <w:r>
              <w:rPr>
                <w:rFonts w:ascii="楷体" w:hAnsi="楷体" w:cs="楷体" w:eastAsia="楷体" w:hint="default"/>
                <w:sz w:val="18"/>
                <w:szCs w:val="18"/>
              </w:rPr>
              <w:t>银行借款</w:t>
            </w:r>
          </w:p>
        </w:tc>
        <w:tc>
          <w:tcPr>
            <w:tcW w:w="1394" w:type="dxa"/>
            <w:tcBorders>
              <w:top w:val="single" w:sz="4" w:space="0" w:color="000000"/>
              <w:left w:val="nil" w:sz="6" w:space="0" w:color="auto"/>
              <w:bottom w:val="nil" w:sz="6" w:space="0" w:color="auto"/>
              <w:right w:val="nil" w:sz="6" w:space="0" w:color="auto"/>
            </w:tcBorders>
          </w:tcPr>
          <w:p>
            <w:pPr>
              <w:pStyle w:val="TableParagraph"/>
              <w:spacing w:line="239" w:lineRule="exact"/>
              <w:ind w:right="107"/>
              <w:jc w:val="right"/>
              <w:rPr>
                <w:rFonts w:ascii="楷体" w:hAnsi="楷体" w:cs="楷体" w:eastAsia="楷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2008.04.28-2009.04.28</w:t>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6" w:right="0"/>
              <w:jc w:val="center"/>
              <w:rPr>
                <w:rFonts w:ascii="Times New Roman" w:hAnsi="Times New Roman" w:cs="Times New Roman" w:eastAsia="Times New Roman" w:hint="default"/>
                <w:sz w:val="18"/>
                <w:szCs w:val="18"/>
              </w:rPr>
            </w:pPr>
            <w:r>
              <w:rPr>
                <w:rFonts w:ascii="Times New Roman"/>
                <w:sz w:val="18"/>
              </w:rPr>
              <w:t>2008.04.28-2011.04.28</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北京银行清华园支行</w:t>
            </w:r>
          </w:p>
        </w:tc>
        <w:tc>
          <w:tcPr>
            <w:tcW w:w="1477" w:type="dxa"/>
            <w:tcBorders>
              <w:top w:val="nil" w:sz="6" w:space="0" w:color="auto"/>
              <w:left w:val="nil" w:sz="6" w:space="0" w:color="auto"/>
              <w:bottom w:val="nil" w:sz="6" w:space="0" w:color="auto"/>
              <w:right w:val="nil" w:sz="6" w:space="0" w:color="auto"/>
            </w:tcBorders>
          </w:tcPr>
          <w:p>
            <w:pPr>
              <w:pStyle w:val="TableParagraph"/>
              <w:spacing w:line="227" w:lineRule="exact"/>
              <w:ind w:left="124" w:right="0"/>
              <w:jc w:val="center"/>
              <w:rPr>
                <w:rFonts w:ascii="楷体" w:hAnsi="楷体" w:cs="楷体" w:eastAsia="楷体" w:hint="default"/>
                <w:sz w:val="18"/>
                <w:szCs w:val="18"/>
              </w:rPr>
            </w:pPr>
            <w:r>
              <w:rPr>
                <w:rFonts w:ascii="楷体" w:hAnsi="楷体" w:cs="楷体" w:eastAsia="楷体" w:hint="default"/>
                <w:sz w:val="18"/>
                <w:szCs w:val="18"/>
              </w:rPr>
              <w:t>银行借款</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楷体" w:hAnsi="楷体" w:cs="楷体" w:eastAsia="楷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2008.06.19-2009.06.19</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2008.06.19-2011.06.19</w:t>
            </w:r>
          </w:p>
        </w:tc>
      </w:tr>
      <w:tr>
        <w:trPr>
          <w:trHeight w:val="28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北京银行清华园支行</w:t>
            </w:r>
          </w:p>
        </w:tc>
        <w:tc>
          <w:tcPr>
            <w:tcW w:w="1477" w:type="dxa"/>
            <w:tcBorders>
              <w:top w:val="nil" w:sz="6" w:space="0" w:color="auto"/>
              <w:left w:val="nil" w:sz="6" w:space="0" w:color="auto"/>
              <w:bottom w:val="nil" w:sz="6" w:space="0" w:color="auto"/>
              <w:right w:val="nil" w:sz="6" w:space="0" w:color="auto"/>
            </w:tcBorders>
          </w:tcPr>
          <w:p>
            <w:pPr>
              <w:pStyle w:val="TableParagraph"/>
              <w:spacing w:line="227" w:lineRule="exact"/>
              <w:ind w:left="124" w:right="0"/>
              <w:jc w:val="center"/>
              <w:rPr>
                <w:rFonts w:ascii="楷体" w:hAnsi="楷体" w:cs="楷体" w:eastAsia="楷体" w:hint="default"/>
                <w:sz w:val="18"/>
                <w:szCs w:val="18"/>
              </w:rPr>
            </w:pPr>
            <w:r>
              <w:rPr>
                <w:rFonts w:ascii="楷体" w:hAnsi="楷体" w:cs="楷体" w:eastAsia="楷体" w:hint="default"/>
                <w:sz w:val="18"/>
                <w:szCs w:val="18"/>
              </w:rPr>
              <w:t>银行借款</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楷体" w:hAnsi="楷体" w:cs="楷体" w:eastAsia="楷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2008.10.30-2009.10.30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2008.10.30-2011.10.30</w:t>
            </w:r>
          </w:p>
        </w:tc>
      </w:tr>
      <w:tr>
        <w:trPr>
          <w:trHeight w:val="299" w:hRule="exact"/>
        </w:trPr>
        <w:tc>
          <w:tcPr>
            <w:tcW w:w="1988" w:type="dxa"/>
            <w:tcBorders>
              <w:top w:val="nil" w:sz="6" w:space="0" w:color="auto"/>
              <w:left w:val="nil" w:sz="6" w:space="0" w:color="auto"/>
              <w:bottom w:val="single" w:sz="12"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北京银行清华园支行</w:t>
            </w:r>
          </w:p>
        </w:tc>
        <w:tc>
          <w:tcPr>
            <w:tcW w:w="1477" w:type="dxa"/>
            <w:tcBorders>
              <w:top w:val="nil" w:sz="6" w:space="0" w:color="auto"/>
              <w:left w:val="nil" w:sz="6" w:space="0" w:color="auto"/>
              <w:bottom w:val="single" w:sz="12" w:space="0" w:color="000000"/>
              <w:right w:val="nil" w:sz="6" w:space="0" w:color="auto"/>
            </w:tcBorders>
          </w:tcPr>
          <w:p>
            <w:pPr>
              <w:pStyle w:val="TableParagraph"/>
              <w:spacing w:line="227" w:lineRule="exact"/>
              <w:ind w:left="124" w:right="0"/>
              <w:jc w:val="center"/>
              <w:rPr>
                <w:rFonts w:ascii="楷体" w:hAnsi="楷体" w:cs="楷体" w:eastAsia="楷体" w:hint="default"/>
                <w:sz w:val="18"/>
                <w:szCs w:val="18"/>
              </w:rPr>
            </w:pPr>
            <w:r>
              <w:rPr>
                <w:rFonts w:ascii="楷体" w:hAnsi="楷体" w:cs="楷体" w:eastAsia="楷体" w:hint="default"/>
                <w:sz w:val="18"/>
                <w:szCs w:val="18"/>
              </w:rPr>
              <w:t>银行承兑汇票</w:t>
            </w:r>
          </w:p>
        </w:tc>
        <w:tc>
          <w:tcPr>
            <w:tcW w:w="1394" w:type="dxa"/>
            <w:tcBorders>
              <w:top w:val="nil" w:sz="6" w:space="0" w:color="auto"/>
              <w:left w:val="nil" w:sz="6" w:space="0" w:color="auto"/>
              <w:bottom w:val="single" w:sz="12" w:space="0" w:color="000000"/>
              <w:right w:val="nil" w:sz="6" w:space="0" w:color="auto"/>
            </w:tcBorders>
          </w:tcPr>
          <w:p>
            <w:pPr>
              <w:pStyle w:val="TableParagraph"/>
              <w:spacing w:line="240" w:lineRule="exact"/>
              <w:ind w:right="107"/>
              <w:jc w:val="right"/>
              <w:rPr>
                <w:rFonts w:ascii="楷体" w:hAnsi="楷体" w:cs="楷体" w:eastAsia="楷体" w:hint="default"/>
                <w:sz w:val="18"/>
                <w:szCs w:val="18"/>
              </w:rPr>
            </w:pPr>
            <w:r>
              <w:rPr>
                <w:rFonts w:ascii="Times New Roman" w:hAnsi="Times New Roman" w:cs="Times New Roman" w:eastAsia="Times New Roman" w:hint="default"/>
                <w:sz w:val="18"/>
                <w:szCs w:val="18"/>
              </w:rPr>
              <w:t>80.61</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1896"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2008.10.10-2009.02.14</w:t>
            </w:r>
          </w:p>
        </w:tc>
        <w:tc>
          <w:tcPr>
            <w:tcW w:w="1883" w:type="dxa"/>
            <w:tcBorders>
              <w:top w:val="nil" w:sz="6" w:space="0" w:color="auto"/>
              <w:left w:val="nil" w:sz="6" w:space="0" w:color="auto"/>
              <w:bottom w:val="single" w:sz="12" w:space="0" w:color="000000"/>
              <w:right w:val="nil" w:sz="6" w:space="0" w:color="auto"/>
            </w:tcBorders>
          </w:tcPr>
          <w:p>
            <w:pPr>
              <w:pStyle w:val="TableParagraph"/>
              <w:spacing w:line="227" w:lineRule="exact"/>
              <w:ind w:left="5" w:right="0"/>
              <w:jc w:val="center"/>
              <w:rPr>
                <w:rFonts w:ascii="楷体" w:hAnsi="楷体" w:cs="楷体" w:eastAsia="楷体" w:hint="default"/>
                <w:sz w:val="18"/>
                <w:szCs w:val="18"/>
              </w:rPr>
            </w:pPr>
            <w:r>
              <w:rPr>
                <w:rFonts w:ascii="楷体" w:hAnsi="楷体" w:cs="楷体" w:eastAsia="楷体" w:hint="default"/>
                <w:sz w:val="18"/>
                <w:szCs w:val="18"/>
              </w:rPr>
              <w:t>——</w:t>
            </w:r>
          </w:p>
        </w:tc>
      </w:tr>
    </w:tbl>
    <w:p>
      <w:pPr>
        <w:spacing w:line="240" w:lineRule="auto" w:before="2"/>
        <w:rPr>
          <w:rFonts w:ascii="楷体" w:hAnsi="楷体" w:cs="楷体" w:eastAsia="楷体" w:hint="default"/>
          <w:sz w:val="5"/>
          <w:szCs w:val="5"/>
        </w:rPr>
      </w:pPr>
    </w:p>
    <w:p>
      <w:pPr>
        <w:spacing w:line="307" w:lineRule="auto" w:before="31"/>
        <w:ind w:left="558" w:right="0"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44"/>
          <w:sz w:val="22"/>
          <w:szCs w:val="22"/>
        </w:rPr>
        <w:t> </w:t>
      </w:r>
      <w:r>
        <w:rPr>
          <w:rFonts w:ascii="楷体" w:hAnsi="楷体" w:cs="楷体" w:eastAsia="楷体" w:hint="default"/>
          <w:sz w:val="22"/>
          <w:szCs w:val="22"/>
        </w:rPr>
        <w:t>截至</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年</w:t>
      </w:r>
      <w:r>
        <w:rPr>
          <w:rFonts w:ascii="楷体" w:hAnsi="楷体" w:cs="楷体" w:eastAsia="楷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月</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日，公司以保证方式为同方（哈尔滨）水务有限公司的下列银行</w:t>
      </w:r>
      <w:r>
        <w:rPr>
          <w:rFonts w:ascii="楷体" w:hAnsi="楷体" w:cs="楷体" w:eastAsia="楷体" w:hint="default"/>
          <w:w w:val="99"/>
          <w:sz w:val="22"/>
          <w:szCs w:val="22"/>
        </w:rPr>
        <w:t> </w:t>
      </w:r>
      <w:r>
        <w:rPr>
          <w:rFonts w:ascii="楷体" w:hAnsi="楷体" w:cs="楷体" w:eastAsia="楷体" w:hint="default"/>
          <w:sz w:val="22"/>
          <w:szCs w:val="22"/>
        </w:rPr>
        <w:t>借款提供连带责任担保：</w:t>
      </w:r>
    </w:p>
    <w:p>
      <w:pPr>
        <w:spacing w:line="240" w:lineRule="auto" w:before="12"/>
        <w:rPr>
          <w:rFonts w:ascii="楷体" w:hAnsi="楷体" w:cs="楷体" w:eastAsia="楷体" w:hint="default"/>
          <w:sz w:val="8"/>
          <w:szCs w:val="8"/>
        </w:rPr>
      </w:pPr>
    </w:p>
    <w:tbl>
      <w:tblPr>
        <w:tblW w:w="0" w:type="auto"/>
        <w:jc w:val="left"/>
        <w:tblInd w:w="836" w:type="dxa"/>
        <w:tblLayout w:type="fixed"/>
        <w:tblCellMar>
          <w:top w:w="0" w:type="dxa"/>
          <w:left w:w="0" w:type="dxa"/>
          <w:bottom w:w="0" w:type="dxa"/>
          <w:right w:w="0" w:type="dxa"/>
        </w:tblCellMar>
        <w:tblLook w:val="01E0"/>
      </w:tblPr>
      <w:tblGrid>
        <w:gridCol w:w="2655"/>
        <w:gridCol w:w="1782"/>
        <w:gridCol w:w="2143"/>
        <w:gridCol w:w="2058"/>
      </w:tblGrid>
      <w:tr>
        <w:trPr>
          <w:trHeight w:val="303" w:hRule="exact"/>
        </w:trPr>
        <w:tc>
          <w:tcPr>
            <w:tcW w:w="265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78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9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14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05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287" w:hRule="exact"/>
        </w:trPr>
        <w:tc>
          <w:tcPr>
            <w:tcW w:w="265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中国建设银行北京海淀支行</w:t>
            </w:r>
          </w:p>
        </w:tc>
        <w:tc>
          <w:tcPr>
            <w:tcW w:w="1782" w:type="dxa"/>
            <w:tcBorders>
              <w:top w:val="single" w:sz="4" w:space="0" w:color="000000"/>
              <w:left w:val="nil" w:sz="6" w:space="0" w:color="auto"/>
              <w:bottom w:val="nil" w:sz="6" w:space="0" w:color="auto"/>
              <w:right w:val="nil" w:sz="6" w:space="0" w:color="auto"/>
            </w:tcBorders>
          </w:tcPr>
          <w:p>
            <w:pPr>
              <w:pStyle w:val="TableParagraph"/>
              <w:spacing w:line="239" w:lineRule="exact"/>
              <w:ind w:right="267"/>
              <w:jc w:val="right"/>
              <w:rPr>
                <w:rFonts w:ascii="楷体" w:hAnsi="楷体" w:cs="楷体" w:eastAsia="楷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77" w:right="0"/>
              <w:jc w:val="center"/>
              <w:rPr>
                <w:rFonts w:ascii="Times New Roman" w:hAnsi="Times New Roman" w:cs="Times New Roman" w:eastAsia="Times New Roman" w:hint="default"/>
                <w:sz w:val="18"/>
                <w:szCs w:val="18"/>
              </w:rPr>
            </w:pPr>
            <w:r>
              <w:rPr>
                <w:rFonts w:ascii="Times New Roman"/>
                <w:sz w:val="18"/>
              </w:rPr>
              <w:t>2008.08.07-2010.08.06</w:t>
            </w:r>
          </w:p>
        </w:tc>
        <w:tc>
          <w:tcPr>
            <w:tcW w:w="205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6" w:right="0"/>
              <w:jc w:val="center"/>
              <w:rPr>
                <w:rFonts w:ascii="Times New Roman" w:hAnsi="Times New Roman" w:cs="Times New Roman" w:eastAsia="Times New Roman" w:hint="default"/>
                <w:sz w:val="18"/>
                <w:szCs w:val="18"/>
              </w:rPr>
            </w:pPr>
            <w:r>
              <w:rPr>
                <w:rFonts w:ascii="Times New Roman"/>
                <w:sz w:val="18"/>
              </w:rPr>
              <w:t>2008.08.07-2012.08.06</w:t>
            </w:r>
          </w:p>
        </w:tc>
      </w:tr>
      <w:tr>
        <w:trPr>
          <w:trHeight w:val="283" w:hRule="exact"/>
        </w:trPr>
        <w:tc>
          <w:tcPr>
            <w:tcW w:w="265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民生银行北京阜城门支行</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exact"/>
              <w:ind w:right="268"/>
              <w:jc w:val="right"/>
              <w:rPr>
                <w:rFonts w:ascii="楷体" w:hAnsi="楷体" w:cs="楷体" w:eastAsia="楷体" w:hint="default"/>
                <w:sz w:val="18"/>
                <w:szCs w:val="18"/>
              </w:rPr>
            </w:pP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7" w:right="0"/>
              <w:jc w:val="center"/>
              <w:rPr>
                <w:rFonts w:ascii="Times New Roman" w:hAnsi="Times New Roman" w:cs="Times New Roman" w:eastAsia="Times New Roman" w:hint="default"/>
                <w:sz w:val="18"/>
                <w:szCs w:val="18"/>
              </w:rPr>
            </w:pPr>
            <w:r>
              <w:rPr>
                <w:rFonts w:ascii="Times New Roman"/>
                <w:sz w:val="18"/>
              </w:rPr>
              <w:t>2008.12.25-2009.12.25</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2008.12.25-2011.12.25</w:t>
            </w:r>
          </w:p>
        </w:tc>
      </w:tr>
      <w:tr>
        <w:trPr>
          <w:trHeight w:val="283" w:hRule="exact"/>
        </w:trPr>
        <w:tc>
          <w:tcPr>
            <w:tcW w:w="265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招商银行北京金融街支行</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exact"/>
              <w:ind w:right="268"/>
              <w:jc w:val="right"/>
              <w:rPr>
                <w:rFonts w:ascii="楷体" w:hAnsi="楷体" w:cs="楷体" w:eastAsia="楷体" w:hint="default"/>
                <w:sz w:val="18"/>
                <w:szCs w:val="18"/>
              </w:rPr>
            </w:pP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7" w:right="0"/>
              <w:jc w:val="center"/>
              <w:rPr>
                <w:rFonts w:ascii="Times New Roman" w:hAnsi="Times New Roman" w:cs="Times New Roman" w:eastAsia="Times New Roman" w:hint="default"/>
                <w:sz w:val="18"/>
                <w:szCs w:val="18"/>
              </w:rPr>
            </w:pPr>
            <w:r>
              <w:rPr>
                <w:rFonts w:ascii="Times New Roman"/>
                <w:sz w:val="18"/>
              </w:rPr>
              <w:t>2008.04.23-2009.02.02</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2008.04.23-2011.02.02</w:t>
            </w:r>
          </w:p>
        </w:tc>
      </w:tr>
      <w:tr>
        <w:trPr>
          <w:trHeight w:val="283" w:hRule="exact"/>
        </w:trPr>
        <w:tc>
          <w:tcPr>
            <w:tcW w:w="265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招商银行北京金融街支行</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exact"/>
              <w:ind w:right="268"/>
              <w:jc w:val="right"/>
              <w:rPr>
                <w:rFonts w:ascii="楷体" w:hAnsi="楷体" w:cs="楷体" w:eastAsia="楷体" w:hint="default"/>
                <w:sz w:val="18"/>
                <w:szCs w:val="18"/>
              </w:rPr>
            </w:pP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7" w:right="0"/>
              <w:jc w:val="center"/>
              <w:rPr>
                <w:rFonts w:ascii="Times New Roman" w:hAnsi="Times New Roman" w:cs="Times New Roman" w:eastAsia="Times New Roman" w:hint="default"/>
                <w:sz w:val="18"/>
                <w:szCs w:val="18"/>
              </w:rPr>
            </w:pPr>
            <w:r>
              <w:rPr>
                <w:rFonts w:ascii="Times New Roman"/>
                <w:sz w:val="18"/>
              </w:rPr>
              <w:t>2008.05.04-2009.01.23</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2008.05.04-2011.01.23</w:t>
            </w:r>
          </w:p>
        </w:tc>
      </w:tr>
      <w:tr>
        <w:trPr>
          <w:trHeight w:val="283" w:hRule="exact"/>
        </w:trPr>
        <w:tc>
          <w:tcPr>
            <w:tcW w:w="265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招商银行北京金融街支行</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exact"/>
              <w:ind w:right="268"/>
              <w:jc w:val="right"/>
              <w:rPr>
                <w:rFonts w:ascii="楷体" w:hAnsi="楷体" w:cs="楷体" w:eastAsia="楷体" w:hint="default"/>
                <w:sz w:val="18"/>
                <w:szCs w:val="18"/>
              </w:rPr>
            </w:pP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7" w:right="0"/>
              <w:jc w:val="center"/>
              <w:rPr>
                <w:rFonts w:ascii="Times New Roman" w:hAnsi="Times New Roman" w:cs="Times New Roman" w:eastAsia="Times New Roman" w:hint="default"/>
                <w:sz w:val="18"/>
                <w:szCs w:val="18"/>
              </w:rPr>
            </w:pPr>
            <w:r>
              <w:rPr>
                <w:rFonts w:ascii="Times New Roman"/>
                <w:sz w:val="18"/>
              </w:rPr>
              <w:t>2008.05.27-2009.02.02</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2008.05.27-2011.02.02</w:t>
            </w:r>
          </w:p>
        </w:tc>
      </w:tr>
      <w:tr>
        <w:trPr>
          <w:trHeight w:val="299" w:hRule="exact"/>
        </w:trPr>
        <w:tc>
          <w:tcPr>
            <w:tcW w:w="2655" w:type="dxa"/>
            <w:tcBorders>
              <w:top w:val="nil" w:sz="6" w:space="0" w:color="auto"/>
              <w:left w:val="nil" w:sz="6" w:space="0" w:color="auto"/>
              <w:bottom w:val="single" w:sz="12"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招商银行北京金融街支行</w:t>
            </w:r>
          </w:p>
        </w:tc>
        <w:tc>
          <w:tcPr>
            <w:tcW w:w="1782" w:type="dxa"/>
            <w:tcBorders>
              <w:top w:val="nil" w:sz="6" w:space="0" w:color="auto"/>
              <w:left w:val="nil" w:sz="6" w:space="0" w:color="auto"/>
              <w:bottom w:val="single" w:sz="12" w:space="0" w:color="000000"/>
              <w:right w:val="nil" w:sz="6" w:space="0" w:color="auto"/>
            </w:tcBorders>
          </w:tcPr>
          <w:p>
            <w:pPr>
              <w:pStyle w:val="TableParagraph"/>
              <w:spacing w:line="240" w:lineRule="exact"/>
              <w:ind w:right="268"/>
              <w:jc w:val="right"/>
              <w:rPr>
                <w:rFonts w:ascii="楷体" w:hAnsi="楷体" w:cs="楷体" w:eastAsia="楷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14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77" w:right="0"/>
              <w:jc w:val="center"/>
              <w:rPr>
                <w:rFonts w:ascii="Times New Roman" w:hAnsi="Times New Roman" w:cs="Times New Roman" w:eastAsia="Times New Roman" w:hint="default"/>
                <w:sz w:val="18"/>
                <w:szCs w:val="18"/>
              </w:rPr>
            </w:pPr>
            <w:r>
              <w:rPr>
                <w:rFonts w:ascii="Times New Roman"/>
                <w:sz w:val="18"/>
              </w:rPr>
              <w:t>2008.06.10-2009.02.02</w:t>
            </w:r>
          </w:p>
        </w:tc>
        <w:tc>
          <w:tcPr>
            <w:tcW w:w="2058"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2008.06.10-2011.02.02</w:t>
            </w:r>
          </w:p>
        </w:tc>
      </w:tr>
    </w:tbl>
    <w:p>
      <w:pPr>
        <w:spacing w:line="307" w:lineRule="auto" w:before="79"/>
        <w:ind w:left="558" w:right="0"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44"/>
          <w:sz w:val="22"/>
          <w:szCs w:val="22"/>
        </w:rPr>
        <w:t> </w:t>
      </w:r>
      <w:r>
        <w:rPr>
          <w:rFonts w:ascii="楷体" w:hAnsi="楷体" w:cs="楷体" w:eastAsia="楷体" w:hint="default"/>
          <w:sz w:val="22"/>
          <w:szCs w:val="22"/>
        </w:rPr>
        <w:t>截至</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年</w:t>
      </w:r>
      <w:r>
        <w:rPr>
          <w:rFonts w:ascii="楷体" w:hAnsi="楷体" w:cs="楷体" w:eastAsia="楷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月</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日，公司以保证方式为佳木斯同方水务有限责任公司的下列银行</w:t>
      </w:r>
      <w:r>
        <w:rPr>
          <w:rFonts w:ascii="楷体" w:hAnsi="楷体" w:cs="楷体" w:eastAsia="楷体" w:hint="default"/>
          <w:w w:val="99"/>
          <w:sz w:val="22"/>
          <w:szCs w:val="22"/>
        </w:rPr>
        <w:t> </w:t>
      </w:r>
      <w:r>
        <w:rPr>
          <w:rFonts w:ascii="楷体" w:hAnsi="楷体" w:cs="楷体" w:eastAsia="楷体" w:hint="default"/>
          <w:sz w:val="22"/>
          <w:szCs w:val="22"/>
        </w:rPr>
        <w:t>借款提供连带责任担保：</w:t>
      </w:r>
    </w:p>
    <w:p>
      <w:pPr>
        <w:spacing w:line="240" w:lineRule="auto" w:before="12"/>
        <w:rPr>
          <w:rFonts w:ascii="楷体" w:hAnsi="楷体" w:cs="楷体" w:eastAsia="楷体" w:hint="default"/>
          <w:sz w:val="8"/>
          <w:szCs w:val="8"/>
        </w:rPr>
      </w:pPr>
    </w:p>
    <w:tbl>
      <w:tblPr>
        <w:tblW w:w="0" w:type="auto"/>
        <w:jc w:val="left"/>
        <w:tblInd w:w="836" w:type="dxa"/>
        <w:tblLayout w:type="fixed"/>
        <w:tblCellMar>
          <w:top w:w="0" w:type="dxa"/>
          <w:left w:w="0" w:type="dxa"/>
          <w:bottom w:w="0" w:type="dxa"/>
          <w:right w:w="0" w:type="dxa"/>
        </w:tblCellMar>
        <w:tblLook w:val="01E0"/>
      </w:tblPr>
      <w:tblGrid>
        <w:gridCol w:w="2615"/>
        <w:gridCol w:w="1825"/>
        <w:gridCol w:w="2134"/>
        <w:gridCol w:w="2064"/>
      </w:tblGrid>
      <w:tr>
        <w:trPr>
          <w:trHeight w:val="302" w:hRule="exact"/>
        </w:trPr>
        <w:tc>
          <w:tcPr>
            <w:tcW w:w="261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82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3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13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064"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304" w:hRule="exact"/>
        </w:trPr>
        <w:tc>
          <w:tcPr>
            <w:tcW w:w="261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招商银行北京金融街支行</w:t>
            </w:r>
          </w:p>
        </w:tc>
        <w:tc>
          <w:tcPr>
            <w:tcW w:w="1825"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264" w:right="0"/>
              <w:jc w:val="center"/>
              <w:rPr>
                <w:rFonts w:ascii="楷体" w:hAnsi="楷体" w:cs="楷体" w:eastAsia="楷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71" w:right="0"/>
              <w:jc w:val="center"/>
              <w:rPr>
                <w:rFonts w:ascii="Times New Roman" w:hAnsi="Times New Roman" w:cs="Times New Roman" w:eastAsia="Times New Roman" w:hint="default"/>
                <w:sz w:val="18"/>
                <w:szCs w:val="18"/>
              </w:rPr>
            </w:pPr>
            <w:r>
              <w:rPr>
                <w:rFonts w:ascii="Times New Roman"/>
                <w:sz w:val="18"/>
              </w:rPr>
              <w:t>2008.05.19-2009.02.02</w:t>
            </w:r>
          </w:p>
        </w:tc>
        <w:tc>
          <w:tcPr>
            <w:tcW w:w="20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
              <w:jc w:val="center"/>
              <w:rPr>
                <w:rFonts w:ascii="Times New Roman" w:hAnsi="Times New Roman" w:cs="Times New Roman" w:eastAsia="Times New Roman" w:hint="default"/>
                <w:sz w:val="18"/>
                <w:szCs w:val="18"/>
              </w:rPr>
            </w:pPr>
            <w:r>
              <w:rPr>
                <w:rFonts w:ascii="Times New Roman"/>
                <w:sz w:val="18"/>
              </w:rPr>
              <w:t>2008.05.19-2011.02.02</w:t>
            </w:r>
          </w:p>
        </w:tc>
      </w:tr>
    </w:tbl>
    <w:p>
      <w:pPr>
        <w:spacing w:after="0" w:line="240" w:lineRule="auto"/>
        <w:jc w:val="center"/>
        <w:rPr>
          <w:rFonts w:ascii="Times New Roman" w:hAnsi="Times New Roman" w:cs="Times New Roman" w:eastAsia="Times New Roman" w:hint="default"/>
          <w:sz w:val="18"/>
          <w:szCs w:val="18"/>
        </w:rPr>
        <w:sectPr>
          <w:pgSz w:w="11910" w:h="16840"/>
          <w:pgMar w:header="610" w:footer="784" w:top="1080" w:bottom="980" w:left="860" w:right="740"/>
        </w:sectPr>
      </w:pPr>
    </w:p>
    <w:p>
      <w:pPr>
        <w:spacing w:line="240" w:lineRule="auto" w:before="0"/>
        <w:rPr>
          <w:rFonts w:ascii="楷体" w:hAnsi="楷体" w:cs="楷体" w:eastAsia="楷体" w:hint="default"/>
          <w:sz w:val="20"/>
          <w:szCs w:val="20"/>
        </w:rPr>
      </w:pPr>
    </w:p>
    <w:p>
      <w:pPr>
        <w:spacing w:line="240" w:lineRule="auto" w:before="4"/>
        <w:rPr>
          <w:rFonts w:ascii="楷体" w:hAnsi="楷体" w:cs="楷体" w:eastAsia="楷体" w:hint="default"/>
          <w:sz w:val="25"/>
          <w:szCs w:val="25"/>
        </w:rPr>
      </w:pPr>
    </w:p>
    <w:p>
      <w:pPr>
        <w:spacing w:line="307" w:lineRule="auto" w:before="31"/>
        <w:ind w:left="138" w:right="0"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44"/>
          <w:sz w:val="22"/>
          <w:szCs w:val="22"/>
        </w:rPr>
        <w:t> </w:t>
      </w:r>
      <w:r>
        <w:rPr>
          <w:rFonts w:ascii="楷体" w:hAnsi="楷体" w:cs="楷体" w:eastAsia="楷体" w:hint="default"/>
          <w:sz w:val="22"/>
          <w:szCs w:val="22"/>
        </w:rPr>
        <w:t>截至</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年</w:t>
      </w:r>
      <w:r>
        <w:rPr>
          <w:rFonts w:ascii="楷体" w:hAnsi="楷体" w:cs="楷体" w:eastAsia="楷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月</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日，公司以保证方式为淮安同方水务有限公司的下列银行借款提</w:t>
      </w:r>
      <w:r>
        <w:rPr>
          <w:rFonts w:ascii="楷体" w:hAnsi="楷体" w:cs="楷体" w:eastAsia="楷体" w:hint="default"/>
          <w:w w:val="99"/>
          <w:sz w:val="22"/>
          <w:szCs w:val="22"/>
        </w:rPr>
        <w:t> </w:t>
      </w:r>
      <w:r>
        <w:rPr>
          <w:rFonts w:ascii="楷体" w:hAnsi="楷体" w:cs="楷体" w:eastAsia="楷体" w:hint="default"/>
          <w:sz w:val="22"/>
          <w:szCs w:val="22"/>
        </w:rPr>
        <w:t>供连带责任担保：</w:t>
      </w:r>
    </w:p>
    <w:p>
      <w:pPr>
        <w:spacing w:line="240" w:lineRule="auto" w:before="12"/>
        <w:rPr>
          <w:rFonts w:ascii="楷体" w:hAnsi="楷体" w:cs="楷体" w:eastAsia="楷体" w:hint="default"/>
          <w:sz w:val="8"/>
          <w:szCs w:val="8"/>
        </w:rPr>
      </w:pPr>
    </w:p>
    <w:tbl>
      <w:tblPr>
        <w:tblW w:w="0" w:type="auto"/>
        <w:jc w:val="left"/>
        <w:tblInd w:w="416" w:type="dxa"/>
        <w:tblLayout w:type="fixed"/>
        <w:tblCellMar>
          <w:top w:w="0" w:type="dxa"/>
          <w:left w:w="0" w:type="dxa"/>
          <w:bottom w:w="0" w:type="dxa"/>
          <w:right w:w="0" w:type="dxa"/>
        </w:tblCellMar>
        <w:tblLook w:val="01E0"/>
      </w:tblPr>
      <w:tblGrid>
        <w:gridCol w:w="2699"/>
        <w:gridCol w:w="1737"/>
        <w:gridCol w:w="2143"/>
        <w:gridCol w:w="2058"/>
      </w:tblGrid>
      <w:tr>
        <w:trPr>
          <w:trHeight w:val="361" w:hRule="exact"/>
        </w:trPr>
        <w:tc>
          <w:tcPr>
            <w:tcW w:w="2699"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737"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8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143"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7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058"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344" w:hRule="exact"/>
        </w:trPr>
        <w:tc>
          <w:tcPr>
            <w:tcW w:w="2699"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07" w:right="0"/>
              <w:jc w:val="left"/>
              <w:rPr>
                <w:rFonts w:ascii="楷体" w:hAnsi="楷体" w:cs="楷体" w:eastAsia="楷体" w:hint="default"/>
                <w:sz w:val="18"/>
                <w:szCs w:val="18"/>
              </w:rPr>
            </w:pPr>
            <w:r>
              <w:rPr>
                <w:rFonts w:ascii="楷体" w:hAnsi="楷体" w:cs="楷体" w:eastAsia="楷体" w:hint="default"/>
                <w:sz w:val="18"/>
                <w:szCs w:val="18"/>
              </w:rPr>
              <w:t>中国工商银行淮安城南支行</w:t>
            </w:r>
          </w:p>
        </w:tc>
        <w:tc>
          <w:tcPr>
            <w:tcW w:w="1737"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61" w:right="0"/>
              <w:jc w:val="center"/>
              <w:rPr>
                <w:rFonts w:ascii="楷体" w:hAnsi="楷体" w:cs="楷体" w:eastAsia="楷体" w:hint="default"/>
                <w:sz w:val="18"/>
                <w:szCs w:val="18"/>
              </w:rPr>
            </w:pPr>
            <w:r>
              <w:rPr>
                <w:rFonts w:ascii="Times New Roman" w:hAnsi="Times New Roman" w:cs="Times New Roman" w:eastAsia="Times New Roman" w:hint="default"/>
                <w:sz w:val="18"/>
                <w:szCs w:val="18"/>
              </w:rPr>
              <w:t>6,506.22</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77" w:right="0"/>
              <w:jc w:val="center"/>
              <w:rPr>
                <w:rFonts w:ascii="Times New Roman" w:hAnsi="Times New Roman" w:cs="Times New Roman" w:eastAsia="Times New Roman" w:hint="default"/>
                <w:sz w:val="18"/>
                <w:szCs w:val="18"/>
              </w:rPr>
            </w:pPr>
            <w:r>
              <w:rPr>
                <w:rFonts w:ascii="Times New Roman"/>
                <w:sz w:val="18"/>
              </w:rPr>
              <w:t>2007.04.17-2016.12.31</w:t>
            </w:r>
          </w:p>
        </w:tc>
        <w:tc>
          <w:tcPr>
            <w:tcW w:w="205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7" w:right="0"/>
              <w:jc w:val="center"/>
              <w:rPr>
                <w:rFonts w:ascii="Times New Roman" w:hAnsi="Times New Roman" w:cs="Times New Roman" w:eastAsia="Times New Roman" w:hint="default"/>
                <w:sz w:val="18"/>
                <w:szCs w:val="18"/>
              </w:rPr>
            </w:pPr>
            <w:r>
              <w:rPr>
                <w:rFonts w:ascii="Times New Roman"/>
                <w:sz w:val="18"/>
              </w:rPr>
              <w:t>2007.04.17-2018.12.31</w:t>
            </w:r>
          </w:p>
        </w:tc>
      </w:tr>
      <w:tr>
        <w:trPr>
          <w:trHeight w:val="356" w:hRule="exact"/>
        </w:trPr>
        <w:tc>
          <w:tcPr>
            <w:tcW w:w="2699"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left="107" w:right="0"/>
              <w:jc w:val="left"/>
              <w:rPr>
                <w:rFonts w:ascii="楷体" w:hAnsi="楷体" w:cs="楷体" w:eastAsia="楷体" w:hint="default"/>
                <w:sz w:val="18"/>
                <w:szCs w:val="18"/>
              </w:rPr>
            </w:pPr>
            <w:r>
              <w:rPr>
                <w:rFonts w:ascii="楷体" w:hAnsi="楷体" w:cs="楷体" w:eastAsia="楷体" w:hint="default"/>
                <w:sz w:val="18"/>
                <w:szCs w:val="18"/>
              </w:rPr>
              <w:t>民生银行安定门支行</w:t>
            </w:r>
          </w:p>
        </w:tc>
        <w:tc>
          <w:tcPr>
            <w:tcW w:w="1737"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left="161" w:right="0"/>
              <w:jc w:val="center"/>
              <w:rPr>
                <w:rFonts w:ascii="楷体" w:hAnsi="楷体" w:cs="楷体" w:eastAsia="楷体" w:hint="default"/>
                <w:sz w:val="18"/>
                <w:szCs w:val="18"/>
              </w:rPr>
            </w:pP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万元</w:t>
            </w:r>
          </w:p>
        </w:tc>
        <w:tc>
          <w:tcPr>
            <w:tcW w:w="2143"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left="77" w:right="0"/>
              <w:jc w:val="center"/>
              <w:rPr>
                <w:rFonts w:ascii="Times New Roman" w:hAnsi="Times New Roman" w:cs="Times New Roman" w:eastAsia="Times New Roman" w:hint="default"/>
                <w:sz w:val="18"/>
                <w:szCs w:val="18"/>
              </w:rPr>
            </w:pPr>
            <w:r>
              <w:rPr>
                <w:rFonts w:ascii="Times New Roman"/>
                <w:sz w:val="18"/>
              </w:rPr>
              <w:t>2008.09.28-2009.09.27</w:t>
            </w:r>
          </w:p>
        </w:tc>
        <w:tc>
          <w:tcPr>
            <w:tcW w:w="2058"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left="6" w:right="0"/>
              <w:jc w:val="center"/>
              <w:rPr>
                <w:rFonts w:ascii="Times New Roman" w:hAnsi="Times New Roman" w:cs="Times New Roman" w:eastAsia="Times New Roman" w:hint="default"/>
                <w:sz w:val="18"/>
                <w:szCs w:val="18"/>
              </w:rPr>
            </w:pPr>
            <w:r>
              <w:rPr>
                <w:rFonts w:ascii="Times New Roman"/>
                <w:sz w:val="18"/>
              </w:rPr>
              <w:t>2008.09.28-2011.09.27</w:t>
            </w:r>
          </w:p>
        </w:tc>
      </w:tr>
    </w:tbl>
    <w:p>
      <w:pPr>
        <w:spacing w:line="307" w:lineRule="auto" w:before="79"/>
        <w:ind w:left="138" w:right="0" w:firstLine="567"/>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w:t>
      </w:r>
      <w:r>
        <w:rPr>
          <w:rFonts w:ascii="Times New Roman" w:hAnsi="Times New Roman" w:cs="Times New Roman" w:eastAsia="Times New Roman" w:hint="default"/>
          <w:b/>
          <w:bCs/>
          <w:spacing w:val="44"/>
          <w:sz w:val="22"/>
          <w:szCs w:val="22"/>
        </w:rPr>
        <w:t> </w:t>
      </w:r>
      <w:r>
        <w:rPr>
          <w:rFonts w:ascii="楷体" w:hAnsi="楷体" w:cs="楷体" w:eastAsia="楷体" w:hint="default"/>
          <w:sz w:val="22"/>
          <w:szCs w:val="22"/>
        </w:rPr>
        <w:t>截至</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年</w:t>
      </w:r>
      <w:r>
        <w:rPr>
          <w:rFonts w:ascii="楷体" w:hAnsi="楷体" w:cs="楷体" w:eastAsia="楷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月</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日，公司以保证方式为同方环境股份有限公司的下列信用证及保</w:t>
      </w:r>
      <w:r>
        <w:rPr>
          <w:rFonts w:ascii="楷体" w:hAnsi="楷体" w:cs="楷体" w:eastAsia="楷体" w:hint="default"/>
          <w:w w:val="99"/>
          <w:sz w:val="22"/>
          <w:szCs w:val="22"/>
        </w:rPr>
        <w:t> </w:t>
      </w:r>
      <w:r>
        <w:rPr>
          <w:rFonts w:ascii="楷体" w:hAnsi="楷体" w:cs="楷体" w:eastAsia="楷体" w:hint="default"/>
          <w:sz w:val="22"/>
          <w:szCs w:val="22"/>
        </w:rPr>
        <w:t>函提供连带责任担保：</w:t>
      </w:r>
    </w:p>
    <w:p>
      <w:pPr>
        <w:tabs>
          <w:tab w:pos="2664" w:val="left" w:leader="none"/>
          <w:tab w:pos="4959" w:val="left" w:leader="none"/>
          <w:tab w:pos="7223" w:val="left" w:leader="none"/>
        </w:tabs>
        <w:spacing w:before="64"/>
        <w:ind w:left="785" w:right="0" w:firstLine="0"/>
        <w:jc w:val="left"/>
        <w:rPr>
          <w:rFonts w:ascii="Microsoft JhengHei" w:hAnsi="Microsoft JhengHei" w:cs="Microsoft JhengHei" w:eastAsia="Microsoft JhengHei" w:hint="default"/>
          <w:sz w:val="18"/>
          <w:szCs w:val="18"/>
        </w:rPr>
      </w:pPr>
      <w:r>
        <w:rPr/>
        <w:pict>
          <v:group style="position:absolute;margin-left:84.839996pt;margin-top:5.805512pt;width:431.9pt;height:.1pt;mso-position-horizontal-relative:page;mso-position-vertical-relative:paragraph;z-index:-896368" coordorigin="1697,116" coordsize="8638,2">
            <v:shape style="position:absolute;left:1697;top:116;width:8638;height:2" coordorigin="1697,116" coordsize="8638,0" path="m1697,116l10334,116e" filled="false" stroked="true" strokeweight="1.5pt" strokecolor="#000000">
              <v:path arrowok="t"/>
            </v:shape>
            <w10:wrap type="none"/>
          </v:group>
        </w:pict>
      </w:r>
      <w:r>
        <w:rPr>
          <w:rFonts w:ascii="Microsoft JhengHei" w:hAnsi="Microsoft JhengHei" w:cs="Microsoft JhengHei" w:eastAsia="Microsoft JhengHei" w:hint="default"/>
          <w:b/>
          <w:bCs/>
          <w:sz w:val="18"/>
          <w:szCs w:val="18"/>
        </w:rPr>
        <w:t>类型</w:t>
        <w:tab/>
        <w:t>贷款银行</w:t>
        <w:tab/>
        <w:t>信用证</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保函金额</w:t>
        <w:tab/>
        <w:t>信用证</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保函期限</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4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171" w:lineRule="exact" w:before="0"/>
        <w:ind w:left="5602" w:right="2246" w:firstLine="0"/>
        <w:jc w:val="left"/>
        <w:rPr>
          <w:rFonts w:ascii="楷体" w:hAnsi="楷体" w:cs="楷体" w:eastAsia="楷体" w:hint="default"/>
          <w:sz w:val="18"/>
          <w:szCs w:val="18"/>
        </w:rPr>
      </w:pPr>
      <w:r>
        <w:rPr>
          <w:rFonts w:ascii="Times New Roman" w:hAnsi="Times New Roman" w:cs="Times New Roman" w:eastAsia="Times New Roman" w:hint="default"/>
          <w:sz w:val="18"/>
          <w:szCs w:val="18"/>
        </w:rPr>
        <w:t>81.37</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万美元</w:t>
      </w:r>
    </w:p>
    <w:p>
      <w:pPr>
        <w:spacing w:after="0" w:line="171" w:lineRule="exact"/>
        <w:jc w:val="left"/>
        <w:rPr>
          <w:rFonts w:ascii="楷体" w:hAnsi="楷体" w:cs="楷体" w:eastAsia="楷体" w:hint="default"/>
          <w:sz w:val="18"/>
          <w:szCs w:val="18"/>
        </w:rPr>
        <w:sectPr>
          <w:pgSz w:w="11910" w:h="16840"/>
          <w:pgMar w:header="610" w:footer="784" w:top="1080" w:bottom="980" w:left="1280" w:right="1140"/>
        </w:sectPr>
      </w:pPr>
    </w:p>
    <w:p>
      <w:pPr>
        <w:tabs>
          <w:tab w:pos="1623" w:val="left" w:leader="none"/>
        </w:tabs>
        <w:spacing w:line="180" w:lineRule="exact" w:before="0"/>
        <w:ind w:left="524" w:right="-19" w:firstLine="0"/>
        <w:jc w:val="left"/>
        <w:rPr>
          <w:rFonts w:ascii="楷体" w:hAnsi="楷体" w:cs="楷体" w:eastAsia="楷体" w:hint="default"/>
          <w:sz w:val="18"/>
          <w:szCs w:val="18"/>
        </w:rPr>
      </w:pPr>
      <w:r>
        <w:rPr>
          <w:rFonts w:ascii="楷体" w:hAnsi="楷体" w:cs="楷体" w:eastAsia="楷体" w:hint="default"/>
          <w:sz w:val="18"/>
          <w:szCs w:val="18"/>
        </w:rPr>
        <w:t>信用证</w:t>
        <w:tab/>
        <w:t>招商银行北京金融街支行</w:t>
      </w:r>
    </w:p>
    <w:p>
      <w:pPr>
        <w:spacing w:before="90"/>
        <w:ind w:left="524" w:right="-18" w:firstLine="0"/>
        <w:jc w:val="left"/>
        <w:rPr>
          <w:rFonts w:ascii="楷体" w:hAnsi="楷体" w:cs="楷体" w:eastAsia="楷体" w:hint="default"/>
          <w:sz w:val="18"/>
          <w:szCs w:val="18"/>
        </w:rPr>
      </w:pPr>
      <w:r>
        <w:rPr/>
        <w:br w:type="column"/>
      </w:r>
      <w:r>
        <w:rPr>
          <w:rFonts w:ascii="楷体" w:hAnsi="楷体" w:cs="楷体" w:eastAsia="楷体" w:hint="default"/>
          <w:sz w:val="18"/>
          <w:szCs w:val="18"/>
        </w:rPr>
        <w:t>约</w:t>
      </w:r>
      <w:r>
        <w:rPr>
          <w:rFonts w:ascii="楷体" w:hAnsi="楷体" w:cs="楷体" w:eastAsia="楷体" w:hint="default"/>
          <w:spacing w:val="-46"/>
          <w:sz w:val="18"/>
          <w:szCs w:val="18"/>
        </w:rPr>
        <w:t> </w:t>
      </w:r>
      <w:r>
        <w:rPr>
          <w:rFonts w:ascii="Times New Roman" w:hAnsi="Times New Roman" w:cs="Times New Roman" w:eastAsia="Times New Roman" w:hint="default"/>
          <w:sz w:val="18"/>
          <w:szCs w:val="18"/>
        </w:rPr>
        <w:t>556.14</w:t>
      </w:r>
      <w:r>
        <w:rPr>
          <w:rFonts w:ascii="Times New Roman" w:hAnsi="Times New Roman" w:cs="Times New Roman" w:eastAsia="Times New Roman" w:hint="default"/>
          <w:spacing w:val="-1"/>
          <w:sz w:val="18"/>
          <w:szCs w:val="18"/>
        </w:rPr>
        <w:t> </w:t>
      </w:r>
      <w:r>
        <w:rPr>
          <w:rFonts w:ascii="楷体" w:hAnsi="楷体" w:cs="楷体" w:eastAsia="楷体" w:hint="default"/>
          <w:sz w:val="18"/>
          <w:szCs w:val="18"/>
        </w:rPr>
        <w:t>万人民币</w:t>
      </w:r>
    </w:p>
    <w:p>
      <w:pPr>
        <w:spacing w:line="194" w:lineRule="exact" w:before="0"/>
        <w:ind w:left="407" w:right="0" w:firstLine="0"/>
        <w:jc w:val="left"/>
        <w:rPr>
          <w:rFonts w:ascii="Times New Roman" w:hAnsi="Times New Roman" w:cs="Times New Roman" w:eastAsia="Times New Roman" w:hint="default"/>
          <w:sz w:val="18"/>
          <w:szCs w:val="18"/>
        </w:rPr>
      </w:pPr>
      <w:r>
        <w:rPr/>
        <w:br w:type="column"/>
      </w:r>
      <w:r>
        <w:rPr>
          <w:rFonts w:ascii="Times New Roman"/>
          <w:sz w:val="18"/>
        </w:rPr>
        <w:t>2007.04.05-2009.01.30</w:t>
      </w:r>
    </w:p>
    <w:p>
      <w:pPr>
        <w:spacing w:after="0" w:line="194" w:lineRule="exact"/>
        <w:jc w:val="left"/>
        <w:rPr>
          <w:rFonts w:ascii="Times New Roman" w:hAnsi="Times New Roman" w:cs="Times New Roman" w:eastAsia="Times New Roman" w:hint="default"/>
          <w:sz w:val="18"/>
          <w:szCs w:val="18"/>
        </w:rPr>
        <w:sectPr>
          <w:type w:val="continuous"/>
          <w:pgSz w:w="11910" w:h="16840"/>
          <w:pgMar w:top="1600" w:bottom="280" w:left="1280" w:right="1140"/>
          <w:cols w:num="3" w:equalWidth="0">
            <w:col w:w="3605" w:space="978"/>
            <w:col w:w="2010" w:space="40"/>
            <w:col w:w="2857"/>
          </w:cols>
        </w:sectPr>
      </w:pPr>
    </w:p>
    <w:p>
      <w:pPr>
        <w:tabs>
          <w:tab w:pos="1624" w:val="left" w:leader="none"/>
          <w:tab w:pos="5197" w:val="left" w:leader="none"/>
          <w:tab w:pos="8720" w:val="right" w:leader="none"/>
        </w:tabs>
        <w:spacing w:before="34"/>
        <w:ind w:left="524" w:right="0" w:firstLine="0"/>
        <w:jc w:val="left"/>
        <w:rPr>
          <w:rFonts w:ascii="Times New Roman" w:hAnsi="Times New Roman" w:cs="Times New Roman" w:eastAsia="Times New Roman" w:hint="default"/>
          <w:sz w:val="18"/>
          <w:szCs w:val="18"/>
        </w:rPr>
      </w:pPr>
      <w:r>
        <w:rPr>
          <w:rFonts w:ascii="楷体" w:hAnsi="楷体" w:cs="楷体" w:eastAsia="楷体" w:hint="default"/>
          <w:sz w:val="18"/>
          <w:szCs w:val="18"/>
        </w:rPr>
        <w:t>保函</w:t>
        <w:tab/>
        <w:t>招商银行北京金融街支行</w:t>
        <w:tab/>
      </w:r>
      <w:r>
        <w:rPr>
          <w:rFonts w:ascii="Times New Roman" w:hAnsi="Times New Roman" w:cs="Times New Roman" w:eastAsia="Times New Roman" w:hint="default"/>
          <w:sz w:val="18"/>
          <w:szCs w:val="18"/>
        </w:rPr>
        <w:t>3,021.27</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万人民币</w:t>
      </w:r>
      <w:r>
        <w:rPr>
          <w:rFonts w:ascii="Times New Roman" w:hAnsi="Times New Roman" w:cs="Times New Roman" w:eastAsia="Times New Roman" w:hint="default"/>
          <w:sz w:val="18"/>
          <w:szCs w:val="18"/>
        </w:rPr>
        <w:tab/>
        <w:t>2007.12.24-2010.06.30</w:t>
      </w:r>
    </w:p>
    <w:p>
      <w:pPr>
        <w:tabs>
          <w:tab w:pos="1624" w:val="left" w:leader="none"/>
          <w:tab w:pos="5197" w:val="left" w:leader="none"/>
          <w:tab w:pos="8720" w:val="right" w:leader="none"/>
        </w:tabs>
        <w:spacing w:before="33"/>
        <w:ind w:left="525" w:right="0" w:firstLine="0"/>
        <w:jc w:val="left"/>
        <w:rPr>
          <w:rFonts w:ascii="Times New Roman" w:hAnsi="Times New Roman" w:cs="Times New Roman" w:eastAsia="Times New Roman" w:hint="default"/>
          <w:sz w:val="18"/>
          <w:szCs w:val="18"/>
        </w:rPr>
      </w:pPr>
      <w:r>
        <w:rPr>
          <w:rFonts w:ascii="楷体" w:hAnsi="楷体" w:cs="楷体" w:eastAsia="楷体" w:hint="default"/>
          <w:sz w:val="18"/>
          <w:szCs w:val="18"/>
        </w:rPr>
        <w:t>保函</w:t>
        <w:tab/>
        <w:t>中国银行中关村科技园支行</w:t>
        <w:tab/>
      </w:r>
      <w:r>
        <w:rPr>
          <w:rFonts w:ascii="Times New Roman" w:hAnsi="Times New Roman" w:cs="Times New Roman" w:eastAsia="Times New Roman" w:hint="default"/>
          <w:sz w:val="18"/>
          <w:szCs w:val="18"/>
        </w:rPr>
        <w:t>3,591.75</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万人民币</w:t>
      </w:r>
      <w:r>
        <w:rPr>
          <w:rFonts w:ascii="Times New Roman" w:hAnsi="Times New Roman" w:cs="Times New Roman" w:eastAsia="Times New Roman" w:hint="default"/>
          <w:sz w:val="18"/>
          <w:szCs w:val="18"/>
        </w:rPr>
        <w:tab/>
        <w:t>2005.12.19-2009.06.30</w:t>
      </w:r>
    </w:p>
    <w:p>
      <w:pPr>
        <w:spacing w:line="240" w:lineRule="auto" w:before="9"/>
        <w:rPr>
          <w:rFonts w:ascii="Times New Roman" w:hAnsi="Times New Roman" w:cs="Times New Roman" w:eastAsia="Times New Roman" w:hint="default"/>
          <w:sz w:val="3"/>
          <w:szCs w:val="3"/>
        </w:rPr>
      </w:pPr>
    </w:p>
    <w:p>
      <w:pPr>
        <w:spacing w:line="30" w:lineRule="exact"/>
        <w:ind w:left="387"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4.5pt;height:1.5pt;mso-position-horizontal-relative:char;mso-position-vertical-relative:line" coordorigin="0,0" coordsize="8690,30">
            <v:group style="position:absolute;left:15;top:15;width:1114;height:2" coordorigin="15,15" coordsize="1114,2">
              <v:shape style="position:absolute;left:15;top:15;width:1114;height:2" coordorigin="15,15" coordsize="1114,0" path="m15,15l1129,15e" filled="false" stroked="true" strokeweight="1.5pt" strokecolor="#000000">
                <v:path arrowok="t"/>
              </v:shape>
            </v:group>
            <v:group style="position:absolute;left:1114;top:15;width:3035;height:2" coordorigin="1114,15" coordsize="3035,2">
              <v:shape style="position:absolute;left:1114;top:15;width:3035;height:2" coordorigin="1114,15" coordsize="3035,0" path="m1114,15l4149,15e" filled="false" stroked="true" strokeweight="1.5pt" strokecolor="#000000">
                <v:path arrowok="t"/>
              </v:shape>
            </v:group>
            <v:group style="position:absolute;left:4135;top:15;width:2178;height:2" coordorigin="4135,15" coordsize="2178,2">
              <v:shape style="position:absolute;left:4135;top:15;width:2178;height:2" coordorigin="4135,15" coordsize="2178,0" path="m4135,15l6313,15e" filled="false" stroked="true" strokeweight="1.5pt" strokecolor="#000000">
                <v:path arrowok="t"/>
              </v:shape>
            </v:group>
            <v:group style="position:absolute;left:6298;top:15;width:30;height:2" coordorigin="6298,15" coordsize="30,2">
              <v:shape style="position:absolute;left:6298;top:15;width:30;height:2" coordorigin="6298,15" coordsize="30,0" path="m6298,15l6328,15e" filled="false" stroked="true" strokeweight="1.5pt" strokecolor="#000000">
                <v:path arrowok="t"/>
              </v:shape>
            </v:group>
            <v:group style="position:absolute;left:6328;top:15;width:2346;height:2" coordorigin="6328,15" coordsize="2346,2">
              <v:shape style="position:absolute;left:6328;top:15;width:2346;height:2" coordorigin="6328,15" coordsize="2346,0" path="m6328,15l8674,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before="94"/>
        <w:ind w:left="591" w:right="2246"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楷体" w:hAnsi="楷体" w:cs="楷体" w:eastAsia="楷体" w:hint="default"/>
          <w:sz w:val="22"/>
          <w:szCs w:val="22"/>
        </w:rPr>
        <w:t>控股子公司接受外单位担保</w:t>
      </w:r>
    </w:p>
    <w:p>
      <w:pPr>
        <w:spacing w:before="163"/>
        <w:ind w:left="578" w:right="0" w:firstLine="0"/>
        <w:jc w:val="left"/>
        <w:rPr>
          <w:rFonts w:ascii="Times New Roman" w:hAnsi="Times New Roman" w:cs="Times New Roman" w:eastAsia="Times New Roman" w:hint="default"/>
          <w:sz w:val="22"/>
          <w:szCs w:val="22"/>
        </w:rPr>
      </w:pPr>
      <w:r>
        <w:rPr>
          <w:rFonts w:ascii="楷体" w:hAnsi="楷体" w:cs="楷体" w:eastAsia="楷体" w:hint="default"/>
          <w:w w:val="99"/>
          <w:sz w:val="22"/>
          <w:szCs w:val="22"/>
        </w:rPr>
        <w:t>截至</w:t>
      </w:r>
      <w:r>
        <w:rPr>
          <w:rFonts w:ascii="楷体" w:hAnsi="楷体" w:cs="楷体" w:eastAsia="楷体" w:hint="default"/>
          <w:spacing w:val="-67"/>
          <w:sz w:val="22"/>
          <w:szCs w:val="22"/>
        </w:rPr>
        <w:t> </w:t>
      </w:r>
      <w:r>
        <w:rPr>
          <w:rFonts w:ascii="Times New Roman" w:hAnsi="Times New Roman" w:cs="Times New Roman" w:eastAsia="Times New Roman" w:hint="default"/>
          <w:w w:val="99"/>
          <w:sz w:val="22"/>
          <w:szCs w:val="22"/>
        </w:rPr>
        <w:t>2</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08</w:t>
      </w:r>
      <w:r>
        <w:rPr>
          <w:rFonts w:ascii="Times New Roman" w:hAnsi="Times New Roman" w:cs="Times New Roman" w:eastAsia="Times New Roman" w:hint="default"/>
          <w:spacing w:val="-14"/>
          <w:sz w:val="22"/>
          <w:szCs w:val="22"/>
        </w:rPr>
        <w:t> </w:t>
      </w:r>
      <w:r>
        <w:rPr>
          <w:rFonts w:ascii="楷体" w:hAnsi="楷体" w:cs="楷体" w:eastAsia="楷体" w:hint="default"/>
          <w:w w:val="99"/>
          <w:sz w:val="22"/>
          <w:szCs w:val="22"/>
        </w:rPr>
        <w:t>年</w:t>
      </w:r>
      <w:r>
        <w:rPr>
          <w:rFonts w:ascii="楷体" w:hAnsi="楷体" w:cs="楷体" w:eastAsia="楷体" w:hint="default"/>
          <w:spacing w:val="-69"/>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14"/>
          <w:sz w:val="22"/>
          <w:szCs w:val="22"/>
        </w:rPr>
        <w:t> </w:t>
      </w:r>
      <w:r>
        <w:rPr>
          <w:rFonts w:ascii="楷体" w:hAnsi="楷体" w:cs="楷体" w:eastAsia="楷体" w:hint="default"/>
          <w:w w:val="99"/>
          <w:sz w:val="22"/>
          <w:szCs w:val="22"/>
        </w:rPr>
        <w:t>月</w:t>
      </w:r>
      <w:r>
        <w:rPr>
          <w:rFonts w:ascii="楷体" w:hAnsi="楷体" w:cs="楷体" w:eastAsia="楷体" w:hint="default"/>
          <w:spacing w:val="-67"/>
          <w:sz w:val="22"/>
          <w:szCs w:val="22"/>
        </w:rPr>
        <w:t> </w:t>
      </w:r>
      <w:r>
        <w:rPr>
          <w:rFonts w:ascii="Times New Roman" w:hAnsi="Times New Roman" w:cs="Times New Roman" w:eastAsia="Times New Roman" w:hint="default"/>
          <w:spacing w:val="-1"/>
          <w:w w:val="99"/>
          <w:sz w:val="22"/>
          <w:szCs w:val="22"/>
        </w:rPr>
        <w:t>3</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14"/>
          <w:sz w:val="22"/>
          <w:szCs w:val="22"/>
        </w:rPr>
        <w:t> </w:t>
      </w:r>
      <w:r>
        <w:rPr>
          <w:rFonts w:ascii="楷体" w:hAnsi="楷体" w:cs="楷体" w:eastAsia="楷体" w:hint="default"/>
          <w:spacing w:val="1"/>
          <w:w w:val="99"/>
          <w:sz w:val="22"/>
          <w:szCs w:val="22"/>
        </w:rPr>
        <w:t>日</w:t>
      </w:r>
      <w:r>
        <w:rPr>
          <w:rFonts w:ascii="楷体" w:hAnsi="楷体" w:cs="楷体" w:eastAsia="楷体" w:hint="default"/>
          <w:spacing w:val="-111"/>
          <w:w w:val="99"/>
          <w:sz w:val="22"/>
          <w:szCs w:val="22"/>
        </w:rPr>
        <w:t>，</w:t>
      </w:r>
      <w:r>
        <w:rPr>
          <w:rFonts w:ascii="楷体" w:hAnsi="楷体" w:cs="楷体" w:eastAsia="楷体" w:hint="default"/>
          <w:spacing w:val="1"/>
          <w:w w:val="99"/>
          <w:sz w:val="22"/>
          <w:szCs w:val="22"/>
        </w:rPr>
        <w:t>江</w:t>
      </w:r>
      <w:r>
        <w:rPr>
          <w:rFonts w:ascii="楷体" w:hAnsi="楷体" w:cs="楷体" w:eastAsia="楷体" w:hint="default"/>
          <w:w w:val="99"/>
          <w:sz w:val="22"/>
          <w:szCs w:val="22"/>
        </w:rPr>
        <w:t>西汇</w:t>
      </w:r>
      <w:r>
        <w:rPr>
          <w:rFonts w:ascii="楷体" w:hAnsi="楷体" w:cs="楷体" w:eastAsia="楷体" w:hint="default"/>
          <w:spacing w:val="1"/>
          <w:w w:val="99"/>
          <w:sz w:val="22"/>
          <w:szCs w:val="22"/>
        </w:rPr>
        <w:t>仁</w:t>
      </w:r>
      <w:r>
        <w:rPr>
          <w:rFonts w:ascii="楷体" w:hAnsi="楷体" w:cs="楷体" w:eastAsia="楷体" w:hint="default"/>
          <w:w w:val="99"/>
          <w:sz w:val="22"/>
          <w:szCs w:val="22"/>
        </w:rPr>
        <w:t>药</w:t>
      </w:r>
      <w:r>
        <w:rPr>
          <w:rFonts w:ascii="楷体" w:hAnsi="楷体" w:cs="楷体" w:eastAsia="楷体" w:hint="default"/>
          <w:spacing w:val="1"/>
          <w:w w:val="99"/>
          <w:sz w:val="22"/>
          <w:szCs w:val="22"/>
        </w:rPr>
        <w:t>业</w:t>
      </w:r>
      <w:r>
        <w:rPr>
          <w:rFonts w:ascii="楷体" w:hAnsi="楷体" w:cs="楷体" w:eastAsia="楷体" w:hint="default"/>
          <w:w w:val="99"/>
          <w:sz w:val="22"/>
          <w:szCs w:val="22"/>
        </w:rPr>
        <w:t>有限</w:t>
      </w:r>
      <w:r>
        <w:rPr>
          <w:rFonts w:ascii="楷体" w:hAnsi="楷体" w:cs="楷体" w:eastAsia="楷体" w:hint="default"/>
          <w:spacing w:val="1"/>
          <w:w w:val="99"/>
          <w:sz w:val="22"/>
          <w:szCs w:val="22"/>
        </w:rPr>
        <w:t>公</w:t>
      </w:r>
      <w:r>
        <w:rPr>
          <w:rFonts w:ascii="楷体" w:hAnsi="楷体" w:cs="楷体" w:eastAsia="楷体" w:hint="default"/>
          <w:w w:val="99"/>
          <w:sz w:val="22"/>
          <w:szCs w:val="22"/>
        </w:rPr>
        <w:t>司</w:t>
      </w:r>
      <w:r>
        <w:rPr>
          <w:rFonts w:ascii="楷体" w:hAnsi="楷体" w:cs="楷体" w:eastAsia="楷体" w:hint="default"/>
          <w:spacing w:val="1"/>
          <w:w w:val="99"/>
          <w:sz w:val="22"/>
          <w:szCs w:val="22"/>
        </w:rPr>
        <w:t>以</w:t>
      </w:r>
      <w:r>
        <w:rPr>
          <w:rFonts w:ascii="楷体" w:hAnsi="楷体" w:cs="楷体" w:eastAsia="楷体" w:hint="default"/>
          <w:w w:val="99"/>
          <w:sz w:val="22"/>
          <w:szCs w:val="22"/>
        </w:rPr>
        <w:t>保证</w:t>
      </w:r>
      <w:r>
        <w:rPr>
          <w:rFonts w:ascii="楷体" w:hAnsi="楷体" w:cs="楷体" w:eastAsia="楷体" w:hint="default"/>
          <w:spacing w:val="1"/>
          <w:w w:val="99"/>
          <w:sz w:val="22"/>
          <w:szCs w:val="22"/>
        </w:rPr>
        <w:t>方</w:t>
      </w:r>
      <w:r>
        <w:rPr>
          <w:rFonts w:ascii="楷体" w:hAnsi="楷体" w:cs="楷体" w:eastAsia="楷体" w:hint="default"/>
          <w:w w:val="99"/>
          <w:sz w:val="22"/>
          <w:szCs w:val="22"/>
        </w:rPr>
        <w:t>式</w:t>
      </w:r>
      <w:r>
        <w:rPr>
          <w:rFonts w:ascii="楷体" w:hAnsi="楷体" w:cs="楷体" w:eastAsia="楷体" w:hint="default"/>
          <w:spacing w:val="1"/>
          <w:w w:val="99"/>
          <w:sz w:val="22"/>
          <w:szCs w:val="22"/>
        </w:rPr>
        <w:t>为</w:t>
      </w:r>
      <w:r>
        <w:rPr>
          <w:rFonts w:ascii="楷体" w:hAnsi="楷体" w:cs="楷体" w:eastAsia="楷体" w:hint="default"/>
          <w:w w:val="99"/>
          <w:sz w:val="22"/>
          <w:szCs w:val="22"/>
        </w:rPr>
        <w:t>泰豪</w:t>
      </w:r>
      <w:r>
        <w:rPr>
          <w:rFonts w:ascii="楷体" w:hAnsi="楷体" w:cs="楷体" w:eastAsia="楷体" w:hint="default"/>
          <w:spacing w:val="1"/>
          <w:w w:val="99"/>
          <w:sz w:val="22"/>
          <w:szCs w:val="22"/>
        </w:rPr>
        <w:t>科</w:t>
      </w:r>
      <w:r>
        <w:rPr>
          <w:rFonts w:ascii="楷体" w:hAnsi="楷体" w:cs="楷体" w:eastAsia="楷体" w:hint="default"/>
          <w:w w:val="99"/>
          <w:sz w:val="22"/>
          <w:szCs w:val="22"/>
        </w:rPr>
        <w:t>技</w:t>
      </w:r>
      <w:r>
        <w:rPr>
          <w:rFonts w:ascii="楷体" w:hAnsi="楷体" w:cs="楷体" w:eastAsia="楷体" w:hint="default"/>
          <w:spacing w:val="1"/>
          <w:w w:val="99"/>
          <w:sz w:val="22"/>
          <w:szCs w:val="22"/>
        </w:rPr>
        <w:t>股</w:t>
      </w:r>
      <w:r>
        <w:rPr>
          <w:rFonts w:ascii="楷体" w:hAnsi="楷体" w:cs="楷体" w:eastAsia="楷体" w:hint="default"/>
          <w:w w:val="99"/>
          <w:sz w:val="22"/>
          <w:szCs w:val="22"/>
        </w:rPr>
        <w:t>份有</w:t>
      </w:r>
      <w:r>
        <w:rPr>
          <w:rFonts w:ascii="楷体" w:hAnsi="楷体" w:cs="楷体" w:eastAsia="楷体" w:hint="default"/>
          <w:spacing w:val="1"/>
          <w:w w:val="99"/>
          <w:sz w:val="22"/>
          <w:szCs w:val="22"/>
        </w:rPr>
        <w:t>限</w:t>
      </w:r>
      <w:r>
        <w:rPr>
          <w:rFonts w:ascii="楷体" w:hAnsi="楷体" w:cs="楷体" w:eastAsia="楷体" w:hint="default"/>
          <w:w w:val="99"/>
          <w:sz w:val="22"/>
          <w:szCs w:val="22"/>
        </w:rPr>
        <w:t>公司的</w:t>
      </w:r>
      <w:r>
        <w:rPr>
          <w:rFonts w:ascii="楷体" w:hAnsi="楷体" w:cs="楷体" w:eastAsia="楷体" w:hint="default"/>
          <w:spacing w:val="-66"/>
          <w:sz w:val="22"/>
          <w:szCs w:val="22"/>
        </w:rPr>
        <w:t> </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1"/>
          <w:w w:val="99"/>
          <w:sz w:val="22"/>
          <w:szCs w:val="22"/>
        </w:rPr>
        <w:t>900</w:t>
      </w:r>
      <w:r>
        <w:rPr>
          <w:rFonts w:ascii="Times New Roman" w:hAnsi="Times New Roman" w:cs="Times New Roman" w:eastAsia="Times New Roman" w:hint="default"/>
          <w:sz w:val="22"/>
          <w:szCs w:val="22"/>
        </w:rPr>
      </w:r>
    </w:p>
    <w:p>
      <w:pPr>
        <w:spacing w:before="85"/>
        <w:ind w:left="138" w:right="2246" w:firstLine="0"/>
        <w:jc w:val="left"/>
        <w:rPr>
          <w:rFonts w:ascii="楷体" w:hAnsi="楷体" w:cs="楷体" w:eastAsia="楷体" w:hint="default"/>
          <w:sz w:val="22"/>
          <w:szCs w:val="22"/>
        </w:rPr>
      </w:pPr>
      <w:r>
        <w:rPr>
          <w:rFonts w:ascii="楷体" w:hAnsi="楷体" w:cs="楷体" w:eastAsia="楷体" w:hint="default"/>
          <w:sz w:val="22"/>
          <w:szCs w:val="22"/>
        </w:rPr>
        <w:t>万银行借款提供连带责任担保。</w:t>
      </w:r>
    </w:p>
    <w:p>
      <w:pPr>
        <w:spacing w:line="307" w:lineRule="auto" w:before="180"/>
        <w:ind w:left="138" w:right="133" w:firstLine="440"/>
        <w:jc w:val="left"/>
        <w:rPr>
          <w:rFonts w:ascii="楷体" w:hAnsi="楷体" w:cs="楷体" w:eastAsia="楷体" w:hint="default"/>
          <w:sz w:val="22"/>
          <w:szCs w:val="22"/>
        </w:rPr>
      </w:pPr>
      <w:r>
        <w:rPr>
          <w:rFonts w:ascii="楷体" w:hAnsi="楷体" w:cs="楷体" w:eastAsia="楷体" w:hint="default"/>
          <w:sz w:val="22"/>
          <w:szCs w:val="22"/>
        </w:rPr>
        <w:t>截至</w:t>
      </w:r>
      <w:r>
        <w:rPr>
          <w:rFonts w:ascii="楷体" w:hAnsi="楷体" w:cs="楷体" w:eastAsia="楷体" w:hint="default"/>
          <w:spacing w:val="-60"/>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7"/>
          <w:sz w:val="22"/>
          <w:szCs w:val="22"/>
        </w:rPr>
        <w:t> </w:t>
      </w:r>
      <w:r>
        <w:rPr>
          <w:rFonts w:ascii="楷体" w:hAnsi="楷体" w:cs="楷体" w:eastAsia="楷体" w:hint="default"/>
          <w:sz w:val="22"/>
          <w:szCs w:val="22"/>
        </w:rPr>
        <w:t>年</w:t>
      </w:r>
      <w:r>
        <w:rPr>
          <w:rFonts w:ascii="楷体" w:hAnsi="楷体" w:cs="楷体" w:eastAsia="楷体" w:hint="default"/>
          <w:spacing w:val="-6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7"/>
          <w:sz w:val="22"/>
          <w:szCs w:val="22"/>
        </w:rPr>
        <w:t> </w:t>
      </w:r>
      <w:r>
        <w:rPr>
          <w:rFonts w:ascii="楷体" w:hAnsi="楷体" w:cs="楷体" w:eastAsia="楷体" w:hint="default"/>
          <w:sz w:val="22"/>
          <w:szCs w:val="22"/>
        </w:rPr>
        <w:t>月</w:t>
      </w:r>
      <w:r>
        <w:rPr>
          <w:rFonts w:ascii="楷体" w:hAnsi="楷体" w:cs="楷体" w:eastAsia="楷体" w:hint="default"/>
          <w:spacing w:val="-60"/>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7"/>
          <w:sz w:val="22"/>
          <w:szCs w:val="22"/>
        </w:rPr>
        <w:t> </w:t>
      </w:r>
      <w:r>
        <w:rPr>
          <w:rFonts w:ascii="楷体" w:hAnsi="楷体" w:cs="楷体" w:eastAsia="楷体" w:hint="default"/>
          <w:sz w:val="22"/>
          <w:szCs w:val="22"/>
        </w:rPr>
        <w:t>日，泰豪集团有限公司以保证方式为泰豪科技股份有限公司的</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6000</w:t>
      </w:r>
      <w:r>
        <w:rPr>
          <w:rFonts w:ascii="Times New Roman" w:hAnsi="Times New Roman" w:cs="Times New Roman" w:eastAsia="Times New Roman" w:hint="default"/>
          <w:spacing w:val="-7"/>
          <w:sz w:val="22"/>
          <w:szCs w:val="22"/>
        </w:rPr>
        <w:t> </w:t>
      </w:r>
      <w:r>
        <w:rPr>
          <w:rFonts w:ascii="楷体" w:hAnsi="楷体" w:cs="楷体" w:eastAsia="楷体" w:hint="default"/>
          <w:sz w:val="22"/>
          <w:szCs w:val="22"/>
        </w:rPr>
        <w:t>万</w:t>
      </w:r>
      <w:r>
        <w:rPr>
          <w:rFonts w:ascii="楷体" w:hAnsi="楷体" w:cs="楷体" w:eastAsia="楷体" w:hint="default"/>
          <w:w w:val="99"/>
          <w:sz w:val="22"/>
          <w:szCs w:val="22"/>
        </w:rPr>
        <w:t> </w:t>
      </w:r>
      <w:r>
        <w:rPr>
          <w:rFonts w:ascii="楷体" w:hAnsi="楷体" w:cs="楷体" w:eastAsia="楷体" w:hint="default"/>
          <w:sz w:val="22"/>
          <w:szCs w:val="22"/>
        </w:rPr>
        <w:t>借款提供连带责任担保。</w:t>
      </w:r>
    </w:p>
    <w:p>
      <w:pPr>
        <w:spacing w:before="118"/>
        <w:ind w:left="578" w:right="0" w:firstLine="0"/>
        <w:jc w:val="left"/>
        <w:rPr>
          <w:rFonts w:ascii="Times New Roman" w:hAnsi="Times New Roman" w:cs="Times New Roman" w:eastAsia="Times New Roman" w:hint="default"/>
          <w:sz w:val="22"/>
          <w:szCs w:val="22"/>
        </w:rPr>
      </w:pPr>
      <w:r>
        <w:rPr>
          <w:rFonts w:ascii="楷体" w:hAnsi="楷体" w:cs="楷体" w:eastAsia="楷体" w:hint="default"/>
          <w:w w:val="99"/>
          <w:sz w:val="22"/>
          <w:szCs w:val="22"/>
        </w:rPr>
        <w:t>截至</w:t>
      </w:r>
      <w:r>
        <w:rPr>
          <w:rFonts w:ascii="楷体" w:hAnsi="楷体" w:cs="楷体" w:eastAsia="楷体" w:hint="default"/>
          <w:spacing w:val="-67"/>
          <w:sz w:val="22"/>
          <w:szCs w:val="22"/>
        </w:rPr>
        <w:t> </w:t>
      </w:r>
      <w:r>
        <w:rPr>
          <w:rFonts w:ascii="Times New Roman" w:hAnsi="Times New Roman" w:cs="Times New Roman" w:eastAsia="Times New Roman" w:hint="default"/>
          <w:w w:val="99"/>
          <w:sz w:val="22"/>
          <w:szCs w:val="22"/>
        </w:rPr>
        <w:t>2</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08</w:t>
      </w:r>
      <w:r>
        <w:rPr>
          <w:rFonts w:ascii="Times New Roman" w:hAnsi="Times New Roman" w:cs="Times New Roman" w:eastAsia="Times New Roman" w:hint="default"/>
          <w:spacing w:val="-14"/>
          <w:sz w:val="22"/>
          <w:szCs w:val="22"/>
        </w:rPr>
        <w:t> </w:t>
      </w:r>
      <w:r>
        <w:rPr>
          <w:rFonts w:ascii="楷体" w:hAnsi="楷体" w:cs="楷体" w:eastAsia="楷体" w:hint="default"/>
          <w:w w:val="99"/>
          <w:sz w:val="22"/>
          <w:szCs w:val="22"/>
        </w:rPr>
        <w:t>年</w:t>
      </w:r>
      <w:r>
        <w:rPr>
          <w:rFonts w:ascii="楷体" w:hAnsi="楷体" w:cs="楷体" w:eastAsia="楷体" w:hint="default"/>
          <w:spacing w:val="-69"/>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14"/>
          <w:sz w:val="22"/>
          <w:szCs w:val="22"/>
        </w:rPr>
        <w:t> </w:t>
      </w:r>
      <w:r>
        <w:rPr>
          <w:rFonts w:ascii="楷体" w:hAnsi="楷体" w:cs="楷体" w:eastAsia="楷体" w:hint="default"/>
          <w:w w:val="99"/>
          <w:sz w:val="22"/>
          <w:szCs w:val="22"/>
        </w:rPr>
        <w:t>月</w:t>
      </w:r>
      <w:r>
        <w:rPr>
          <w:rFonts w:ascii="楷体" w:hAnsi="楷体" w:cs="楷体" w:eastAsia="楷体" w:hint="default"/>
          <w:spacing w:val="-67"/>
          <w:sz w:val="22"/>
          <w:szCs w:val="22"/>
        </w:rPr>
        <w:t> </w:t>
      </w:r>
      <w:r>
        <w:rPr>
          <w:rFonts w:ascii="Times New Roman" w:hAnsi="Times New Roman" w:cs="Times New Roman" w:eastAsia="Times New Roman" w:hint="default"/>
          <w:spacing w:val="-1"/>
          <w:w w:val="99"/>
          <w:sz w:val="22"/>
          <w:szCs w:val="22"/>
        </w:rPr>
        <w:t>3</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14"/>
          <w:sz w:val="22"/>
          <w:szCs w:val="22"/>
        </w:rPr>
        <w:t> </w:t>
      </w:r>
      <w:r>
        <w:rPr>
          <w:rFonts w:ascii="楷体" w:hAnsi="楷体" w:cs="楷体" w:eastAsia="楷体" w:hint="default"/>
          <w:spacing w:val="1"/>
          <w:w w:val="99"/>
          <w:sz w:val="22"/>
          <w:szCs w:val="22"/>
        </w:rPr>
        <w:t>日</w:t>
      </w:r>
      <w:r>
        <w:rPr>
          <w:rFonts w:ascii="楷体" w:hAnsi="楷体" w:cs="楷体" w:eastAsia="楷体" w:hint="default"/>
          <w:spacing w:val="-111"/>
          <w:w w:val="99"/>
          <w:sz w:val="22"/>
          <w:szCs w:val="22"/>
        </w:rPr>
        <w:t>，</w:t>
      </w:r>
      <w:r>
        <w:rPr>
          <w:rFonts w:ascii="楷体" w:hAnsi="楷体" w:cs="楷体" w:eastAsia="楷体" w:hint="default"/>
          <w:spacing w:val="1"/>
          <w:w w:val="99"/>
          <w:sz w:val="22"/>
          <w:szCs w:val="22"/>
        </w:rPr>
        <w:t>泰</w:t>
      </w:r>
      <w:r>
        <w:rPr>
          <w:rFonts w:ascii="楷体" w:hAnsi="楷体" w:cs="楷体" w:eastAsia="楷体" w:hint="default"/>
          <w:w w:val="99"/>
          <w:sz w:val="22"/>
          <w:szCs w:val="22"/>
        </w:rPr>
        <w:t>豪软</w:t>
      </w:r>
      <w:r>
        <w:rPr>
          <w:rFonts w:ascii="楷体" w:hAnsi="楷体" w:cs="楷体" w:eastAsia="楷体" w:hint="default"/>
          <w:spacing w:val="1"/>
          <w:w w:val="99"/>
          <w:sz w:val="22"/>
          <w:szCs w:val="22"/>
        </w:rPr>
        <w:t>件</w:t>
      </w:r>
      <w:r>
        <w:rPr>
          <w:rFonts w:ascii="楷体" w:hAnsi="楷体" w:cs="楷体" w:eastAsia="楷体" w:hint="default"/>
          <w:w w:val="99"/>
          <w:sz w:val="22"/>
          <w:szCs w:val="22"/>
        </w:rPr>
        <w:t>股</w:t>
      </w:r>
      <w:r>
        <w:rPr>
          <w:rFonts w:ascii="楷体" w:hAnsi="楷体" w:cs="楷体" w:eastAsia="楷体" w:hint="default"/>
          <w:spacing w:val="1"/>
          <w:w w:val="99"/>
          <w:sz w:val="22"/>
          <w:szCs w:val="22"/>
        </w:rPr>
        <w:t>份</w:t>
      </w:r>
      <w:r>
        <w:rPr>
          <w:rFonts w:ascii="楷体" w:hAnsi="楷体" w:cs="楷体" w:eastAsia="楷体" w:hint="default"/>
          <w:w w:val="99"/>
          <w:sz w:val="22"/>
          <w:szCs w:val="22"/>
        </w:rPr>
        <w:t>有限</w:t>
      </w:r>
      <w:r>
        <w:rPr>
          <w:rFonts w:ascii="楷体" w:hAnsi="楷体" w:cs="楷体" w:eastAsia="楷体" w:hint="default"/>
          <w:spacing w:val="1"/>
          <w:w w:val="99"/>
          <w:sz w:val="22"/>
          <w:szCs w:val="22"/>
        </w:rPr>
        <w:t>公</w:t>
      </w:r>
      <w:r>
        <w:rPr>
          <w:rFonts w:ascii="楷体" w:hAnsi="楷体" w:cs="楷体" w:eastAsia="楷体" w:hint="default"/>
          <w:w w:val="99"/>
          <w:sz w:val="22"/>
          <w:szCs w:val="22"/>
        </w:rPr>
        <w:t>司</w:t>
      </w:r>
      <w:r>
        <w:rPr>
          <w:rFonts w:ascii="楷体" w:hAnsi="楷体" w:cs="楷体" w:eastAsia="楷体" w:hint="default"/>
          <w:spacing w:val="1"/>
          <w:w w:val="99"/>
          <w:sz w:val="22"/>
          <w:szCs w:val="22"/>
        </w:rPr>
        <w:t>以</w:t>
      </w:r>
      <w:r>
        <w:rPr>
          <w:rFonts w:ascii="楷体" w:hAnsi="楷体" w:cs="楷体" w:eastAsia="楷体" w:hint="default"/>
          <w:w w:val="99"/>
          <w:sz w:val="22"/>
          <w:szCs w:val="22"/>
        </w:rPr>
        <w:t>保证</w:t>
      </w:r>
      <w:r>
        <w:rPr>
          <w:rFonts w:ascii="楷体" w:hAnsi="楷体" w:cs="楷体" w:eastAsia="楷体" w:hint="default"/>
          <w:spacing w:val="1"/>
          <w:w w:val="99"/>
          <w:sz w:val="22"/>
          <w:szCs w:val="22"/>
        </w:rPr>
        <w:t>方</w:t>
      </w:r>
      <w:r>
        <w:rPr>
          <w:rFonts w:ascii="楷体" w:hAnsi="楷体" w:cs="楷体" w:eastAsia="楷体" w:hint="default"/>
          <w:w w:val="99"/>
          <w:sz w:val="22"/>
          <w:szCs w:val="22"/>
        </w:rPr>
        <w:t>式</w:t>
      </w:r>
      <w:r>
        <w:rPr>
          <w:rFonts w:ascii="楷体" w:hAnsi="楷体" w:cs="楷体" w:eastAsia="楷体" w:hint="default"/>
          <w:spacing w:val="1"/>
          <w:w w:val="99"/>
          <w:sz w:val="22"/>
          <w:szCs w:val="22"/>
        </w:rPr>
        <w:t>为</w:t>
      </w:r>
      <w:r>
        <w:rPr>
          <w:rFonts w:ascii="楷体" w:hAnsi="楷体" w:cs="楷体" w:eastAsia="楷体" w:hint="default"/>
          <w:w w:val="99"/>
          <w:sz w:val="22"/>
          <w:szCs w:val="22"/>
        </w:rPr>
        <w:t>泰豪</w:t>
      </w:r>
      <w:r>
        <w:rPr>
          <w:rFonts w:ascii="楷体" w:hAnsi="楷体" w:cs="楷体" w:eastAsia="楷体" w:hint="default"/>
          <w:spacing w:val="1"/>
          <w:w w:val="99"/>
          <w:sz w:val="22"/>
          <w:szCs w:val="22"/>
        </w:rPr>
        <w:t>科</w:t>
      </w:r>
      <w:r>
        <w:rPr>
          <w:rFonts w:ascii="楷体" w:hAnsi="楷体" w:cs="楷体" w:eastAsia="楷体" w:hint="default"/>
          <w:w w:val="99"/>
          <w:sz w:val="22"/>
          <w:szCs w:val="22"/>
        </w:rPr>
        <w:t>技</w:t>
      </w:r>
      <w:r>
        <w:rPr>
          <w:rFonts w:ascii="楷体" w:hAnsi="楷体" w:cs="楷体" w:eastAsia="楷体" w:hint="default"/>
          <w:spacing w:val="1"/>
          <w:w w:val="99"/>
          <w:sz w:val="22"/>
          <w:szCs w:val="22"/>
        </w:rPr>
        <w:t>股</w:t>
      </w:r>
      <w:r>
        <w:rPr>
          <w:rFonts w:ascii="楷体" w:hAnsi="楷体" w:cs="楷体" w:eastAsia="楷体" w:hint="default"/>
          <w:w w:val="99"/>
          <w:sz w:val="22"/>
          <w:szCs w:val="22"/>
        </w:rPr>
        <w:t>份有</w:t>
      </w:r>
      <w:r>
        <w:rPr>
          <w:rFonts w:ascii="楷体" w:hAnsi="楷体" w:cs="楷体" w:eastAsia="楷体" w:hint="default"/>
          <w:spacing w:val="1"/>
          <w:w w:val="99"/>
          <w:sz w:val="22"/>
          <w:szCs w:val="22"/>
        </w:rPr>
        <w:t>限</w:t>
      </w:r>
      <w:r>
        <w:rPr>
          <w:rFonts w:ascii="楷体" w:hAnsi="楷体" w:cs="楷体" w:eastAsia="楷体" w:hint="default"/>
          <w:w w:val="99"/>
          <w:sz w:val="22"/>
          <w:szCs w:val="22"/>
        </w:rPr>
        <w:t>公司的</w:t>
      </w:r>
      <w:r>
        <w:rPr>
          <w:rFonts w:ascii="楷体" w:hAnsi="楷体" w:cs="楷体" w:eastAsia="楷体" w:hint="default"/>
          <w:spacing w:val="-66"/>
          <w:sz w:val="22"/>
          <w:szCs w:val="22"/>
        </w:rPr>
        <w:t> </w:t>
      </w:r>
      <w:r>
        <w:rPr>
          <w:rFonts w:ascii="Times New Roman" w:hAnsi="Times New Roman" w:cs="Times New Roman" w:eastAsia="Times New Roman" w:hint="default"/>
          <w:w w:val="99"/>
          <w:sz w:val="22"/>
          <w:szCs w:val="22"/>
        </w:rPr>
        <w:t>7</w:t>
      </w:r>
      <w:r>
        <w:rPr>
          <w:rFonts w:ascii="Times New Roman" w:hAnsi="Times New Roman" w:cs="Times New Roman" w:eastAsia="Times New Roman" w:hint="default"/>
          <w:spacing w:val="-1"/>
          <w:w w:val="99"/>
          <w:sz w:val="22"/>
          <w:szCs w:val="22"/>
        </w:rPr>
        <w:t>000</w:t>
      </w:r>
      <w:r>
        <w:rPr>
          <w:rFonts w:ascii="Times New Roman" w:hAnsi="Times New Roman" w:cs="Times New Roman" w:eastAsia="Times New Roman" w:hint="default"/>
          <w:sz w:val="22"/>
          <w:szCs w:val="22"/>
        </w:rPr>
      </w:r>
    </w:p>
    <w:p>
      <w:pPr>
        <w:spacing w:before="85"/>
        <w:ind w:left="137" w:right="6555" w:firstLine="0"/>
        <w:jc w:val="left"/>
        <w:rPr>
          <w:rFonts w:ascii="楷体" w:hAnsi="楷体" w:cs="楷体" w:eastAsia="楷体" w:hint="default"/>
          <w:sz w:val="22"/>
          <w:szCs w:val="22"/>
        </w:rPr>
      </w:pPr>
      <w:r>
        <w:rPr>
          <w:rFonts w:ascii="楷体" w:hAnsi="楷体" w:cs="楷体" w:eastAsia="楷体" w:hint="default"/>
          <w:sz w:val="22"/>
          <w:szCs w:val="22"/>
        </w:rPr>
        <w:t>万借款提供连带责任担保。</w:t>
      </w:r>
    </w:p>
    <w:p>
      <w:pPr>
        <w:spacing w:before="180"/>
        <w:ind w:left="578" w:right="0" w:firstLine="0"/>
        <w:jc w:val="left"/>
        <w:rPr>
          <w:rFonts w:ascii="楷体" w:hAnsi="楷体" w:cs="楷体" w:eastAsia="楷体" w:hint="default"/>
          <w:sz w:val="22"/>
          <w:szCs w:val="22"/>
        </w:rPr>
      </w:pPr>
      <w:r>
        <w:rPr>
          <w:rFonts w:ascii="楷体" w:hAnsi="楷体" w:cs="楷体" w:eastAsia="楷体" w:hint="default"/>
          <w:sz w:val="22"/>
          <w:szCs w:val="22"/>
        </w:rPr>
        <w:t>截至</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年</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月</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日，南昌市高新科技投资有限公司以保证方式为江西泰豪特种电机有</w:t>
      </w:r>
    </w:p>
    <w:p>
      <w:pPr>
        <w:spacing w:before="85"/>
        <w:ind w:left="137" w:right="2246" w:firstLine="0"/>
        <w:jc w:val="left"/>
        <w:rPr>
          <w:rFonts w:ascii="楷体" w:hAnsi="楷体" w:cs="楷体" w:eastAsia="楷体" w:hint="default"/>
          <w:sz w:val="22"/>
          <w:szCs w:val="22"/>
        </w:rPr>
      </w:pPr>
      <w:r>
        <w:rPr>
          <w:rFonts w:ascii="楷体" w:hAnsi="楷体" w:cs="楷体" w:eastAsia="楷体" w:hint="default"/>
          <w:sz w:val="22"/>
          <w:szCs w:val="22"/>
        </w:rPr>
        <w:t>限公司的</w:t>
      </w:r>
      <w:r>
        <w:rPr>
          <w:rFonts w:ascii="楷体" w:hAnsi="楷体" w:cs="楷体" w:eastAsia="楷体" w:hint="default"/>
          <w:spacing w:val="-57"/>
          <w:sz w:val="22"/>
          <w:szCs w:val="22"/>
        </w:rPr>
        <w:t> </w:t>
      </w:r>
      <w:r>
        <w:rPr>
          <w:rFonts w:ascii="Times New Roman" w:hAnsi="Times New Roman" w:cs="Times New Roman" w:eastAsia="Times New Roman" w:hint="default"/>
          <w:sz w:val="22"/>
          <w:szCs w:val="22"/>
        </w:rPr>
        <w:t>500</w:t>
      </w:r>
      <w:r>
        <w:rPr>
          <w:rFonts w:ascii="Times New Roman" w:hAnsi="Times New Roman" w:cs="Times New Roman" w:eastAsia="Times New Roman" w:hint="default"/>
          <w:spacing w:val="-2"/>
          <w:sz w:val="22"/>
          <w:szCs w:val="22"/>
        </w:rPr>
        <w:t> </w:t>
      </w:r>
      <w:r>
        <w:rPr>
          <w:rFonts w:ascii="楷体" w:hAnsi="楷体" w:cs="楷体" w:eastAsia="楷体" w:hint="default"/>
          <w:sz w:val="22"/>
          <w:szCs w:val="22"/>
        </w:rPr>
        <w:t>万借款提供连带责任担保。</w:t>
      </w:r>
    </w:p>
    <w:p>
      <w:pPr>
        <w:spacing w:before="163"/>
        <w:ind w:left="578" w:right="0" w:firstLine="0"/>
        <w:jc w:val="left"/>
        <w:rPr>
          <w:rFonts w:ascii="楷体" w:hAnsi="楷体" w:cs="楷体" w:eastAsia="楷体" w:hint="default"/>
          <w:sz w:val="22"/>
          <w:szCs w:val="22"/>
        </w:rPr>
      </w:pPr>
      <w:r>
        <w:rPr>
          <w:rFonts w:ascii="楷体" w:hAnsi="楷体" w:cs="楷体" w:eastAsia="楷体" w:hint="default"/>
          <w:sz w:val="22"/>
          <w:szCs w:val="22"/>
        </w:rPr>
        <w:t>截至</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年</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月</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日，川重冷热工业株式会社以保证方式为同方川崎空调设备有限公司</w:t>
      </w:r>
    </w:p>
    <w:p>
      <w:pPr>
        <w:spacing w:before="85"/>
        <w:ind w:left="137" w:right="2246" w:firstLine="0"/>
        <w:jc w:val="left"/>
        <w:rPr>
          <w:rFonts w:ascii="楷体" w:hAnsi="楷体" w:cs="楷体" w:eastAsia="楷体" w:hint="default"/>
          <w:sz w:val="22"/>
          <w:szCs w:val="22"/>
        </w:rPr>
      </w:pPr>
      <w:r>
        <w:rPr>
          <w:rFonts w:ascii="楷体" w:hAnsi="楷体" w:cs="楷体" w:eastAsia="楷体" w:hint="default"/>
          <w:sz w:val="22"/>
          <w:szCs w:val="22"/>
        </w:rPr>
        <w:t>的</w:t>
      </w:r>
      <w:r>
        <w:rPr>
          <w:rFonts w:ascii="楷体" w:hAnsi="楷体" w:cs="楷体" w:eastAsia="楷体" w:hint="default"/>
          <w:spacing w:val="-56"/>
          <w:sz w:val="22"/>
          <w:szCs w:val="22"/>
        </w:rPr>
        <w:t> </w:t>
      </w:r>
      <w:r>
        <w:rPr>
          <w:rFonts w:ascii="Times New Roman" w:hAnsi="Times New Roman" w:cs="Times New Roman" w:eastAsia="Times New Roman" w:hint="default"/>
          <w:sz w:val="22"/>
          <w:szCs w:val="22"/>
        </w:rPr>
        <w:t>5350</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万元借款提供连带责任担保。</w:t>
      </w:r>
    </w:p>
    <w:p>
      <w:pPr>
        <w:spacing w:before="93"/>
        <w:ind w:left="577"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8</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6"/>
          <w:sz w:val="22"/>
          <w:szCs w:val="22"/>
        </w:rPr>
        <w:t> </w:t>
      </w:r>
      <w:r>
        <w:rPr>
          <w:rFonts w:ascii="楷体" w:hAnsi="楷体" w:cs="楷体" w:eastAsia="楷体" w:hint="default"/>
          <w:sz w:val="22"/>
          <w:szCs w:val="22"/>
        </w:rPr>
        <w:t>关联方资金往来</w:t>
      </w:r>
    </w:p>
    <w:p>
      <w:pPr>
        <w:spacing w:before="155"/>
        <w:ind w:left="591"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8"/>
          <w:sz w:val="22"/>
          <w:szCs w:val="22"/>
        </w:rPr>
        <w:t> </w:t>
      </w:r>
      <w:r>
        <w:rPr>
          <w:rFonts w:ascii="楷体" w:hAnsi="楷体" w:cs="楷体" w:eastAsia="楷体" w:hint="default"/>
          <w:sz w:val="22"/>
          <w:szCs w:val="22"/>
        </w:rPr>
        <w:t>年度</w:t>
      </w:r>
    </w:p>
    <w:p>
      <w:pPr>
        <w:tabs>
          <w:tab w:pos="5445" w:val="left" w:leader="none"/>
        </w:tabs>
        <w:spacing w:before="110"/>
        <w:ind w:left="3284" w:right="2246" w:firstLine="0"/>
        <w:jc w:val="left"/>
        <w:rPr>
          <w:rFonts w:ascii="Microsoft JhengHei" w:hAnsi="Microsoft JhengHei" w:cs="Microsoft JhengHei" w:eastAsia="Microsoft JhengHei" w:hint="default"/>
          <w:sz w:val="18"/>
          <w:szCs w:val="18"/>
        </w:rPr>
      </w:pPr>
      <w:r>
        <w:rPr/>
        <w:pict>
          <v:group style="position:absolute;margin-left:71.279999pt;margin-top:8.105536pt;width:431.2pt;height:.1pt;mso-position-horizontal-relative:page;mso-position-vertical-relative:paragraph;z-index:-896344" coordorigin="1426,162" coordsize="8624,2">
            <v:shape style="position:absolute;left:1426;top:162;width:8624;height:2" coordorigin="1426,162" coordsize="8624,0" path="m1426,162l10049,162e" filled="false" stroked="true" strokeweight="1.5pt" strokecolor="#000000">
              <v:path arrowok="t"/>
            </v:shape>
            <w10:wrap type="none"/>
          </v:group>
        </w:pict>
      </w:r>
      <w:r>
        <w:rPr/>
        <w:pict>
          <v:shape style="position:absolute;margin-left:70.919998pt;margin-top:17.740860pt;width:431.55pt;height:122.25pt;mso-position-horizontal-relative:page;mso-position-vertical-relative:paragraph;z-index:5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9"/>
                    <w:gridCol w:w="1411"/>
                    <w:gridCol w:w="1386"/>
                    <w:gridCol w:w="901"/>
                    <w:gridCol w:w="2434"/>
                  </w:tblGrid>
                  <w:tr>
                    <w:trPr>
                      <w:trHeight w:val="403" w:hRule="exact"/>
                    </w:trPr>
                    <w:tc>
                      <w:tcPr>
                        <w:tcW w:w="2499" w:type="dxa"/>
                        <w:tcBorders>
                          <w:top w:val="nil" w:sz="6" w:space="0" w:color="auto"/>
                          <w:left w:val="nil" w:sz="6" w:space="0" w:color="auto"/>
                          <w:bottom w:val="single" w:sz="4" w:space="0" w:color="000000"/>
                          <w:right w:val="nil" w:sz="6" w:space="0" w:color="auto"/>
                        </w:tcBorders>
                      </w:tcPr>
                      <w:p>
                        <w:pPr>
                          <w:pStyle w:val="TableParagraph"/>
                          <w:spacing w:line="200" w:lineRule="exact"/>
                          <w:ind w:left="2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发生额</w:t>
                        </w:r>
                        <w:r>
                          <w:rPr>
                            <w:rFonts w:ascii="Microsoft JhengHei" w:hAnsi="Microsoft JhengHei" w:cs="Microsoft JhengHei" w:eastAsia="Microsoft JhengHei" w:hint="default"/>
                            <w:sz w:val="18"/>
                            <w:szCs w:val="18"/>
                          </w:rPr>
                        </w: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4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余额</w:t>
                        </w:r>
                        <w:r>
                          <w:rPr>
                            <w:rFonts w:ascii="Microsoft JhengHei" w:hAnsi="Microsoft JhengHei" w:cs="Microsoft JhengHei" w:eastAsia="Microsoft JhengHei" w:hint="default"/>
                            <w:sz w:val="18"/>
                            <w:szCs w:val="18"/>
                          </w:rPr>
                        </w:r>
                      </w:p>
                    </w:tc>
                    <w:tc>
                      <w:tcPr>
                        <w:tcW w:w="90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发生额</w:t>
                        </w:r>
                        <w:r>
                          <w:rPr>
                            <w:rFonts w:ascii="Microsoft JhengHei" w:hAnsi="Microsoft JhengHei" w:cs="Microsoft JhengHei" w:eastAsia="Microsoft JhengHei" w:hint="default"/>
                            <w:sz w:val="18"/>
                            <w:szCs w:val="18"/>
                          </w:rPr>
                        </w:r>
                      </w:p>
                    </w:tc>
                    <w:tc>
                      <w:tcPr>
                        <w:tcW w:w="2434" w:type="dxa"/>
                        <w:tcBorders>
                          <w:top w:val="nil" w:sz="6" w:space="0" w:color="auto"/>
                          <w:left w:val="nil" w:sz="6" w:space="0" w:color="auto"/>
                          <w:bottom w:val="single" w:sz="4" w:space="0" w:color="000000"/>
                          <w:right w:val="nil" w:sz="6" w:space="0" w:color="auto"/>
                        </w:tcBorders>
                      </w:tcPr>
                      <w:p>
                        <w:pPr>
                          <w:pStyle w:val="TableParagraph"/>
                          <w:spacing w:line="124" w:lineRule="exact"/>
                          <w:ind w:left="13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p>
                        <w:pPr>
                          <w:pStyle w:val="TableParagraph"/>
                          <w:spacing w:line="237" w:lineRule="exact"/>
                          <w:ind w:left="1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余额</w:t>
                        </w:r>
                        <w:r>
                          <w:rPr>
                            <w:rFonts w:ascii="Microsoft JhengHei" w:hAnsi="Microsoft JhengHei" w:cs="Microsoft JhengHei" w:eastAsia="Microsoft JhengHei" w:hint="default"/>
                            <w:sz w:val="18"/>
                            <w:szCs w:val="18"/>
                          </w:rPr>
                        </w:r>
                      </w:p>
                    </w:tc>
                  </w:tr>
                  <w:tr>
                    <w:trPr>
                      <w:trHeight w:val="287" w:hRule="exact"/>
                    </w:trPr>
                    <w:tc>
                      <w:tcPr>
                        <w:tcW w:w="2499"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楷体" w:hAnsi="楷体" w:cs="楷体" w:eastAsia="楷体" w:hint="default"/>
                            <w:sz w:val="18"/>
                            <w:szCs w:val="18"/>
                          </w:rPr>
                        </w:pPr>
                        <w:r>
                          <w:rPr>
                            <w:rFonts w:ascii="楷体" w:hAnsi="楷体" w:cs="楷体" w:eastAsia="楷体" w:hint="default"/>
                            <w:sz w:val="18"/>
                            <w:szCs w:val="18"/>
                          </w:rPr>
                          <w:t>同方（哈尔滨）水务有限公司</w:t>
                        </w: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55"/>
                          <w:jc w:val="right"/>
                          <w:rPr>
                            <w:rFonts w:ascii="Times New Roman" w:hAnsi="Times New Roman" w:cs="Times New Roman" w:eastAsia="Times New Roman" w:hint="default"/>
                            <w:sz w:val="18"/>
                            <w:szCs w:val="18"/>
                          </w:rPr>
                        </w:pPr>
                        <w:r>
                          <w:rPr>
                            <w:rFonts w:ascii="Times New Roman"/>
                            <w:spacing w:val="-1"/>
                            <w:sz w:val="18"/>
                          </w:rPr>
                          <w:t>-7,859,008.00</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169,769,353.50</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tcBorders>
                          <w:top w:val="single" w:sz="4" w:space="0" w:color="000000"/>
                          <w:left w:val="nil" w:sz="6" w:space="0" w:color="auto"/>
                          <w:bottom w:val="nil" w:sz="6" w:space="0" w:color="auto"/>
                          <w:right w:val="nil" w:sz="6" w:space="0" w:color="auto"/>
                        </w:tcBorders>
                      </w:tcPr>
                      <w:p>
                        <w:pPr>
                          <w:pStyle w:val="TableParagraph"/>
                          <w:spacing w:line="239" w:lineRule="exact"/>
                          <w:ind w:left="299"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0.00 B.O.T.</w:t>
                        </w:r>
                        <w:r>
                          <w:rPr>
                            <w:rFonts w:ascii="楷体" w:hAnsi="楷体" w:cs="楷体" w:eastAsia="楷体" w:hint="default"/>
                            <w:sz w:val="18"/>
                            <w:szCs w:val="18"/>
                          </w:rPr>
                          <w:t>项目委托贷款</w:t>
                        </w:r>
                      </w:p>
                    </w:tc>
                  </w:tr>
                  <w:tr>
                    <w:trPr>
                      <w:trHeight w:val="263"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同方（哈尔滨）水务有限公司</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4"/>
                          <w:jc w:val="right"/>
                          <w:rPr>
                            <w:rFonts w:ascii="Times New Roman" w:hAnsi="Times New Roman" w:cs="Times New Roman" w:eastAsia="Times New Roman" w:hint="default"/>
                            <w:sz w:val="18"/>
                            <w:szCs w:val="18"/>
                          </w:rPr>
                        </w:pPr>
                        <w:r>
                          <w:rPr>
                            <w:rFonts w:ascii="Times New Roman"/>
                            <w:spacing w:val="-1"/>
                            <w:sz w:val="18"/>
                          </w:rPr>
                          <w:t>100,000,000.00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exact"/>
                          <w:ind w:left="299"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0.00 B.O.T.</w:t>
                        </w:r>
                        <w:r>
                          <w:rPr>
                            <w:rFonts w:ascii="楷体" w:hAnsi="楷体" w:cs="楷体" w:eastAsia="楷体" w:hint="default"/>
                            <w:sz w:val="18"/>
                            <w:szCs w:val="18"/>
                          </w:rPr>
                          <w:t>项目拆借款</w:t>
                        </w:r>
                      </w:p>
                    </w:tc>
                  </w:tr>
                  <w:tr>
                    <w:trPr>
                      <w:trHeight w:val="283"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 w:right="0"/>
                          <w:jc w:val="left"/>
                          <w:rPr>
                            <w:rFonts w:ascii="楷体" w:hAnsi="楷体" w:cs="楷体" w:eastAsia="楷体" w:hint="default"/>
                            <w:sz w:val="18"/>
                            <w:szCs w:val="18"/>
                          </w:rPr>
                        </w:pPr>
                        <w:r>
                          <w:rPr>
                            <w:rFonts w:ascii="楷体" w:hAnsi="楷体" w:cs="楷体" w:eastAsia="楷体" w:hint="default"/>
                            <w:sz w:val="18"/>
                            <w:szCs w:val="18"/>
                          </w:rPr>
                          <w:t>佳木斯同方水务有限责任公司</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4"/>
                          <w:jc w:val="right"/>
                          <w:rPr>
                            <w:rFonts w:ascii="Times New Roman" w:hAnsi="Times New Roman" w:cs="Times New Roman" w:eastAsia="Times New Roman" w:hint="default"/>
                            <w:sz w:val="18"/>
                            <w:szCs w:val="18"/>
                          </w:rPr>
                        </w:pPr>
                        <w:r>
                          <w:rPr>
                            <w:rFonts w:ascii="Times New Roman"/>
                            <w:spacing w:val="-1"/>
                            <w:sz w:val="18"/>
                          </w:rPr>
                          <w:t>100,000,000.00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tcBorders>
                          <w:top w:val="nil" w:sz="6" w:space="0" w:color="auto"/>
                          <w:left w:val="nil" w:sz="6" w:space="0" w:color="auto"/>
                          <w:bottom w:val="nil" w:sz="6" w:space="0" w:color="auto"/>
                          <w:right w:val="nil" w:sz="6" w:space="0" w:color="auto"/>
                        </w:tcBorders>
                      </w:tcPr>
                      <w:p>
                        <w:pPr>
                          <w:pStyle w:val="TableParagraph"/>
                          <w:spacing w:line="260" w:lineRule="exact"/>
                          <w:ind w:left="299" w:right="0"/>
                          <w:jc w:val="left"/>
                          <w:rPr>
                            <w:rFonts w:ascii="楷体" w:hAnsi="楷体" w:cs="楷体" w:eastAsia="楷体" w:hint="default"/>
                            <w:sz w:val="18"/>
                            <w:szCs w:val="18"/>
                          </w:rPr>
                        </w:pPr>
                        <w:r>
                          <w:rPr>
                            <w:rFonts w:ascii="Times New Roman" w:hAnsi="Times New Roman" w:cs="Times New Roman" w:eastAsia="Times New Roman" w:hint="default"/>
                            <w:position w:val="-3"/>
                            <w:sz w:val="18"/>
                            <w:szCs w:val="18"/>
                          </w:rPr>
                          <w:t>0.00</w:t>
                        </w:r>
                        <w:r>
                          <w:rPr>
                            <w:rFonts w:ascii="Times New Roman" w:hAnsi="Times New Roman" w:cs="Times New Roman" w:eastAsia="Times New Roman" w:hint="default"/>
                            <w:spacing w:val="-2"/>
                            <w:position w:val="-3"/>
                            <w:sz w:val="18"/>
                            <w:szCs w:val="18"/>
                          </w:rPr>
                          <w:t> </w:t>
                        </w:r>
                        <w:r>
                          <w:rPr>
                            <w:rFonts w:ascii="Times New Roman" w:hAnsi="Times New Roman" w:cs="Times New Roman" w:eastAsia="Times New Roman" w:hint="default"/>
                            <w:sz w:val="18"/>
                            <w:szCs w:val="18"/>
                          </w:rPr>
                          <w:t>B.O.T.</w:t>
                        </w:r>
                        <w:r>
                          <w:rPr>
                            <w:rFonts w:ascii="楷体" w:hAnsi="楷体" w:cs="楷体" w:eastAsia="楷体" w:hint="default"/>
                            <w:sz w:val="18"/>
                            <w:szCs w:val="18"/>
                          </w:rPr>
                          <w:t>项目拆借款</w:t>
                        </w:r>
                      </w:p>
                    </w:tc>
                  </w:tr>
                  <w:tr>
                    <w:trPr>
                      <w:trHeight w:val="283"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 w:right="0"/>
                          <w:jc w:val="left"/>
                          <w:rPr>
                            <w:rFonts w:ascii="楷体" w:hAnsi="楷体" w:cs="楷体" w:eastAsia="楷体" w:hint="default"/>
                            <w:sz w:val="18"/>
                            <w:szCs w:val="18"/>
                          </w:rPr>
                        </w:pPr>
                        <w:r>
                          <w:rPr>
                            <w:rFonts w:ascii="楷体" w:hAnsi="楷体" w:cs="楷体" w:eastAsia="楷体" w:hint="default"/>
                            <w:sz w:val="18"/>
                            <w:szCs w:val="18"/>
                          </w:rPr>
                          <w:t>惠州同方水务有限公司</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5"/>
                          <w:jc w:val="right"/>
                          <w:rPr>
                            <w:rFonts w:ascii="Times New Roman" w:hAnsi="Times New Roman" w:cs="Times New Roman" w:eastAsia="Times New Roman" w:hint="default"/>
                            <w:sz w:val="18"/>
                            <w:szCs w:val="18"/>
                          </w:rPr>
                        </w:pPr>
                        <w:r>
                          <w:rPr>
                            <w:rFonts w:ascii="Times New Roman"/>
                            <w:spacing w:val="-1"/>
                            <w:sz w:val="18"/>
                          </w:rPr>
                          <w:t>36,000,000.00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Times New Roman" w:hAnsi="Times New Roman" w:cs="Times New Roman" w:eastAsia="Times New Roman" w:hint="default"/>
                            <w:sz w:val="18"/>
                            <w:szCs w:val="18"/>
                          </w:rPr>
                        </w:pPr>
                        <w:r>
                          <w:rPr>
                            <w:rFonts w:ascii="Times New Roman"/>
                            <w:spacing w:val="-1"/>
                            <w:sz w:val="18"/>
                          </w:rPr>
                          <w:t>36,000,000.00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tcBorders>
                          <w:top w:val="nil" w:sz="6" w:space="0" w:color="auto"/>
                          <w:left w:val="nil" w:sz="6" w:space="0" w:color="auto"/>
                          <w:bottom w:val="nil" w:sz="6" w:space="0" w:color="auto"/>
                          <w:right w:val="nil" w:sz="6" w:space="0" w:color="auto"/>
                        </w:tcBorders>
                      </w:tcPr>
                      <w:p>
                        <w:pPr>
                          <w:pStyle w:val="TableParagraph"/>
                          <w:spacing w:line="260" w:lineRule="exact"/>
                          <w:ind w:left="299" w:right="0"/>
                          <w:jc w:val="left"/>
                          <w:rPr>
                            <w:rFonts w:ascii="楷体" w:hAnsi="楷体" w:cs="楷体" w:eastAsia="楷体" w:hint="default"/>
                            <w:sz w:val="18"/>
                            <w:szCs w:val="18"/>
                          </w:rPr>
                        </w:pPr>
                        <w:r>
                          <w:rPr>
                            <w:rFonts w:ascii="Times New Roman" w:hAnsi="Times New Roman" w:cs="Times New Roman" w:eastAsia="Times New Roman" w:hint="default"/>
                            <w:position w:val="-3"/>
                            <w:sz w:val="18"/>
                            <w:szCs w:val="18"/>
                          </w:rPr>
                          <w:t>0.00</w:t>
                        </w:r>
                        <w:r>
                          <w:rPr>
                            <w:rFonts w:ascii="Times New Roman" w:hAnsi="Times New Roman" w:cs="Times New Roman" w:eastAsia="Times New Roman" w:hint="default"/>
                            <w:spacing w:val="-1"/>
                            <w:position w:val="-3"/>
                            <w:sz w:val="18"/>
                            <w:szCs w:val="18"/>
                          </w:rPr>
                          <w:t> </w:t>
                        </w:r>
                        <w:r>
                          <w:rPr>
                            <w:rFonts w:ascii="Times New Roman" w:hAnsi="Times New Roman" w:cs="Times New Roman" w:eastAsia="Times New Roman" w:hint="default"/>
                            <w:sz w:val="18"/>
                            <w:szCs w:val="18"/>
                          </w:rPr>
                          <w:t>B.O.T.</w:t>
                        </w:r>
                        <w:r>
                          <w:rPr>
                            <w:rFonts w:ascii="楷体" w:hAnsi="楷体" w:cs="楷体" w:eastAsia="楷体" w:hint="default"/>
                            <w:sz w:val="18"/>
                            <w:szCs w:val="18"/>
                          </w:rPr>
                          <w:t>项目拆借款</w:t>
                        </w:r>
                      </w:p>
                    </w:tc>
                  </w:tr>
                  <w:tr>
                    <w:trPr>
                      <w:trHeight w:val="304" w:hRule="exact"/>
                    </w:trPr>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 w:right="0"/>
                          <w:jc w:val="left"/>
                          <w:rPr>
                            <w:rFonts w:ascii="楷体" w:hAnsi="楷体" w:cs="楷体" w:eastAsia="楷体" w:hint="default"/>
                            <w:sz w:val="18"/>
                            <w:szCs w:val="18"/>
                          </w:rPr>
                        </w:pPr>
                        <w:r>
                          <w:rPr>
                            <w:rFonts w:ascii="楷体" w:hAnsi="楷体" w:cs="楷体" w:eastAsia="楷体" w:hint="default"/>
                            <w:sz w:val="18"/>
                            <w:szCs w:val="18"/>
                          </w:rPr>
                          <w:t>哈尔滨平义水务有限公司</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6"/>
                          <w:jc w:val="right"/>
                          <w:rPr>
                            <w:rFonts w:ascii="Times New Roman" w:hAnsi="Times New Roman" w:cs="Times New Roman" w:eastAsia="Times New Roman" w:hint="default"/>
                            <w:sz w:val="18"/>
                            <w:szCs w:val="18"/>
                          </w:rPr>
                        </w:pPr>
                        <w:r>
                          <w:rPr>
                            <w:rFonts w:ascii="Times New Roman"/>
                            <w:spacing w:val="-1"/>
                            <w:sz w:val="18"/>
                          </w:rPr>
                          <w:t>20,000,000.00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Times New Roman" w:hAnsi="Times New Roman" w:cs="Times New Roman" w:eastAsia="Times New Roman" w:hint="default"/>
                            <w:sz w:val="18"/>
                            <w:szCs w:val="18"/>
                          </w:rPr>
                        </w:pPr>
                        <w:r>
                          <w:rPr>
                            <w:rFonts w:ascii="Times New Roman"/>
                            <w:spacing w:val="-1"/>
                            <w:sz w:val="18"/>
                          </w:rPr>
                          <w:t>20,000,000.00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tcBorders>
                          <w:top w:val="nil" w:sz="6" w:space="0" w:color="auto"/>
                          <w:left w:val="nil" w:sz="6" w:space="0" w:color="auto"/>
                          <w:bottom w:val="nil" w:sz="6" w:space="0" w:color="auto"/>
                          <w:right w:val="nil" w:sz="6" w:space="0" w:color="auto"/>
                        </w:tcBorders>
                      </w:tcPr>
                      <w:p>
                        <w:pPr>
                          <w:pStyle w:val="TableParagraph"/>
                          <w:spacing w:line="260" w:lineRule="exact"/>
                          <w:ind w:left="298" w:right="0"/>
                          <w:jc w:val="left"/>
                          <w:rPr>
                            <w:rFonts w:ascii="楷体" w:hAnsi="楷体" w:cs="楷体" w:eastAsia="楷体" w:hint="default"/>
                            <w:sz w:val="18"/>
                            <w:szCs w:val="18"/>
                          </w:rPr>
                        </w:pPr>
                        <w:r>
                          <w:rPr>
                            <w:rFonts w:ascii="Times New Roman" w:hAnsi="Times New Roman" w:cs="Times New Roman" w:eastAsia="Times New Roman" w:hint="default"/>
                            <w:position w:val="-3"/>
                            <w:sz w:val="18"/>
                            <w:szCs w:val="18"/>
                          </w:rPr>
                          <w:t>0.00</w:t>
                        </w:r>
                        <w:r>
                          <w:rPr>
                            <w:rFonts w:ascii="Times New Roman" w:hAnsi="Times New Roman" w:cs="Times New Roman" w:eastAsia="Times New Roman" w:hint="default"/>
                            <w:spacing w:val="-1"/>
                            <w:position w:val="-3"/>
                            <w:sz w:val="18"/>
                            <w:szCs w:val="18"/>
                          </w:rPr>
                          <w:t> </w:t>
                        </w:r>
                        <w:r>
                          <w:rPr>
                            <w:rFonts w:ascii="Times New Roman" w:hAnsi="Times New Roman" w:cs="Times New Roman" w:eastAsia="Times New Roman" w:hint="default"/>
                            <w:sz w:val="18"/>
                            <w:szCs w:val="18"/>
                          </w:rPr>
                          <w:t>B.O.T.</w:t>
                        </w:r>
                        <w:r>
                          <w:rPr>
                            <w:rFonts w:ascii="楷体" w:hAnsi="楷体" w:cs="楷体" w:eastAsia="楷体" w:hint="default"/>
                            <w:sz w:val="18"/>
                            <w:szCs w:val="18"/>
                          </w:rPr>
                          <w:t>项目拆借款</w:t>
                        </w:r>
                      </w:p>
                    </w:tc>
                  </w:tr>
                  <w:tr>
                    <w:trPr>
                      <w:trHeight w:val="289" w:hRule="exact"/>
                    </w:trPr>
                    <w:tc>
                      <w:tcPr>
                        <w:tcW w:w="2499" w:type="dxa"/>
                        <w:tcBorders>
                          <w:top w:val="nil" w:sz="6" w:space="0" w:color="auto"/>
                          <w:left w:val="nil" w:sz="6" w:space="0" w:color="auto"/>
                          <w:bottom w:val="single" w:sz="4" w:space="0" w:color="000000"/>
                          <w:right w:val="nil" w:sz="6" w:space="0" w:color="auto"/>
                        </w:tcBorders>
                      </w:tcPr>
                      <w:p>
                        <w:pPr>
                          <w:pStyle w:val="TableParagraph"/>
                          <w:spacing w:line="227" w:lineRule="exact"/>
                          <w:ind w:left="29" w:right="0"/>
                          <w:jc w:val="left"/>
                          <w:rPr>
                            <w:rFonts w:ascii="楷体" w:hAnsi="楷体" w:cs="楷体" w:eastAsia="楷体" w:hint="default"/>
                            <w:sz w:val="18"/>
                            <w:szCs w:val="18"/>
                          </w:rPr>
                        </w:pPr>
                        <w:r>
                          <w:rPr>
                            <w:rFonts w:ascii="楷体" w:hAnsi="楷体" w:cs="楷体" w:eastAsia="楷体" w:hint="default"/>
                            <w:sz w:val="18"/>
                            <w:szCs w:val="18"/>
                          </w:rPr>
                          <w:t>同方华清投资管理有限公司</w:t>
                        </w: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56"/>
                          <w:jc w:val="right"/>
                          <w:rPr>
                            <w:rFonts w:ascii="Times New Roman" w:hAnsi="Times New Roman" w:cs="Times New Roman" w:eastAsia="Times New Roman" w:hint="default"/>
                            <w:sz w:val="18"/>
                            <w:szCs w:val="18"/>
                          </w:rPr>
                        </w:pPr>
                        <w:r>
                          <w:rPr>
                            <w:rFonts w:ascii="Times New Roman"/>
                            <w:sz w:val="18"/>
                          </w:rPr>
                          <w:t>0.00</w:t>
                        </w: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9,800,000.00</w:t>
                        </w:r>
                      </w:p>
                    </w:tc>
                    <w:tc>
                      <w:tcPr>
                        <w:tcW w:w="90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tcBorders>
                          <w:top w:val="nil" w:sz="6" w:space="0" w:color="auto"/>
                          <w:left w:val="nil" w:sz="6" w:space="0" w:color="auto"/>
                          <w:bottom w:val="single" w:sz="4" w:space="0" w:color="000000"/>
                          <w:right w:val="nil" w:sz="6" w:space="0" w:color="auto"/>
                        </w:tcBorders>
                      </w:tcPr>
                      <w:p>
                        <w:pPr>
                          <w:pStyle w:val="TableParagraph"/>
                          <w:spacing w:line="240" w:lineRule="exact"/>
                          <w:ind w:left="298"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6"/>
                            <w:sz w:val="18"/>
                            <w:szCs w:val="18"/>
                          </w:rPr>
                          <w:t> </w:t>
                        </w:r>
                        <w:r>
                          <w:rPr>
                            <w:rFonts w:ascii="楷体" w:hAnsi="楷体" w:cs="楷体" w:eastAsia="楷体" w:hint="default"/>
                            <w:sz w:val="18"/>
                            <w:szCs w:val="18"/>
                          </w:rPr>
                          <w:t>房地产项目合作款</w:t>
                        </w:r>
                      </w:p>
                    </w:tc>
                  </w:tr>
                  <w:tr>
                    <w:trPr>
                      <w:trHeight w:val="303" w:hRule="exact"/>
                    </w:trPr>
                    <w:tc>
                      <w:tcPr>
                        <w:tcW w:w="249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54"/>
                          <w:jc w:val="right"/>
                          <w:rPr>
                            <w:rFonts w:ascii="Times New Roman" w:hAnsi="Times New Roman" w:cs="Times New Roman" w:eastAsia="Times New Roman" w:hint="default"/>
                            <w:sz w:val="18"/>
                            <w:szCs w:val="18"/>
                          </w:rPr>
                        </w:pPr>
                        <w:r>
                          <w:rPr>
                            <w:rFonts w:ascii="Times New Roman"/>
                            <w:b/>
                            <w:spacing w:val="-1"/>
                            <w:sz w:val="18"/>
                          </w:rPr>
                          <w:t>248,140,992.00</w:t>
                        </w:r>
                        <w:r>
                          <w:rPr>
                            <w:rFonts w:ascii="Times New Roman"/>
                            <w:spacing w:val="-1"/>
                            <w:sz w:val="18"/>
                          </w:rPr>
                        </w:r>
                      </w:p>
                    </w:tc>
                    <w:tc>
                      <w:tcPr>
                        <w:tcW w:w="13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b/>
                            <w:spacing w:val="-1"/>
                            <w:sz w:val="18"/>
                          </w:rPr>
                          <w:t>435,569,353.50</w:t>
                        </w:r>
                        <w:r>
                          <w:rPr>
                            <w:rFonts w:ascii="Times New Roman"/>
                            <w:spacing w:val="-1"/>
                            <w:sz w:val="18"/>
                          </w:rPr>
                        </w:r>
                      </w:p>
                    </w:tc>
                    <w:tc>
                      <w:tcPr>
                        <w:tcW w:w="9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24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99"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bl>
                <w:p>
                  <w:pPr/>
                </w:p>
              </w:txbxContent>
            </v:textbox>
            <w10:wrap type="none"/>
          </v:shape>
        </w:pict>
      </w:r>
      <w:r>
        <w:rPr>
          <w:rFonts w:ascii="Microsoft JhengHei" w:hAnsi="Microsoft JhengHei" w:cs="Microsoft JhengHei" w:eastAsia="Microsoft JhengHei" w:hint="default"/>
          <w:b/>
          <w:bCs/>
          <w:sz w:val="18"/>
          <w:szCs w:val="18"/>
        </w:rPr>
        <w:t>向关联方提供资金</w:t>
        <w:tab/>
        <w:t>从关联方获取资金</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264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216.7pt;height:.5pt;mso-position-horizontal-relative:char;mso-position-vertical-relative:line" coordorigin="0,0" coordsize="4334,10">
            <v:group style="position:absolute;left:5;top:5;width:4324;height:2" coordorigin="5,5" coordsize="4324,2">
              <v:shape style="position:absolute;left:5;top:5;width:4324;height:2" coordorigin="5,5" coordsize="4324,0" path="m5,5l4328,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1910" w:h="16840"/>
          <w:pgMar w:top="1600" w:bottom="2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4"/>
          <w:szCs w:val="14"/>
        </w:rPr>
      </w:pPr>
    </w:p>
    <w:p>
      <w:pPr>
        <w:spacing w:before="31"/>
        <w:ind w:left="591"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28"/>
          <w:sz w:val="22"/>
          <w:szCs w:val="22"/>
        </w:rPr>
        <w:t> </w:t>
      </w:r>
      <w:r>
        <w:rPr>
          <w:rFonts w:ascii="楷体" w:hAnsi="楷体" w:cs="楷体" w:eastAsia="楷体" w:hint="default"/>
          <w:sz w:val="22"/>
          <w:szCs w:val="22"/>
        </w:rPr>
        <w:t>年度</w:t>
      </w:r>
    </w:p>
    <w:p>
      <w:pPr>
        <w:spacing w:line="240" w:lineRule="auto" w:before="2"/>
        <w:rPr>
          <w:rFonts w:ascii="楷体" w:hAnsi="楷体" w:cs="楷体" w:eastAsia="楷体" w:hint="default"/>
          <w:sz w:val="11"/>
          <w:szCs w:val="11"/>
        </w:rPr>
      </w:pPr>
    </w:p>
    <w:p>
      <w:pPr>
        <w:spacing w:line="30" w:lineRule="exact"/>
        <w:ind w:left="100"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tabs>
          <w:tab w:pos="5491" w:val="left" w:leader="none"/>
        </w:tabs>
        <w:spacing w:line="246" w:lineRule="exact" w:before="0"/>
        <w:ind w:left="3313" w:right="2246" w:firstLine="0"/>
        <w:jc w:val="left"/>
        <w:rPr>
          <w:rFonts w:ascii="Microsoft JhengHei" w:hAnsi="Microsoft JhengHei" w:cs="Microsoft JhengHei" w:eastAsia="Microsoft JhengHei" w:hint="default"/>
          <w:sz w:val="18"/>
          <w:szCs w:val="18"/>
        </w:rPr>
      </w:pPr>
      <w:r>
        <w:rPr/>
        <w:pict>
          <v:shape style="position:absolute;margin-left:69.419998pt;margin-top:8.885325pt;width:431.9pt;height:65.7pt;mso-position-horizontal-relative:page;mso-position-vertical-relative:paragraph;z-index:5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9"/>
                    <w:gridCol w:w="1476"/>
                    <w:gridCol w:w="1350"/>
                    <w:gridCol w:w="863"/>
                    <w:gridCol w:w="2429"/>
                  </w:tblGrid>
                  <w:tr>
                    <w:trPr>
                      <w:trHeight w:val="403" w:hRule="exact"/>
                    </w:trPr>
                    <w:tc>
                      <w:tcPr>
                        <w:tcW w:w="2519" w:type="dxa"/>
                        <w:tcBorders>
                          <w:top w:val="nil" w:sz="6" w:space="0" w:color="auto"/>
                          <w:left w:val="nil" w:sz="6" w:space="0" w:color="auto"/>
                          <w:bottom w:val="single" w:sz="4" w:space="0" w:color="000000"/>
                          <w:right w:val="nil" w:sz="6" w:space="0" w:color="auto"/>
                        </w:tcBorders>
                      </w:tcPr>
                      <w:p>
                        <w:pPr>
                          <w:pStyle w:val="TableParagraph"/>
                          <w:spacing w:line="200" w:lineRule="exact"/>
                          <w:ind w:left="4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4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发生额</w:t>
                        </w:r>
                        <w:r>
                          <w:rPr>
                            <w:rFonts w:ascii="Microsoft JhengHei" w:hAnsi="Microsoft JhengHei" w:cs="Microsoft JhengHei" w:eastAsia="Microsoft JhengHei" w:hint="default"/>
                            <w:sz w:val="18"/>
                            <w:szCs w:val="18"/>
                          </w:rPr>
                        </w: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4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余额</w:t>
                        </w:r>
                        <w:r>
                          <w:rPr>
                            <w:rFonts w:ascii="Microsoft JhengHei" w:hAnsi="Microsoft JhengHei" w:cs="Microsoft JhengHei" w:eastAsia="Microsoft JhengHei" w:hint="default"/>
                            <w:sz w:val="18"/>
                            <w:szCs w:val="18"/>
                          </w:rPr>
                        </w:r>
                      </w:p>
                    </w:tc>
                    <w:tc>
                      <w:tcPr>
                        <w:tcW w:w="86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8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发生额</w:t>
                        </w:r>
                        <w:r>
                          <w:rPr>
                            <w:rFonts w:ascii="Microsoft JhengHei" w:hAnsi="Microsoft JhengHei" w:cs="Microsoft JhengHei" w:eastAsia="Microsoft JhengHei" w:hint="default"/>
                            <w:sz w:val="18"/>
                            <w:szCs w:val="18"/>
                          </w:rPr>
                        </w:r>
                      </w:p>
                    </w:tc>
                    <w:tc>
                      <w:tcPr>
                        <w:tcW w:w="2429" w:type="dxa"/>
                        <w:tcBorders>
                          <w:top w:val="nil" w:sz="6" w:space="0" w:color="auto"/>
                          <w:left w:val="nil" w:sz="6" w:space="0" w:color="auto"/>
                          <w:bottom w:val="single" w:sz="4" w:space="0" w:color="000000"/>
                          <w:right w:val="nil" w:sz="6" w:space="0" w:color="auto"/>
                        </w:tcBorders>
                      </w:tcPr>
                      <w:p>
                        <w:pPr>
                          <w:pStyle w:val="TableParagraph"/>
                          <w:spacing w:line="124" w:lineRule="exact"/>
                          <w:ind w:left="13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p>
                        <w:pPr>
                          <w:pStyle w:val="TableParagraph"/>
                          <w:spacing w:line="237" w:lineRule="exact"/>
                          <w:ind w:left="1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余额</w:t>
                        </w:r>
                        <w:r>
                          <w:rPr>
                            <w:rFonts w:ascii="Microsoft JhengHei" w:hAnsi="Microsoft JhengHei" w:cs="Microsoft JhengHei" w:eastAsia="Microsoft JhengHei" w:hint="default"/>
                            <w:sz w:val="18"/>
                            <w:szCs w:val="18"/>
                          </w:rPr>
                        </w:r>
                      </w:p>
                    </w:tc>
                  </w:tr>
                  <w:tr>
                    <w:trPr>
                      <w:trHeight w:val="288" w:hRule="exact"/>
                    </w:trPr>
                    <w:tc>
                      <w:tcPr>
                        <w:tcW w:w="2519"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楷体" w:hAnsi="楷体" w:cs="楷体" w:eastAsia="楷体" w:hint="default"/>
                            <w:sz w:val="18"/>
                            <w:szCs w:val="18"/>
                          </w:rPr>
                        </w:pPr>
                        <w:r>
                          <w:rPr>
                            <w:rFonts w:ascii="楷体" w:hAnsi="楷体" w:cs="楷体" w:eastAsia="楷体" w:hint="default"/>
                            <w:sz w:val="18"/>
                            <w:szCs w:val="18"/>
                          </w:rPr>
                          <w:t>同方（哈尔滨）水务有限公司</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39"/>
                          <w:jc w:val="right"/>
                          <w:rPr>
                            <w:rFonts w:ascii="Times New Roman" w:hAnsi="Times New Roman" w:cs="Times New Roman" w:eastAsia="Times New Roman" w:hint="default"/>
                            <w:sz w:val="18"/>
                            <w:szCs w:val="18"/>
                          </w:rPr>
                        </w:pPr>
                        <w:r>
                          <w:rPr>
                            <w:rFonts w:ascii="Times New Roman"/>
                            <w:spacing w:val="-1"/>
                            <w:sz w:val="18"/>
                          </w:rPr>
                          <w:t>-11,696,830.00</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1"/>
                          <w:jc w:val="right"/>
                          <w:rPr>
                            <w:rFonts w:ascii="Times New Roman" w:hAnsi="Times New Roman" w:cs="Times New Roman" w:eastAsia="Times New Roman" w:hint="default"/>
                            <w:sz w:val="18"/>
                            <w:szCs w:val="18"/>
                          </w:rPr>
                        </w:pPr>
                        <w:r>
                          <w:rPr>
                            <w:rFonts w:ascii="Times New Roman"/>
                            <w:spacing w:val="-1"/>
                            <w:sz w:val="18"/>
                          </w:rPr>
                          <w:t>177,628,361.50</w:t>
                        </w:r>
                      </w:p>
                    </w:tc>
                    <w:tc>
                      <w:tcPr>
                        <w:tcW w:w="86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25"/>
                          <w:jc w:val="right"/>
                          <w:rPr>
                            <w:rFonts w:ascii="Times New Roman" w:hAnsi="Times New Roman" w:cs="Times New Roman" w:eastAsia="Times New Roman" w:hint="default"/>
                            <w:sz w:val="18"/>
                            <w:szCs w:val="18"/>
                          </w:rPr>
                        </w:pPr>
                        <w:r>
                          <w:rPr>
                            <w:rFonts w:ascii="Times New Roman"/>
                            <w:sz w:val="18"/>
                          </w:rPr>
                          <w:t>0.00</w:t>
                        </w:r>
                      </w:p>
                    </w:tc>
                    <w:tc>
                      <w:tcPr>
                        <w:tcW w:w="2429" w:type="dxa"/>
                        <w:tcBorders>
                          <w:top w:val="single" w:sz="4" w:space="0" w:color="000000"/>
                          <w:left w:val="nil" w:sz="6" w:space="0" w:color="auto"/>
                          <w:bottom w:val="nil" w:sz="6" w:space="0" w:color="auto"/>
                          <w:right w:val="nil" w:sz="6" w:space="0" w:color="auto"/>
                        </w:tcBorders>
                      </w:tcPr>
                      <w:p>
                        <w:pPr>
                          <w:pStyle w:val="TableParagraph"/>
                          <w:spacing w:line="239" w:lineRule="exact"/>
                          <w:ind w:left="36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0.00 B.O.T.</w:t>
                        </w:r>
                        <w:r>
                          <w:rPr>
                            <w:rFonts w:ascii="楷体" w:hAnsi="楷体" w:cs="楷体" w:eastAsia="楷体" w:hint="default"/>
                            <w:sz w:val="18"/>
                            <w:szCs w:val="18"/>
                          </w:rPr>
                          <w:t>项目委托贷款</w:t>
                        </w:r>
                      </w:p>
                    </w:tc>
                  </w:tr>
                  <w:tr>
                    <w:trPr>
                      <w:trHeight w:val="288" w:hRule="exact"/>
                    </w:trPr>
                    <w:tc>
                      <w:tcPr>
                        <w:tcW w:w="2519" w:type="dxa"/>
                        <w:tcBorders>
                          <w:top w:val="nil" w:sz="6" w:space="0" w:color="auto"/>
                          <w:left w:val="nil" w:sz="6" w:space="0" w:color="auto"/>
                          <w:bottom w:val="single" w:sz="4" w:space="0" w:color="000000"/>
                          <w:right w:val="nil" w:sz="6" w:space="0" w:color="auto"/>
                        </w:tcBorders>
                      </w:tcPr>
                      <w:p>
                        <w:pPr>
                          <w:pStyle w:val="TableParagraph"/>
                          <w:spacing w:line="227" w:lineRule="exact"/>
                          <w:ind w:left="30" w:right="0"/>
                          <w:jc w:val="left"/>
                          <w:rPr>
                            <w:rFonts w:ascii="楷体" w:hAnsi="楷体" w:cs="楷体" w:eastAsia="楷体" w:hint="default"/>
                            <w:sz w:val="18"/>
                            <w:szCs w:val="18"/>
                          </w:rPr>
                        </w:pPr>
                        <w:r>
                          <w:rPr>
                            <w:rFonts w:ascii="楷体" w:hAnsi="楷体" w:cs="楷体" w:eastAsia="楷体" w:hint="default"/>
                            <w:sz w:val="18"/>
                            <w:szCs w:val="18"/>
                          </w:rPr>
                          <w:t>同方华清投资管理有限公司</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39"/>
                          <w:jc w:val="right"/>
                          <w:rPr>
                            <w:rFonts w:ascii="Times New Roman" w:hAnsi="Times New Roman" w:cs="Times New Roman" w:eastAsia="Times New Roman" w:hint="default"/>
                            <w:sz w:val="18"/>
                            <w:szCs w:val="18"/>
                          </w:rPr>
                        </w:pPr>
                        <w:r>
                          <w:rPr>
                            <w:rFonts w:ascii="Times New Roman"/>
                            <w:spacing w:val="-1"/>
                            <w:sz w:val="18"/>
                          </w:rPr>
                          <w:t>-89,450,000.00</w:t>
                        </w: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83"/>
                          <w:jc w:val="right"/>
                          <w:rPr>
                            <w:rFonts w:ascii="Times New Roman" w:hAnsi="Times New Roman" w:cs="Times New Roman" w:eastAsia="Times New Roman" w:hint="default"/>
                            <w:sz w:val="18"/>
                            <w:szCs w:val="18"/>
                          </w:rPr>
                        </w:pPr>
                        <w:r>
                          <w:rPr>
                            <w:rFonts w:ascii="Times New Roman"/>
                            <w:spacing w:val="-1"/>
                            <w:sz w:val="18"/>
                          </w:rPr>
                          <w:t>9,800,000.00</w:t>
                        </w:r>
                      </w:p>
                    </w:tc>
                    <w:tc>
                      <w:tcPr>
                        <w:tcW w:w="86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26"/>
                          <w:jc w:val="right"/>
                          <w:rPr>
                            <w:rFonts w:ascii="Times New Roman" w:hAnsi="Times New Roman" w:cs="Times New Roman" w:eastAsia="Times New Roman" w:hint="default"/>
                            <w:sz w:val="18"/>
                            <w:szCs w:val="18"/>
                          </w:rPr>
                        </w:pPr>
                        <w:r>
                          <w:rPr>
                            <w:rFonts w:ascii="Times New Roman"/>
                            <w:spacing w:val="-1"/>
                            <w:sz w:val="18"/>
                          </w:rPr>
                          <w:t>0.00</w:t>
                        </w:r>
                      </w:p>
                    </w:tc>
                    <w:tc>
                      <w:tcPr>
                        <w:tcW w:w="2429" w:type="dxa"/>
                        <w:tcBorders>
                          <w:top w:val="nil" w:sz="6" w:space="0" w:color="auto"/>
                          <w:left w:val="nil" w:sz="6" w:space="0" w:color="auto"/>
                          <w:bottom w:val="single" w:sz="4" w:space="0" w:color="000000"/>
                          <w:right w:val="nil" w:sz="6" w:space="0" w:color="auto"/>
                        </w:tcBorders>
                      </w:tcPr>
                      <w:p>
                        <w:pPr>
                          <w:pStyle w:val="TableParagraph"/>
                          <w:spacing w:line="241" w:lineRule="exact"/>
                          <w:ind w:left="367" w:right="0"/>
                          <w:jc w:val="left"/>
                          <w:rPr>
                            <w:rFonts w:ascii="楷体" w:hAnsi="楷体" w:cs="楷体" w:eastAsia="楷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6"/>
                            <w:sz w:val="18"/>
                            <w:szCs w:val="18"/>
                          </w:rPr>
                          <w:t> </w:t>
                        </w:r>
                        <w:r>
                          <w:rPr>
                            <w:rFonts w:ascii="楷体" w:hAnsi="楷体" w:cs="楷体" w:eastAsia="楷体" w:hint="default"/>
                            <w:sz w:val="18"/>
                            <w:szCs w:val="18"/>
                          </w:rPr>
                          <w:t>房地产项目合作款</w:t>
                        </w:r>
                      </w:p>
                    </w:tc>
                  </w:tr>
                  <w:tr>
                    <w:trPr>
                      <w:trHeight w:val="304" w:hRule="exact"/>
                    </w:trPr>
                    <w:tc>
                      <w:tcPr>
                        <w:tcW w:w="251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3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38"/>
                          <w:jc w:val="right"/>
                          <w:rPr>
                            <w:rFonts w:ascii="Times New Roman" w:hAnsi="Times New Roman" w:cs="Times New Roman" w:eastAsia="Times New Roman" w:hint="default"/>
                            <w:sz w:val="18"/>
                            <w:szCs w:val="18"/>
                          </w:rPr>
                        </w:pPr>
                        <w:r>
                          <w:rPr>
                            <w:rFonts w:ascii="Times New Roman"/>
                            <w:b/>
                            <w:spacing w:val="-1"/>
                            <w:sz w:val="18"/>
                          </w:rPr>
                          <w:t>-101,146,830.00</w:t>
                        </w:r>
                        <w:r>
                          <w:rPr>
                            <w:rFonts w:ascii="Times New Roman"/>
                            <w:spacing w:val="-1"/>
                            <w:sz w:val="18"/>
                          </w:rPr>
                        </w:r>
                      </w:p>
                    </w:tc>
                    <w:tc>
                      <w:tcPr>
                        <w:tcW w:w="13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1"/>
                          <w:jc w:val="right"/>
                          <w:rPr>
                            <w:rFonts w:ascii="Times New Roman" w:hAnsi="Times New Roman" w:cs="Times New Roman" w:eastAsia="Times New Roman" w:hint="default"/>
                            <w:sz w:val="18"/>
                            <w:szCs w:val="18"/>
                          </w:rPr>
                        </w:pPr>
                        <w:r>
                          <w:rPr>
                            <w:rFonts w:ascii="Times New Roman"/>
                            <w:b/>
                            <w:spacing w:val="-1"/>
                            <w:sz w:val="18"/>
                          </w:rPr>
                          <w:t>187,428,361.50</w:t>
                        </w:r>
                        <w:r>
                          <w:rPr>
                            <w:rFonts w:ascii="Times New Roman"/>
                            <w:spacing w:val="-1"/>
                            <w:sz w:val="18"/>
                          </w:rPr>
                        </w:r>
                      </w:p>
                    </w:tc>
                    <w:tc>
                      <w:tcPr>
                        <w:tcW w:w="86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25"/>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242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368"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bl>
                <w:p>
                  <w:pPr/>
                </w:p>
              </w:txbxContent>
            </v:textbox>
            <w10:wrap type="none"/>
          </v:shape>
        </w:pict>
      </w:r>
      <w:r>
        <w:rPr>
          <w:rFonts w:ascii="Microsoft JhengHei" w:hAnsi="Microsoft JhengHei" w:cs="Microsoft JhengHei" w:eastAsia="Microsoft JhengHei" w:hint="default"/>
          <w:b/>
          <w:bCs/>
          <w:sz w:val="18"/>
          <w:szCs w:val="18"/>
        </w:rPr>
        <w:t>向关联方提供资金</w:t>
        <w:tab/>
        <w:t>从关联方获取资金</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266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218.35pt;height:.5pt;mso-position-horizontal-relative:char;mso-position-vertical-relative:line" coordorigin="0,0" coordsize="4367,10">
            <v:group style="position:absolute;left:5;top:5;width:4358;height:2" coordorigin="5,5" coordsize="4358,2">
              <v:shape style="position:absolute;left:5;top:5;width:4358;height:2" coordorigin="5,5" coordsize="4358,0" path="m5,5l4362,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0"/>
          <w:szCs w:val="10"/>
        </w:rPr>
      </w:pPr>
    </w:p>
    <w:tbl>
      <w:tblPr>
        <w:tblW w:w="0" w:type="auto"/>
        <w:jc w:val="left"/>
        <w:tblInd w:w="416" w:type="dxa"/>
        <w:tblLayout w:type="fixed"/>
        <w:tblCellMar>
          <w:top w:w="0" w:type="dxa"/>
          <w:left w:w="0" w:type="dxa"/>
          <w:bottom w:w="0" w:type="dxa"/>
          <w:right w:w="0" w:type="dxa"/>
        </w:tblCellMar>
        <w:tblLook w:val="01E0"/>
      </w:tblPr>
      <w:tblGrid>
        <w:gridCol w:w="4217"/>
        <w:gridCol w:w="2774"/>
        <w:gridCol w:w="1646"/>
      </w:tblGrid>
      <w:tr>
        <w:trPr>
          <w:trHeight w:val="966" w:hRule="exact"/>
        </w:trPr>
        <w:tc>
          <w:tcPr>
            <w:tcW w:w="4217" w:type="dxa"/>
            <w:tcBorders>
              <w:top w:val="nil" w:sz="6" w:space="0" w:color="auto"/>
              <w:left w:val="nil" w:sz="6" w:space="0" w:color="auto"/>
              <w:bottom w:val="single" w:sz="12" w:space="0" w:color="000000"/>
              <w:right w:val="nil" w:sz="6" w:space="0" w:color="auto"/>
            </w:tcBorders>
          </w:tcPr>
          <w:p>
            <w:pPr>
              <w:pStyle w:val="TableParagraph"/>
              <w:spacing w:line="345" w:lineRule="exact"/>
              <w:ind w:left="163"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（三）</w:t>
            </w:r>
            <w:r>
              <w:rPr>
                <w:rFonts w:ascii="Microsoft JhengHei" w:hAnsi="Microsoft JhengHei" w:cs="Microsoft JhengHei" w:eastAsia="Microsoft JhengHei" w:hint="default"/>
                <w:b/>
                <w:bCs/>
                <w:spacing w:val="15"/>
                <w:sz w:val="22"/>
                <w:szCs w:val="22"/>
              </w:rPr>
              <w:t> </w:t>
            </w:r>
            <w:r>
              <w:rPr>
                <w:rFonts w:ascii="Microsoft JhengHei" w:hAnsi="Microsoft JhengHei" w:cs="Microsoft JhengHei" w:eastAsia="Microsoft JhengHei" w:hint="default"/>
                <w:b/>
                <w:bCs/>
                <w:sz w:val="22"/>
                <w:szCs w:val="22"/>
              </w:rPr>
              <w:t>关联方往来余额</w:t>
            </w:r>
            <w:r>
              <w:rPr>
                <w:rFonts w:ascii="Microsoft JhengHei" w:hAnsi="Microsoft JhengHei" w:cs="Microsoft JhengHei" w:eastAsia="Microsoft JhengHei" w:hint="default"/>
                <w:sz w:val="22"/>
                <w:szCs w:val="22"/>
              </w:rPr>
            </w:r>
          </w:p>
          <w:p>
            <w:pPr>
              <w:pStyle w:val="TableParagraph"/>
              <w:spacing w:line="240" w:lineRule="auto" w:before="85"/>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6"/>
                <w:sz w:val="22"/>
                <w:szCs w:val="22"/>
              </w:rPr>
              <w:t> </w:t>
            </w:r>
            <w:r>
              <w:rPr>
                <w:rFonts w:ascii="楷体" w:hAnsi="楷体" w:cs="楷体" w:eastAsia="楷体" w:hint="default"/>
                <w:sz w:val="22"/>
                <w:szCs w:val="22"/>
              </w:rPr>
              <w:t>关联方应收账款</w:t>
            </w:r>
          </w:p>
        </w:tc>
        <w:tc>
          <w:tcPr>
            <w:tcW w:w="4420" w:type="dxa"/>
            <w:gridSpan w:val="2"/>
            <w:tcBorders>
              <w:top w:val="nil" w:sz="6" w:space="0" w:color="auto"/>
              <w:left w:val="nil" w:sz="6" w:space="0" w:color="auto"/>
              <w:bottom w:val="single" w:sz="12" w:space="0" w:color="000000"/>
              <w:right w:val="nil" w:sz="6" w:space="0" w:color="auto"/>
            </w:tcBorders>
          </w:tcPr>
          <w:p>
            <w:pPr/>
          </w:p>
        </w:tc>
      </w:tr>
      <w:tr>
        <w:trPr>
          <w:trHeight w:val="302" w:hRule="exact"/>
        </w:trPr>
        <w:tc>
          <w:tcPr>
            <w:tcW w:w="421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关联方（项目）</w:t>
            </w:r>
            <w:r>
              <w:rPr>
                <w:rFonts w:ascii="Microsoft JhengHei" w:hAnsi="Microsoft JhengHei" w:cs="Microsoft JhengHei" w:eastAsia="Microsoft JhengHei" w:hint="default"/>
                <w:sz w:val="18"/>
                <w:szCs w:val="18"/>
              </w:rPr>
            </w:r>
          </w:p>
        </w:tc>
        <w:tc>
          <w:tcPr>
            <w:tcW w:w="277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4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3" w:hRule="exact"/>
        </w:trPr>
        <w:tc>
          <w:tcPr>
            <w:tcW w:w="421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母公司及最终控制方：</w:t>
            </w:r>
            <w:r>
              <w:rPr>
                <w:rFonts w:ascii="Microsoft JhengHei" w:hAnsi="Microsoft JhengHei" w:cs="Microsoft JhengHei" w:eastAsia="Microsoft JhengHei" w:hint="default"/>
                <w:sz w:val="18"/>
                <w:szCs w:val="18"/>
              </w:rPr>
            </w:r>
          </w:p>
        </w:tc>
        <w:tc>
          <w:tcPr>
            <w:tcW w:w="2774" w:type="dxa"/>
            <w:tcBorders>
              <w:top w:val="single" w:sz="4" w:space="0" w:color="000000"/>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
        </w:tc>
      </w:tr>
      <w:tr>
        <w:trPr>
          <w:trHeight w:val="566"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8" w:lineRule="auto" w:before="7"/>
              <w:ind w:left="108" w:right="1578"/>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清华大学 </w:t>
            </w:r>
            <w:r>
              <w:rPr>
                <w:rFonts w:ascii="Microsoft JhengHei" w:hAnsi="Microsoft JhengHei" w:cs="Microsoft JhengHei" w:eastAsia="Microsoft JhengHei" w:hint="default"/>
                <w:b/>
                <w:bCs/>
                <w:sz w:val="18"/>
                <w:szCs w:val="18"/>
              </w:rPr>
              <w:t>受同一母公司控制的其他企业：</w:t>
            </w:r>
            <w:r>
              <w:rPr>
                <w:rFonts w:ascii="Microsoft JhengHei" w:hAnsi="Microsoft JhengHei" w:cs="Microsoft JhengHei" w:eastAsia="Microsoft JhengHei" w:hint="default"/>
                <w:sz w:val="18"/>
                <w:szCs w:val="18"/>
              </w:rPr>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59"/>
              <w:jc w:val="right"/>
              <w:rPr>
                <w:rFonts w:ascii="Times New Roman" w:hAnsi="Times New Roman" w:cs="Times New Roman" w:eastAsia="Times New Roman" w:hint="default"/>
                <w:sz w:val="18"/>
                <w:szCs w:val="18"/>
              </w:rPr>
            </w:pPr>
            <w:r>
              <w:rPr>
                <w:rFonts w:ascii="Times New Roman"/>
                <w:spacing w:val="-1"/>
                <w:sz w:val="18"/>
              </w:rPr>
              <w:t>4,983,580.30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pacing w:val="-1"/>
                <w:sz w:val="18"/>
              </w:rPr>
              <w:t>7,047,280.99</w:t>
            </w:r>
          </w:p>
        </w:tc>
      </w:tr>
      <w:tr>
        <w:trPr>
          <w:trHeight w:val="288"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北京博奥生物芯片有限责任公司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9"/>
              <w:jc w:val="right"/>
              <w:rPr>
                <w:rFonts w:ascii="Times New Roman" w:hAnsi="Times New Roman" w:cs="Times New Roman" w:eastAsia="Times New Roman" w:hint="default"/>
                <w:sz w:val="18"/>
                <w:szCs w:val="18"/>
              </w:rPr>
            </w:pPr>
            <w:r>
              <w:rPr>
                <w:rFonts w:ascii="Times New Roman"/>
                <w:sz w:val="18"/>
              </w:rPr>
              <w:t>33,300.00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紫光软件系统有限公司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18,441.80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12,399.80</w:t>
            </w:r>
          </w:p>
        </w:tc>
      </w:tr>
      <w:tr>
        <w:trPr>
          <w:trHeight w:val="561"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30" w:lineRule="auto"/>
              <w:ind w:left="108" w:right="1407"/>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清华科技园（江西）发展有限公司 </w:t>
            </w:r>
            <w:r>
              <w:rPr>
                <w:rFonts w:ascii="Microsoft JhengHei" w:hAnsi="Microsoft JhengHei" w:cs="Microsoft JhengHei" w:eastAsia="Microsoft JhengHei" w:hint="default"/>
                <w:b/>
                <w:bCs/>
                <w:sz w:val="18"/>
                <w:szCs w:val="18"/>
              </w:rPr>
              <w:t>合营企业及联营企业：</w:t>
            </w:r>
            <w:r>
              <w:rPr>
                <w:rFonts w:ascii="Microsoft JhengHei" w:hAnsi="Microsoft JhengHei" w:cs="Microsoft JhengHei" w:eastAsia="Microsoft JhengHei" w:hint="default"/>
                <w:sz w:val="18"/>
                <w:szCs w:val="18"/>
              </w:rPr>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10,000.00</w:t>
            </w:r>
          </w:p>
        </w:tc>
      </w:tr>
      <w:tr>
        <w:trPr>
          <w:trHeight w:val="288"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楷体" w:hAnsi="楷体" w:cs="楷体" w:eastAsia="楷体" w:hint="default"/>
                <w:sz w:val="18"/>
                <w:szCs w:val="18"/>
              </w:rPr>
            </w:pPr>
            <w:r>
              <w:rPr>
                <w:rFonts w:ascii="楷体" w:hAnsi="楷体" w:cs="楷体" w:eastAsia="楷体" w:hint="default"/>
                <w:sz w:val="18"/>
                <w:szCs w:val="18"/>
              </w:rPr>
              <w:t>吉林同方科贸有限责任公司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9"/>
              <w:jc w:val="right"/>
              <w:rPr>
                <w:rFonts w:ascii="Times New Roman" w:hAnsi="Times New Roman" w:cs="Times New Roman" w:eastAsia="Times New Roman" w:hint="default"/>
                <w:sz w:val="18"/>
                <w:szCs w:val="18"/>
              </w:rPr>
            </w:pPr>
            <w:r>
              <w:rPr>
                <w:rFonts w:ascii="Times New Roman"/>
                <w:spacing w:val="-1"/>
                <w:sz w:val="18"/>
              </w:rPr>
              <w:t>7,895,927.95</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7,895,927.95</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同方环境股份有限公司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pacing w:val="-1"/>
                <w:sz w:val="18"/>
              </w:rPr>
              <w:t>6,151,460.16</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山西左云晋能新能源发电有限公司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5,480,896.00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5,480,896.00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北京同方洁净技术有限公司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2,450,098.55</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5,479,635.67</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楷体" w:hAnsi="楷体" w:cs="楷体" w:eastAsia="楷体" w:hint="default"/>
                <w:sz w:val="18"/>
                <w:szCs w:val="18"/>
              </w:rPr>
              <w:t>南昌</w:t>
            </w:r>
            <w:r>
              <w:rPr>
                <w:rFonts w:ascii="楷体" w:hAnsi="楷体" w:cs="楷体" w:eastAsia="楷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泰豪发电机有限公司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1,390,070.00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易程科技股份有限公司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316,400.02</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北京威视科技发展有限公司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190,000.00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5,090,000.00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北京中录同方文化传播有限公司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z w:val="18"/>
              </w:rPr>
              <w:t>128,725.00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244,667.00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北京同方创信科技有限公司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2,600.00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2,600.00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同方投资有限公司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122.00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71,259.31</w:t>
            </w:r>
          </w:p>
        </w:tc>
      </w:tr>
      <w:tr>
        <w:trPr>
          <w:trHeight w:val="561"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30" w:lineRule="auto"/>
              <w:ind w:left="108" w:right="1947"/>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北京泰豪智能科技有限公司 </w:t>
            </w:r>
            <w:r>
              <w:rPr>
                <w:rFonts w:ascii="Microsoft JhengHei" w:hAnsi="Microsoft JhengHei" w:cs="Microsoft JhengHei" w:eastAsia="Microsoft JhengHei" w:hint="default"/>
                <w:b/>
                <w:bCs/>
                <w:sz w:val="18"/>
                <w:szCs w:val="18"/>
              </w:rPr>
              <w:t>其他关联关系方：</w:t>
            </w:r>
            <w:r>
              <w:rPr>
                <w:rFonts w:ascii="Microsoft JhengHei" w:hAnsi="Microsoft JhengHei" w:cs="Microsoft JhengHei" w:eastAsia="Microsoft JhengHei" w:hint="default"/>
                <w:sz w:val="18"/>
                <w:szCs w:val="18"/>
              </w:rPr>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921,872.20</w:t>
            </w:r>
          </w:p>
        </w:tc>
      </w:tr>
      <w:tr>
        <w:trPr>
          <w:trHeight w:val="288"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同方（鞍山）环保设备股份有限公司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1,205,000.00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北京圣鸿星咨询有限公司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z w:val="18"/>
              </w:rPr>
              <w:t>300,000.00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300,000.00</w:t>
            </w:r>
          </w:p>
        </w:tc>
      </w:tr>
      <w:tr>
        <w:trPr>
          <w:trHeight w:val="290" w:hRule="exact"/>
        </w:trPr>
        <w:tc>
          <w:tcPr>
            <w:tcW w:w="4217"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北京同方电子科技有限公司</w:t>
            </w:r>
          </w:p>
        </w:tc>
        <w:tc>
          <w:tcPr>
            <w:tcW w:w="277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425,499.60</w:t>
            </w:r>
          </w:p>
        </w:tc>
      </w:tr>
      <w:tr>
        <w:trPr>
          <w:trHeight w:val="303" w:hRule="exact"/>
        </w:trPr>
        <w:tc>
          <w:tcPr>
            <w:tcW w:w="421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74" w:type="dxa"/>
            <w:tcBorders>
              <w:top w:val="single" w:sz="4" w:space="0" w:color="000000"/>
              <w:left w:val="nil" w:sz="6" w:space="0" w:color="auto"/>
              <w:bottom w:val="single" w:sz="12" w:space="0" w:color="000000"/>
              <w:right w:val="nil" w:sz="6" w:space="0" w:color="auto"/>
            </w:tcBorders>
          </w:tcPr>
          <w:p>
            <w:pPr>
              <w:pStyle w:val="TableParagraph"/>
              <w:spacing w:line="240" w:lineRule="auto" w:before="31"/>
              <w:ind w:right="459"/>
              <w:jc w:val="right"/>
              <w:rPr>
                <w:rFonts w:ascii="Times New Roman" w:hAnsi="Times New Roman" w:cs="Times New Roman" w:eastAsia="Times New Roman" w:hint="default"/>
                <w:sz w:val="18"/>
                <w:szCs w:val="18"/>
              </w:rPr>
            </w:pPr>
            <w:r>
              <w:rPr>
                <w:rFonts w:ascii="Times New Roman"/>
                <w:b/>
                <w:spacing w:val="-1"/>
                <w:sz w:val="18"/>
              </w:rPr>
              <w:t>29,341,621.78</w:t>
            </w:r>
            <w:r>
              <w:rPr>
                <w:rFonts w:ascii="Times New Roman"/>
                <w:spacing w:val="-1"/>
                <w:sz w:val="18"/>
              </w:rPr>
            </w:r>
          </w:p>
        </w:tc>
        <w:tc>
          <w:tcPr>
            <w:tcW w:w="16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b/>
                <w:spacing w:val="-1"/>
                <w:sz w:val="18"/>
              </w:rPr>
              <w:t>34,187,038.52</w:t>
            </w:r>
            <w:r>
              <w:rPr>
                <w:rFonts w:ascii="Times New Roman"/>
                <w:spacing w:val="-1"/>
                <w:sz w:val="18"/>
              </w:rPr>
            </w:r>
          </w:p>
        </w:tc>
      </w:tr>
      <w:tr>
        <w:trPr>
          <w:trHeight w:val="576" w:hRule="exact"/>
        </w:trPr>
        <w:tc>
          <w:tcPr>
            <w:tcW w:w="421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6"/>
                <w:sz w:val="22"/>
                <w:szCs w:val="22"/>
              </w:rPr>
              <w:t> </w:t>
            </w:r>
            <w:r>
              <w:rPr>
                <w:rFonts w:ascii="楷体" w:hAnsi="楷体" w:cs="楷体" w:eastAsia="楷体" w:hint="default"/>
                <w:sz w:val="22"/>
                <w:szCs w:val="22"/>
              </w:rPr>
              <w:t>关联方其他应收款</w:t>
            </w:r>
          </w:p>
        </w:tc>
        <w:tc>
          <w:tcPr>
            <w:tcW w:w="2774" w:type="dxa"/>
            <w:tcBorders>
              <w:top w:val="single" w:sz="12" w:space="0" w:color="000000"/>
              <w:left w:val="nil" w:sz="6" w:space="0" w:color="auto"/>
              <w:bottom w:val="single" w:sz="12" w:space="0" w:color="000000"/>
              <w:right w:val="nil" w:sz="6" w:space="0" w:color="auto"/>
            </w:tcBorders>
          </w:tcPr>
          <w:p>
            <w:pPr/>
          </w:p>
        </w:tc>
        <w:tc>
          <w:tcPr>
            <w:tcW w:w="1646"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21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关联方（项目）</w:t>
            </w:r>
            <w:r>
              <w:rPr>
                <w:rFonts w:ascii="Microsoft JhengHei" w:hAnsi="Microsoft JhengHei" w:cs="Microsoft JhengHei" w:eastAsia="Microsoft JhengHei" w:hint="default"/>
                <w:sz w:val="18"/>
                <w:szCs w:val="18"/>
              </w:rPr>
            </w:r>
          </w:p>
        </w:tc>
        <w:tc>
          <w:tcPr>
            <w:tcW w:w="277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4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570" w:hRule="exact"/>
        </w:trPr>
        <w:tc>
          <w:tcPr>
            <w:tcW w:w="421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母公司及最终控制方</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240" w:lineRule="auto" w:before="27"/>
              <w:ind w:left="107" w:right="0"/>
              <w:jc w:val="left"/>
              <w:rPr>
                <w:rFonts w:ascii="楷体" w:hAnsi="楷体" w:cs="楷体" w:eastAsia="楷体" w:hint="default"/>
                <w:sz w:val="18"/>
                <w:szCs w:val="18"/>
              </w:rPr>
            </w:pPr>
            <w:r>
              <w:rPr>
                <w:rFonts w:ascii="楷体" w:hAnsi="楷体" w:cs="楷体" w:eastAsia="楷体" w:hint="default"/>
                <w:sz w:val="18"/>
                <w:szCs w:val="18"/>
              </w:rPr>
              <w:t>清华大学</w:t>
            </w:r>
          </w:p>
        </w:tc>
        <w:tc>
          <w:tcPr>
            <w:tcW w:w="27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459"/>
              <w:jc w:val="right"/>
              <w:rPr>
                <w:rFonts w:ascii="Times New Roman" w:hAnsi="Times New Roman" w:cs="Times New Roman" w:eastAsia="Times New Roman" w:hint="default"/>
                <w:sz w:val="18"/>
                <w:szCs w:val="18"/>
              </w:rPr>
            </w:pPr>
            <w:r>
              <w:rPr>
                <w:rFonts w:ascii="Times New Roman"/>
                <w:sz w:val="18"/>
              </w:rPr>
              <w:t>1,680.14</w:t>
            </w: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51,996.34</w:t>
            </w:r>
          </w:p>
        </w:tc>
      </w:tr>
      <w:tr>
        <w:trPr>
          <w:trHeight w:val="278"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受同一母公司控制的其他企业：</w:t>
            </w:r>
            <w:r>
              <w:rPr>
                <w:rFonts w:ascii="Microsoft JhengHei" w:hAnsi="Microsoft JhengHei" w:cs="Microsoft JhengHei" w:eastAsia="Microsoft JhengHei" w:hint="default"/>
                <w:sz w:val="18"/>
                <w:szCs w:val="18"/>
              </w:rPr>
            </w:r>
          </w:p>
        </w:tc>
        <w:tc>
          <w:tcPr>
            <w:tcW w:w="2774"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r>
      <w:tr>
        <w:trPr>
          <w:trHeight w:val="288"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楷体" w:hAnsi="楷体" w:cs="楷体" w:eastAsia="楷体" w:hint="default"/>
                <w:sz w:val="18"/>
                <w:szCs w:val="18"/>
              </w:rPr>
            </w:pPr>
            <w:r>
              <w:rPr>
                <w:rFonts w:ascii="楷体" w:hAnsi="楷体" w:cs="楷体" w:eastAsia="楷体" w:hint="default"/>
                <w:sz w:val="18"/>
                <w:szCs w:val="18"/>
              </w:rPr>
              <w:t>紫光软件系统有限公司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9"/>
              <w:jc w:val="right"/>
              <w:rPr>
                <w:rFonts w:ascii="Times New Roman" w:hAnsi="Times New Roman" w:cs="Times New Roman" w:eastAsia="Times New Roman" w:hint="default"/>
                <w:sz w:val="18"/>
                <w:szCs w:val="18"/>
              </w:rPr>
            </w:pPr>
            <w:r>
              <w:rPr>
                <w:rFonts w:ascii="Times New Roman"/>
                <w:sz w:val="18"/>
              </w:rPr>
              <w:t>37,000.00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37,000.00</w:t>
            </w:r>
          </w:p>
        </w:tc>
      </w:tr>
      <w:tr>
        <w:trPr>
          <w:trHeight w:val="848"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44" w:lineRule="auto"/>
              <w:ind w:left="108" w:right="1947"/>
              <w:jc w:val="left"/>
              <w:rPr>
                <w:rFonts w:ascii="楷体" w:hAnsi="楷体" w:cs="楷体" w:eastAsia="楷体" w:hint="default"/>
                <w:sz w:val="18"/>
                <w:szCs w:val="18"/>
              </w:rPr>
            </w:pPr>
            <w:r>
              <w:rPr>
                <w:rFonts w:ascii="楷体" w:hAnsi="楷体" w:cs="楷体" w:eastAsia="楷体" w:hint="default"/>
                <w:sz w:val="18"/>
                <w:szCs w:val="18"/>
              </w:rPr>
              <w:t>紫光集团有限公司 </w:t>
            </w:r>
            <w:r>
              <w:rPr>
                <w:rFonts w:ascii="Microsoft JhengHei" w:hAnsi="Microsoft JhengHei" w:cs="Microsoft JhengHei" w:eastAsia="Microsoft JhengHei" w:hint="default"/>
                <w:b/>
                <w:bCs/>
                <w:sz w:val="18"/>
                <w:szCs w:val="18"/>
              </w:rPr>
              <w:t>合营企业及联营企业</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楷体" w:hAnsi="楷体" w:cs="楷体" w:eastAsia="楷体" w:hint="default"/>
                <w:sz w:val="18"/>
                <w:szCs w:val="18"/>
              </w:rPr>
              <w:t>北京亚仕同方科技有限公司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681" w:right="0"/>
              <w:jc w:val="left"/>
              <w:rPr>
                <w:rFonts w:ascii="Times New Roman" w:hAnsi="Times New Roman" w:cs="Times New Roman" w:eastAsia="Times New Roman" w:hint="default"/>
                <w:sz w:val="18"/>
                <w:szCs w:val="18"/>
              </w:rPr>
            </w:pPr>
            <w:r>
              <w:rPr>
                <w:rFonts w:ascii="Times New Roman"/>
                <w:sz w:val="18"/>
              </w:rPr>
              <w:t>5,068.45</w:t>
            </w: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1277" w:right="0"/>
              <w:jc w:val="left"/>
              <w:rPr>
                <w:rFonts w:ascii="Times New Roman" w:hAnsi="Times New Roman" w:cs="Times New Roman" w:eastAsia="Times New Roman" w:hint="default"/>
                <w:sz w:val="18"/>
                <w:szCs w:val="18"/>
              </w:rPr>
            </w:pPr>
            <w:r>
              <w:rPr>
                <w:rFonts w:ascii="Times New Roman"/>
                <w:sz w:val="18"/>
              </w:rPr>
              <w:t>17,865,522.90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13" w:right="0"/>
              <w:jc w:val="left"/>
              <w:rPr>
                <w:rFonts w:ascii="Times New Roman" w:hAnsi="Times New Roman" w:cs="Times New Roman" w:eastAsia="Times New Roman" w:hint="default"/>
                <w:sz w:val="18"/>
                <w:szCs w:val="18"/>
              </w:rPr>
            </w:pPr>
            <w:r>
              <w:rPr>
                <w:rFonts w:ascii="Times New Roman"/>
                <w:sz w:val="18"/>
              </w:rPr>
              <w:t>5,068.45</w:t>
            </w: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509" w:right="0"/>
              <w:jc w:val="left"/>
              <w:rPr>
                <w:rFonts w:ascii="Times New Roman" w:hAnsi="Times New Roman" w:cs="Times New Roman" w:eastAsia="Times New Roman" w:hint="default"/>
                <w:sz w:val="18"/>
                <w:szCs w:val="18"/>
              </w:rPr>
            </w:pPr>
            <w:r>
              <w:rPr>
                <w:rFonts w:ascii="Times New Roman"/>
                <w:sz w:val="18"/>
              </w:rPr>
              <w:t>23,568,950.20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易程科技股份有限公司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10,011,101.68</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上海同方友友电视购物有限公司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9,723,489.80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300" w:hRule="exact"/>
        </w:trPr>
        <w:tc>
          <w:tcPr>
            <w:tcW w:w="4217" w:type="dxa"/>
            <w:tcBorders>
              <w:top w:val="nil" w:sz="6" w:space="0" w:color="auto"/>
              <w:left w:val="nil" w:sz="6" w:space="0" w:color="auto"/>
              <w:bottom w:val="single" w:sz="12"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吉林同方科贸有限责任公司</w:t>
            </w:r>
          </w:p>
        </w:tc>
        <w:tc>
          <w:tcPr>
            <w:tcW w:w="277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1,919,255.08</w:t>
            </w:r>
          </w:p>
        </w:tc>
        <w:tc>
          <w:tcPr>
            <w:tcW w:w="1646"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1,535,876.22</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4"/>
        <w:rPr>
          <w:rFonts w:ascii="Times New Roman" w:hAnsi="Times New Roman" w:cs="Times New Roman" w:eastAsia="Times New Roman" w:hint="default"/>
          <w:sz w:val="5"/>
          <w:szCs w:val="5"/>
        </w:rPr>
      </w:pPr>
    </w:p>
    <w:tbl>
      <w:tblPr>
        <w:tblW w:w="0" w:type="auto"/>
        <w:jc w:val="left"/>
        <w:tblInd w:w="416" w:type="dxa"/>
        <w:tblLayout w:type="fixed"/>
        <w:tblCellMar>
          <w:top w:w="0" w:type="dxa"/>
          <w:left w:w="0" w:type="dxa"/>
          <w:bottom w:w="0" w:type="dxa"/>
          <w:right w:w="0" w:type="dxa"/>
        </w:tblCellMar>
        <w:tblLook w:val="01E0"/>
      </w:tblPr>
      <w:tblGrid>
        <w:gridCol w:w="4197"/>
        <w:gridCol w:w="2795"/>
        <w:gridCol w:w="1645"/>
      </w:tblGrid>
      <w:tr>
        <w:trPr>
          <w:trHeight w:val="287" w:hRule="exact"/>
        </w:trPr>
        <w:tc>
          <w:tcPr>
            <w:tcW w:w="419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北京同方洁净技术有限公司</w:t>
            </w:r>
          </w:p>
        </w:tc>
        <w:tc>
          <w:tcPr>
            <w:tcW w:w="279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60"/>
              <w:jc w:val="right"/>
              <w:rPr>
                <w:rFonts w:ascii="Times New Roman" w:hAnsi="Times New Roman" w:cs="Times New Roman" w:eastAsia="Times New Roman" w:hint="default"/>
                <w:sz w:val="18"/>
                <w:szCs w:val="18"/>
              </w:rPr>
            </w:pPr>
            <w:r>
              <w:rPr>
                <w:rFonts w:ascii="Times New Roman"/>
                <w:spacing w:val="-1"/>
                <w:sz w:val="18"/>
              </w:rPr>
              <w:t>1,689,284.27</w:t>
            </w:r>
          </w:p>
        </w:tc>
        <w:tc>
          <w:tcPr>
            <w:tcW w:w="164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1,454,235.27</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楷体" w:hAnsi="楷体" w:cs="楷体" w:eastAsia="楷体" w:hint="default"/>
                <w:sz w:val="18"/>
                <w:szCs w:val="18"/>
              </w:rPr>
            </w:pPr>
            <w:r>
              <w:rPr>
                <w:rFonts w:ascii="楷体" w:hAnsi="楷体" w:cs="楷体" w:eastAsia="楷体" w:hint="default"/>
                <w:sz w:val="18"/>
                <w:szCs w:val="18"/>
              </w:rPr>
              <w:t>南昌</w:t>
            </w:r>
            <w:r>
              <w:rPr>
                <w:rFonts w:ascii="楷体" w:hAnsi="楷体" w:cs="楷体" w:eastAsia="楷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泰豪发电机有限公司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1,141,775.78</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同方环境股份有限公司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482,844.67</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北京泰豪智能科技有限公司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168,920.09</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103,395.79</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上海信业智能科技股份有限公司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165,148.80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北京威视科技发展有限公司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114,786.32</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北京同方创信科技有限公司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1"/>
              <w:jc w:val="right"/>
              <w:rPr>
                <w:rFonts w:ascii="Times New Roman" w:hAnsi="Times New Roman" w:cs="Times New Roman" w:eastAsia="Times New Roman" w:hint="default"/>
                <w:sz w:val="18"/>
                <w:szCs w:val="18"/>
              </w:rPr>
            </w:pPr>
            <w:r>
              <w:rPr>
                <w:rFonts w:ascii="Times New Roman"/>
                <w:sz w:val="18"/>
              </w:rPr>
              <w:t>50,820.79</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29,914.82</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北京中录同方文化传播有限公司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1"/>
              <w:jc w:val="right"/>
              <w:rPr>
                <w:rFonts w:ascii="Times New Roman" w:hAnsi="Times New Roman" w:cs="Times New Roman" w:eastAsia="Times New Roman" w:hint="default"/>
                <w:sz w:val="18"/>
                <w:szCs w:val="18"/>
              </w:rPr>
            </w:pPr>
            <w:r>
              <w:rPr>
                <w:rFonts w:ascii="Times New Roman"/>
                <w:sz w:val="18"/>
              </w:rPr>
              <w:t>40,531.88</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无锡同方控制技术有限公司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1"/>
              <w:jc w:val="right"/>
              <w:rPr>
                <w:rFonts w:ascii="Times New Roman" w:hAnsi="Times New Roman" w:cs="Times New Roman" w:eastAsia="Times New Roman" w:hint="default"/>
                <w:sz w:val="18"/>
                <w:szCs w:val="18"/>
              </w:rPr>
            </w:pPr>
            <w:r>
              <w:rPr>
                <w:rFonts w:ascii="Times New Roman"/>
                <w:sz w:val="18"/>
              </w:rPr>
              <w:t>25,100.43</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天津清华泰豪智能科技有限公司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1"/>
              <w:jc w:val="right"/>
              <w:rPr>
                <w:rFonts w:ascii="Times New Roman" w:hAnsi="Times New Roman" w:cs="Times New Roman" w:eastAsia="Times New Roman" w:hint="default"/>
                <w:sz w:val="18"/>
                <w:szCs w:val="18"/>
              </w:rPr>
            </w:pPr>
            <w:r>
              <w:rPr>
                <w:rFonts w:ascii="Times New Roman"/>
                <w:sz w:val="18"/>
              </w:rPr>
              <w:t>18,134.00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北京同方易豪科技有限公司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2,554.08</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同方投资有限公司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798.59</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1,010.77</w:t>
            </w:r>
          </w:p>
        </w:tc>
      </w:tr>
      <w:tr>
        <w:trPr>
          <w:trHeight w:val="848"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44" w:lineRule="auto"/>
              <w:ind w:left="108" w:right="1746"/>
              <w:jc w:val="left"/>
              <w:rPr>
                <w:rFonts w:ascii="楷体" w:hAnsi="楷体" w:cs="楷体" w:eastAsia="楷体" w:hint="default"/>
                <w:sz w:val="18"/>
                <w:szCs w:val="18"/>
              </w:rPr>
            </w:pPr>
            <w:r>
              <w:rPr>
                <w:rFonts w:ascii="楷体" w:hAnsi="楷体" w:cs="楷体" w:eastAsia="楷体" w:hint="default"/>
                <w:sz w:val="18"/>
                <w:szCs w:val="18"/>
              </w:rPr>
              <w:t>黑龙江同方科贸有限公司 </w:t>
            </w:r>
            <w:r>
              <w:rPr>
                <w:rFonts w:ascii="Microsoft JhengHei" w:hAnsi="Microsoft JhengHei" w:cs="Microsoft JhengHei" w:eastAsia="Microsoft JhengHei" w:hint="default"/>
                <w:b/>
                <w:bCs/>
                <w:sz w:val="18"/>
                <w:szCs w:val="18"/>
              </w:rPr>
              <w:t>其他关联关系方</w:t>
            </w:r>
            <w:r>
              <w:rPr>
                <w:rFonts w:ascii="Times New Roman" w:hAnsi="Times New Roman" w:cs="Times New Roman" w:eastAsia="Times New Roman" w:hint="default"/>
                <w:b/>
                <w:bCs/>
                <w:sz w:val="18"/>
                <w:szCs w:val="18"/>
              </w:rPr>
              <w:t>: </w:t>
            </w:r>
            <w:r>
              <w:rPr>
                <w:rFonts w:ascii="楷体" w:hAnsi="楷体" w:cs="楷体" w:eastAsia="楷体" w:hint="default"/>
                <w:sz w:val="18"/>
                <w:szCs w:val="18"/>
              </w:rPr>
              <w:t>同方（哈尔滨）水务有限公司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458"/>
              <w:jc w:val="right"/>
              <w:rPr>
                <w:rFonts w:ascii="Times New Roman" w:hAnsi="Times New Roman" w:cs="Times New Roman" w:eastAsia="Times New Roman" w:hint="default"/>
                <w:sz w:val="18"/>
                <w:szCs w:val="18"/>
              </w:rPr>
            </w:pPr>
            <w:r>
              <w:rPr>
                <w:rFonts w:ascii="Times New Roman"/>
                <w:spacing w:val="-1"/>
                <w:sz w:val="18"/>
              </w:rPr>
              <w:t>102,445,308.50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33" w:right="0"/>
              <w:jc w:val="left"/>
              <w:rPr>
                <w:rFonts w:ascii="Times New Roman" w:hAnsi="Times New Roman" w:cs="Times New Roman" w:eastAsia="Times New Roman" w:hint="default"/>
                <w:sz w:val="18"/>
                <w:szCs w:val="18"/>
              </w:rPr>
            </w:pPr>
            <w:r>
              <w:rPr>
                <w:rFonts w:ascii="Times New Roman"/>
                <w:sz w:val="18"/>
              </w:rPr>
              <w:t>359,000.00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508" w:right="0"/>
              <w:jc w:val="left"/>
              <w:rPr>
                <w:rFonts w:ascii="Times New Roman" w:hAnsi="Times New Roman" w:cs="Times New Roman" w:eastAsia="Times New Roman" w:hint="default"/>
                <w:sz w:val="18"/>
                <w:szCs w:val="18"/>
              </w:rPr>
            </w:pPr>
            <w:r>
              <w:rPr>
                <w:rFonts w:ascii="Times New Roman"/>
                <w:sz w:val="18"/>
              </w:rPr>
              <w:t>21,445,308.50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佳木斯同方水务有限责任公司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8"/>
              <w:jc w:val="right"/>
              <w:rPr>
                <w:rFonts w:ascii="Times New Roman" w:hAnsi="Times New Roman" w:cs="Times New Roman" w:eastAsia="Times New Roman" w:hint="default"/>
                <w:sz w:val="18"/>
                <w:szCs w:val="18"/>
              </w:rPr>
            </w:pPr>
            <w:r>
              <w:rPr>
                <w:rFonts w:ascii="Times New Roman"/>
                <w:spacing w:val="-1"/>
                <w:sz w:val="18"/>
              </w:rPr>
              <w:t>100,000,000.00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惠州同方水务有限公司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36,000,000.00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哈尔滨平义水务有限公司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20,000,000.00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北京同方电子科技有限公司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18,662,447.03</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20,736,166.38</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同方（鞍山）环保设备股份有限公司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z w:val="18"/>
              </w:rPr>
              <w:t>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5,350,000.00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北京圣鸿星咨询有限公司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909,700.97</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909,700.97</w:t>
            </w:r>
          </w:p>
        </w:tc>
      </w:tr>
      <w:tr>
        <w:trPr>
          <w:trHeight w:val="290" w:hRule="exact"/>
        </w:trPr>
        <w:tc>
          <w:tcPr>
            <w:tcW w:w="4197"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北京同方神火科技有限公司</w:t>
            </w:r>
          </w:p>
        </w:tc>
        <w:tc>
          <w:tcPr>
            <w:tcW w:w="279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1,800.00</w:t>
            </w:r>
          </w:p>
        </w:tc>
        <w:tc>
          <w:tcPr>
            <w:tcW w:w="164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1,800.00</w:t>
            </w:r>
          </w:p>
        </w:tc>
      </w:tr>
      <w:tr>
        <w:trPr>
          <w:trHeight w:val="303" w:hRule="exact"/>
        </w:trPr>
        <w:tc>
          <w:tcPr>
            <w:tcW w:w="4197" w:type="dxa"/>
            <w:tcBorders>
              <w:top w:val="single" w:sz="4" w:space="0" w:color="000000"/>
              <w:left w:val="nil" w:sz="6" w:space="0" w:color="auto"/>
              <w:bottom w:val="single" w:sz="12" w:space="0" w:color="000000"/>
              <w:right w:val="nil" w:sz="6" w:space="0" w:color="auto"/>
            </w:tcBorders>
          </w:tcPr>
          <w:p>
            <w:pPr>
              <w:pStyle w:val="TableParagraph"/>
              <w:spacing w:line="245"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1"/>
              <w:ind w:right="458"/>
              <w:jc w:val="right"/>
              <w:rPr>
                <w:rFonts w:ascii="Times New Roman" w:hAnsi="Times New Roman" w:cs="Times New Roman" w:eastAsia="Times New Roman" w:hint="default"/>
                <w:sz w:val="18"/>
                <w:szCs w:val="18"/>
              </w:rPr>
            </w:pPr>
            <w:r>
              <w:rPr>
                <w:rFonts w:ascii="Times New Roman"/>
                <w:b/>
                <w:spacing w:val="-1"/>
                <w:sz w:val="18"/>
              </w:rPr>
              <w:t>321,483,074.25</w:t>
            </w:r>
            <w:r>
              <w:rPr>
                <w:rFonts w:ascii="Times New Roman"/>
                <w:spacing w:val="-1"/>
                <w:sz w:val="18"/>
              </w:rPr>
            </w:r>
          </w:p>
        </w:tc>
        <w:tc>
          <w:tcPr>
            <w:tcW w:w="16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b/>
                <w:spacing w:val="-1"/>
                <w:sz w:val="18"/>
              </w:rPr>
              <w:t>75,589,423.71</w:t>
            </w:r>
            <w:r>
              <w:rPr>
                <w:rFonts w:ascii="Times New Roman"/>
                <w:spacing w:val="-1"/>
                <w:sz w:val="18"/>
              </w:rPr>
            </w:r>
          </w:p>
        </w:tc>
      </w:tr>
      <w:tr>
        <w:trPr>
          <w:trHeight w:val="576" w:hRule="exact"/>
        </w:trPr>
        <w:tc>
          <w:tcPr>
            <w:tcW w:w="41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6"/>
                <w:sz w:val="22"/>
                <w:szCs w:val="22"/>
              </w:rPr>
              <w:t> </w:t>
            </w:r>
            <w:r>
              <w:rPr>
                <w:rFonts w:ascii="楷体" w:hAnsi="楷体" w:cs="楷体" w:eastAsia="楷体" w:hint="default"/>
                <w:sz w:val="22"/>
                <w:szCs w:val="22"/>
              </w:rPr>
              <w:t>关联方预付款项</w:t>
            </w:r>
          </w:p>
        </w:tc>
        <w:tc>
          <w:tcPr>
            <w:tcW w:w="2795" w:type="dxa"/>
            <w:tcBorders>
              <w:top w:val="single" w:sz="12" w:space="0" w:color="000000"/>
              <w:left w:val="nil" w:sz="6" w:space="0" w:color="auto"/>
              <w:bottom w:val="single" w:sz="12" w:space="0" w:color="000000"/>
              <w:right w:val="nil" w:sz="6" w:space="0" w:color="auto"/>
            </w:tcBorders>
          </w:tcPr>
          <w:p>
            <w:pPr/>
          </w:p>
        </w:tc>
        <w:tc>
          <w:tcPr>
            <w:tcW w:w="1645"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19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关联方（项目）</w:t>
            </w:r>
            <w:r>
              <w:rPr>
                <w:rFonts w:ascii="Microsoft JhengHei" w:hAnsi="Microsoft JhengHei" w:cs="Microsoft JhengHei" w:eastAsia="Microsoft JhengHei" w:hint="default"/>
                <w:sz w:val="18"/>
                <w:szCs w:val="18"/>
              </w:rPr>
            </w:r>
          </w:p>
        </w:tc>
        <w:tc>
          <w:tcPr>
            <w:tcW w:w="279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4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2" w:hRule="exact"/>
        </w:trPr>
        <w:tc>
          <w:tcPr>
            <w:tcW w:w="419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母公司及最终控制方：</w:t>
            </w:r>
            <w:r>
              <w:rPr>
                <w:rFonts w:ascii="Microsoft JhengHei" w:hAnsi="Microsoft JhengHei" w:cs="Microsoft JhengHei" w:eastAsia="Microsoft JhengHei" w:hint="default"/>
                <w:sz w:val="18"/>
                <w:szCs w:val="18"/>
              </w:rPr>
            </w:r>
          </w:p>
        </w:tc>
        <w:tc>
          <w:tcPr>
            <w:tcW w:w="2795" w:type="dxa"/>
            <w:tcBorders>
              <w:top w:val="single" w:sz="4" w:space="0" w:color="000000"/>
              <w:left w:val="nil" w:sz="6" w:space="0" w:color="auto"/>
              <w:bottom w:val="nil" w:sz="6" w:space="0" w:color="auto"/>
              <w:right w:val="nil" w:sz="6" w:space="0" w:color="auto"/>
            </w:tcBorders>
          </w:tcPr>
          <w:p>
            <w:pPr/>
          </w:p>
        </w:tc>
        <w:tc>
          <w:tcPr>
            <w:tcW w:w="1645" w:type="dxa"/>
            <w:tcBorders>
              <w:top w:val="single" w:sz="4" w:space="0" w:color="000000"/>
              <w:left w:val="nil" w:sz="6" w:space="0" w:color="auto"/>
              <w:bottom w:val="nil" w:sz="6" w:space="0" w:color="auto"/>
              <w:right w:val="nil" w:sz="6" w:space="0" w:color="auto"/>
            </w:tcBorders>
          </w:tcPr>
          <w:p>
            <w:pPr/>
          </w:p>
        </w:tc>
      </w:tr>
      <w:tr>
        <w:trPr>
          <w:trHeight w:val="566"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0" w:lineRule="auto" w:before="4"/>
              <w:ind w:left="108" w:right="1557"/>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清华大学 </w:t>
            </w:r>
            <w:r>
              <w:rPr>
                <w:rFonts w:ascii="Microsoft JhengHei" w:hAnsi="Microsoft JhengHei" w:cs="Microsoft JhengHei" w:eastAsia="Microsoft JhengHei" w:hint="default"/>
                <w:b/>
                <w:bCs/>
                <w:sz w:val="18"/>
                <w:szCs w:val="18"/>
              </w:rPr>
              <w:t>受同一母公司控制的其他企业：</w:t>
            </w:r>
            <w:r>
              <w:rPr>
                <w:rFonts w:ascii="Microsoft JhengHei" w:hAnsi="Microsoft JhengHei" w:cs="Microsoft JhengHei" w:eastAsia="Microsoft JhengHei" w:hint="default"/>
                <w:sz w:val="18"/>
                <w:szCs w:val="18"/>
              </w:rPr>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0"/>
              <w:jc w:val="right"/>
              <w:rPr>
                <w:rFonts w:ascii="Times New Roman" w:hAnsi="Times New Roman" w:cs="Times New Roman" w:eastAsia="Times New Roman" w:hint="default"/>
                <w:sz w:val="18"/>
                <w:szCs w:val="18"/>
              </w:rPr>
            </w:pPr>
            <w:r>
              <w:rPr>
                <w:rFonts w:ascii="Times New Roman"/>
                <w:spacing w:val="-1"/>
                <w:sz w:val="18"/>
              </w:rPr>
              <w:t>3,229,461.03</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372,322.72</w:t>
            </w:r>
          </w:p>
        </w:tc>
      </w:tr>
      <w:tr>
        <w:trPr>
          <w:trHeight w:val="288"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同方华清投资管理有限公司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0"/>
              <w:jc w:val="right"/>
              <w:rPr>
                <w:rFonts w:ascii="Times New Roman" w:hAnsi="Times New Roman" w:cs="Times New Roman" w:eastAsia="Times New Roman" w:hint="default"/>
                <w:sz w:val="18"/>
                <w:szCs w:val="18"/>
              </w:rPr>
            </w:pPr>
            <w:r>
              <w:rPr>
                <w:rFonts w:ascii="Times New Roman"/>
                <w:spacing w:val="-1"/>
                <w:sz w:val="18"/>
              </w:rPr>
              <w:t>9,800,000.00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启迪控股股份有限公司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z w:val="18"/>
              </w:rPr>
              <w:t>327,613.50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紫光集团有限公司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0"/>
              <w:jc w:val="right"/>
              <w:rPr>
                <w:rFonts w:ascii="Times New Roman" w:hAnsi="Times New Roman" w:cs="Times New Roman" w:eastAsia="Times New Roman" w:hint="default"/>
                <w:sz w:val="18"/>
                <w:szCs w:val="18"/>
              </w:rPr>
            </w:pPr>
            <w:r>
              <w:rPr>
                <w:rFonts w:ascii="Times New Roman"/>
                <w:sz w:val="18"/>
              </w:rPr>
              <w:t>105,000.00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3,033.43</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紫光软件系统有限公司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z w:val="18"/>
              </w:rPr>
              <w:t>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3,030.00</w:t>
            </w:r>
          </w:p>
        </w:tc>
      </w:tr>
      <w:tr>
        <w:trPr>
          <w:trHeight w:val="561"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0" w:lineRule="auto"/>
              <w:ind w:left="108" w:right="1567"/>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北京博奥生物芯片有限责任公司 </w:t>
            </w:r>
            <w:r>
              <w:rPr>
                <w:rFonts w:ascii="Microsoft JhengHei" w:hAnsi="Microsoft JhengHei" w:cs="Microsoft JhengHei" w:eastAsia="Microsoft JhengHei" w:hint="default"/>
                <w:b/>
                <w:bCs/>
                <w:sz w:val="18"/>
                <w:szCs w:val="18"/>
              </w:rPr>
              <w:t>合营企业及联营企业：</w:t>
            </w:r>
            <w:r>
              <w:rPr>
                <w:rFonts w:ascii="Microsoft JhengHei" w:hAnsi="Microsoft JhengHei" w:cs="Microsoft JhengHei" w:eastAsia="Microsoft JhengHei" w:hint="default"/>
                <w:sz w:val="18"/>
                <w:szCs w:val="18"/>
              </w:rPr>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z w:val="18"/>
              </w:rPr>
              <w:t>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240,791.70</w:t>
            </w:r>
          </w:p>
        </w:tc>
      </w:tr>
      <w:tr>
        <w:trPr>
          <w:trHeight w:val="288"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楷体" w:hAnsi="楷体" w:cs="楷体" w:eastAsia="楷体" w:hint="default"/>
                <w:sz w:val="18"/>
                <w:szCs w:val="18"/>
              </w:rPr>
            </w:pPr>
            <w:r>
              <w:rPr>
                <w:rFonts w:ascii="楷体" w:hAnsi="楷体" w:cs="楷体" w:eastAsia="楷体" w:hint="default"/>
                <w:sz w:val="18"/>
                <w:szCs w:val="18"/>
              </w:rPr>
              <w:t>吉林同方科贸有限责任公司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0"/>
              <w:jc w:val="right"/>
              <w:rPr>
                <w:rFonts w:ascii="Times New Roman" w:hAnsi="Times New Roman" w:cs="Times New Roman" w:eastAsia="Times New Roman" w:hint="default"/>
                <w:sz w:val="18"/>
                <w:szCs w:val="18"/>
              </w:rPr>
            </w:pPr>
            <w:r>
              <w:rPr>
                <w:rFonts w:ascii="Times New Roman"/>
                <w:spacing w:val="-1"/>
                <w:sz w:val="18"/>
              </w:rPr>
              <w:t>3,933,150.00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4,100,000.00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同方环境股份有限公司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2,454,000.00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北京亚仕同方科技有限公司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0"/>
              <w:jc w:val="right"/>
              <w:rPr>
                <w:rFonts w:ascii="Times New Roman" w:hAnsi="Times New Roman" w:cs="Times New Roman" w:eastAsia="Times New Roman" w:hint="default"/>
                <w:sz w:val="18"/>
                <w:szCs w:val="18"/>
              </w:rPr>
            </w:pPr>
            <w:r>
              <w:rPr>
                <w:rFonts w:ascii="Times New Roman"/>
                <w:sz w:val="18"/>
              </w:rPr>
              <w:t>330,109.18</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同方环境股份有限公司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z w:val="18"/>
              </w:rPr>
              <w:t>297,308.28</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楷体" w:hAnsi="楷体" w:cs="楷体" w:eastAsia="楷体" w:hint="default"/>
                <w:sz w:val="18"/>
                <w:szCs w:val="18"/>
              </w:rPr>
              <w:t>南昌</w:t>
            </w:r>
            <w:r>
              <w:rPr>
                <w:rFonts w:ascii="楷体" w:hAnsi="楷体" w:cs="楷体" w:eastAsia="楷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泰豪发电机有限公司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290,047.11</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北京文录激光科技有限公司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1"/>
              <w:jc w:val="right"/>
              <w:rPr>
                <w:rFonts w:ascii="Times New Roman" w:hAnsi="Times New Roman" w:cs="Times New Roman" w:eastAsia="Times New Roman" w:hint="default"/>
                <w:sz w:val="18"/>
                <w:szCs w:val="18"/>
              </w:rPr>
            </w:pPr>
            <w:r>
              <w:rPr>
                <w:rFonts w:ascii="Times New Roman"/>
                <w:sz w:val="18"/>
              </w:rPr>
              <w:t>28,000.00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28,000.00</w:t>
            </w:r>
          </w:p>
        </w:tc>
      </w:tr>
      <w:tr>
        <w:trPr>
          <w:trHeight w:val="561"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0" w:lineRule="auto"/>
              <w:ind w:left="108" w:right="1926"/>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北京同方洁净技术有限公司 </w:t>
            </w:r>
            <w:r>
              <w:rPr>
                <w:rFonts w:ascii="Microsoft JhengHei" w:hAnsi="Microsoft JhengHei" w:cs="Microsoft JhengHei" w:eastAsia="Microsoft JhengHei" w:hint="default"/>
                <w:b/>
                <w:bCs/>
                <w:sz w:val="18"/>
                <w:szCs w:val="18"/>
              </w:rPr>
              <w:t>其他关联关系方：</w:t>
            </w:r>
            <w:r>
              <w:rPr>
                <w:rFonts w:ascii="Microsoft JhengHei" w:hAnsi="Microsoft JhengHei" w:cs="Microsoft JhengHei" w:eastAsia="Microsoft JhengHei" w:hint="default"/>
                <w:sz w:val="18"/>
                <w:szCs w:val="18"/>
              </w:rPr>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452,821.20</w:t>
            </w:r>
          </w:p>
        </w:tc>
      </w:tr>
      <w:tr>
        <w:trPr>
          <w:trHeight w:val="288"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北京信远时代房地产开发有限公司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59"/>
              <w:jc w:val="right"/>
              <w:rPr>
                <w:rFonts w:ascii="Times New Roman" w:hAnsi="Times New Roman" w:cs="Times New Roman" w:eastAsia="Times New Roman" w:hint="default"/>
                <w:sz w:val="18"/>
                <w:szCs w:val="18"/>
              </w:rPr>
            </w:pPr>
            <w:r>
              <w:rPr>
                <w:rFonts w:ascii="Times New Roman"/>
                <w:sz w:val="18"/>
              </w:rPr>
              <w:t>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北京圣鸿星咨询有限公司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1,400,000.00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惠州市同方水务有限公司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187,197.63</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300" w:hRule="exact"/>
        </w:trPr>
        <w:tc>
          <w:tcPr>
            <w:tcW w:w="4197" w:type="dxa"/>
            <w:tcBorders>
              <w:top w:val="nil" w:sz="6" w:space="0" w:color="auto"/>
              <w:left w:val="nil" w:sz="6" w:space="0" w:color="auto"/>
              <w:bottom w:val="single" w:sz="12"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佳木斯同方水务有限责任公司</w:t>
            </w:r>
          </w:p>
        </w:tc>
        <w:tc>
          <w:tcPr>
            <w:tcW w:w="2795"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834.23</w:t>
            </w:r>
          </w:p>
        </w:tc>
        <w:tc>
          <w:tcPr>
            <w:tcW w:w="1645"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47"/>
          <w:pgSz w:w="11910" w:h="16840"/>
          <w:pgMar w:header="610" w:footer="784" w:top="1940" w:bottom="980" w:left="1280" w:right="1140"/>
        </w:sectPr>
      </w:pPr>
    </w:p>
    <w:p>
      <w:pPr>
        <w:spacing w:line="240" w:lineRule="auto" w:before="4"/>
        <w:rPr>
          <w:rFonts w:ascii="Times New Roman" w:hAnsi="Times New Roman" w:cs="Times New Roman" w:eastAsia="Times New Roman" w:hint="default"/>
          <w:sz w:val="5"/>
          <w:szCs w:val="5"/>
        </w:rPr>
      </w:pPr>
    </w:p>
    <w:tbl>
      <w:tblPr>
        <w:tblW w:w="0" w:type="auto"/>
        <w:jc w:val="left"/>
        <w:tblInd w:w="416" w:type="dxa"/>
        <w:tblLayout w:type="fixed"/>
        <w:tblCellMar>
          <w:top w:w="0" w:type="dxa"/>
          <w:left w:w="0" w:type="dxa"/>
          <w:bottom w:w="0" w:type="dxa"/>
          <w:right w:w="0" w:type="dxa"/>
        </w:tblCellMar>
        <w:tblLook w:val="01E0"/>
      </w:tblPr>
      <w:tblGrid>
        <w:gridCol w:w="4197"/>
        <w:gridCol w:w="2775"/>
        <w:gridCol w:w="1666"/>
      </w:tblGrid>
      <w:tr>
        <w:trPr>
          <w:trHeight w:val="293" w:hRule="exact"/>
        </w:trPr>
        <w:tc>
          <w:tcPr>
            <w:tcW w:w="4197"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同方（鞍山）环保设备股份有限公司</w:t>
            </w:r>
          </w:p>
        </w:tc>
        <w:tc>
          <w:tcPr>
            <w:tcW w:w="2775"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14,187,872.18</w:t>
            </w:r>
          </w:p>
        </w:tc>
      </w:tr>
      <w:tr>
        <w:trPr>
          <w:trHeight w:val="304" w:hRule="exact"/>
        </w:trPr>
        <w:tc>
          <w:tcPr>
            <w:tcW w:w="419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7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b/>
                <w:spacing w:val="-1"/>
                <w:sz w:val="18"/>
              </w:rPr>
              <w:t>22,382,720.96</w:t>
            </w:r>
            <w:r>
              <w:rPr>
                <w:rFonts w:ascii="Times New Roman"/>
                <w:spacing w:val="-1"/>
                <w:sz w:val="18"/>
              </w:rPr>
            </w:r>
          </w:p>
        </w:tc>
        <w:tc>
          <w:tcPr>
            <w:tcW w:w="16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68,087,871.23</w:t>
            </w:r>
            <w:r>
              <w:rPr>
                <w:rFonts w:ascii="Times New Roman"/>
                <w:spacing w:val="-1"/>
                <w:sz w:val="18"/>
              </w:rPr>
            </w:r>
          </w:p>
        </w:tc>
      </w:tr>
      <w:tr>
        <w:trPr>
          <w:trHeight w:val="576" w:hRule="exact"/>
        </w:trPr>
        <w:tc>
          <w:tcPr>
            <w:tcW w:w="41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6"/>
                <w:sz w:val="22"/>
                <w:szCs w:val="22"/>
              </w:rPr>
              <w:t> </w:t>
            </w:r>
            <w:r>
              <w:rPr>
                <w:rFonts w:ascii="楷体" w:hAnsi="楷体" w:cs="楷体" w:eastAsia="楷体" w:hint="default"/>
                <w:sz w:val="22"/>
                <w:szCs w:val="22"/>
              </w:rPr>
              <w:t>关联方应付账款</w:t>
            </w:r>
          </w:p>
        </w:tc>
        <w:tc>
          <w:tcPr>
            <w:tcW w:w="2775"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419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277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3" w:hRule="exact"/>
        </w:trPr>
        <w:tc>
          <w:tcPr>
            <w:tcW w:w="419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母公司及最终控制方：</w:t>
            </w:r>
            <w:r>
              <w:rPr>
                <w:rFonts w:ascii="Microsoft JhengHei" w:hAnsi="Microsoft JhengHei" w:cs="Microsoft JhengHei" w:eastAsia="Microsoft JhengHei" w:hint="default"/>
                <w:sz w:val="18"/>
                <w:szCs w:val="18"/>
              </w:rPr>
            </w:r>
          </w:p>
        </w:tc>
        <w:tc>
          <w:tcPr>
            <w:tcW w:w="2775"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r>
      <w:tr>
        <w:trPr>
          <w:trHeight w:val="566"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8" w:lineRule="auto" w:before="7"/>
              <w:ind w:left="108" w:right="1557"/>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清华大学 </w:t>
            </w:r>
            <w:r>
              <w:rPr>
                <w:rFonts w:ascii="Microsoft JhengHei" w:hAnsi="Microsoft JhengHei" w:cs="Microsoft JhengHei" w:eastAsia="Microsoft JhengHei" w:hint="default"/>
                <w:b/>
                <w:bCs/>
                <w:sz w:val="18"/>
                <w:szCs w:val="18"/>
              </w:rPr>
              <w:t>受同一母公司控制的其他企业：</w:t>
            </w:r>
            <w:r>
              <w:rPr>
                <w:rFonts w:ascii="Microsoft JhengHei" w:hAnsi="Microsoft JhengHei" w:cs="Microsoft JhengHei" w:eastAsia="Microsoft JhengHei" w:hint="default"/>
                <w:sz w:val="18"/>
                <w:szCs w:val="18"/>
              </w:rPr>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38"/>
              <w:jc w:val="right"/>
              <w:rPr>
                <w:rFonts w:ascii="Times New Roman" w:hAnsi="Times New Roman" w:cs="Times New Roman" w:eastAsia="Times New Roman" w:hint="default"/>
                <w:sz w:val="18"/>
                <w:szCs w:val="18"/>
              </w:rPr>
            </w:pPr>
            <w:r>
              <w:rPr>
                <w:rFonts w:ascii="Times New Roman"/>
                <w:spacing w:val="-1"/>
                <w:sz w:val="18"/>
              </w:rPr>
              <w:t>466,828,282.13</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pacing w:val="-1"/>
                <w:sz w:val="18"/>
              </w:rPr>
              <w:t>422,948,809.20</w:t>
            </w:r>
          </w:p>
        </w:tc>
      </w:tr>
      <w:tr>
        <w:trPr>
          <w:trHeight w:val="288"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楷体" w:hAnsi="楷体" w:cs="楷体" w:eastAsia="楷体" w:hint="default"/>
                <w:sz w:val="18"/>
                <w:szCs w:val="18"/>
              </w:rPr>
            </w:pPr>
            <w:r>
              <w:rPr>
                <w:rFonts w:ascii="楷体" w:hAnsi="楷体" w:cs="楷体" w:eastAsia="楷体" w:hint="default"/>
                <w:sz w:val="18"/>
                <w:szCs w:val="18"/>
              </w:rPr>
              <w:t>紫光软件系统有限公司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z w:val="18"/>
              </w:rPr>
              <w:t>540,000.00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540,000.00</w:t>
            </w:r>
          </w:p>
        </w:tc>
      </w:tr>
      <w:tr>
        <w:trPr>
          <w:trHeight w:val="561"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0" w:lineRule="auto"/>
              <w:ind w:left="108" w:right="1927"/>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北京紫光兴业科技有限公司 </w:t>
            </w:r>
            <w:r>
              <w:rPr>
                <w:rFonts w:ascii="Microsoft JhengHei" w:hAnsi="Microsoft JhengHei" w:cs="Microsoft JhengHei" w:eastAsia="Microsoft JhengHei" w:hint="default"/>
                <w:b/>
                <w:bCs/>
                <w:sz w:val="18"/>
                <w:szCs w:val="18"/>
              </w:rPr>
              <w:t>合营企业及联营企业：</w:t>
            </w:r>
            <w:r>
              <w:rPr>
                <w:rFonts w:ascii="Microsoft JhengHei" w:hAnsi="Microsoft JhengHei" w:cs="Microsoft JhengHei" w:eastAsia="Microsoft JhengHei" w:hint="default"/>
                <w:sz w:val="18"/>
                <w:szCs w:val="18"/>
              </w:rPr>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50,000.00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50,000.00</w:t>
            </w:r>
          </w:p>
        </w:tc>
      </w:tr>
      <w:tr>
        <w:trPr>
          <w:trHeight w:val="288"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楷体" w:hAnsi="楷体" w:cs="楷体" w:eastAsia="楷体" w:hint="default"/>
                <w:sz w:val="18"/>
                <w:szCs w:val="18"/>
              </w:rPr>
            </w:pPr>
            <w:r>
              <w:rPr>
                <w:rFonts w:ascii="楷体" w:hAnsi="楷体" w:cs="楷体" w:eastAsia="楷体" w:hint="default"/>
                <w:sz w:val="18"/>
                <w:szCs w:val="18"/>
              </w:rPr>
              <w:t>吉林同方科贸有限责任公司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1,930,399.83</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1,930,399.83</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北京同方创信科技有限公司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672,755.18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272,755.18</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北京同方洁净技术有限公司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343,016.00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上海信业智能科技股份有限公司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326,554.85</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北京文录激光科技有限公司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187,692.30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187,692.30</w:t>
            </w:r>
          </w:p>
        </w:tc>
      </w:tr>
      <w:tr>
        <w:trPr>
          <w:trHeight w:val="561"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18" w:lineRule="auto" w:before="10"/>
              <w:ind w:left="108" w:right="1647" w:hanging="1"/>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南昌</w:t>
            </w:r>
            <w:r>
              <w:rPr>
                <w:rFonts w:ascii="楷体" w:hAnsi="楷体" w:cs="楷体" w:eastAsia="楷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泰豪发电机有限公司 </w:t>
            </w:r>
            <w:r>
              <w:rPr>
                <w:rFonts w:ascii="Microsoft JhengHei" w:hAnsi="Microsoft JhengHei" w:cs="Microsoft JhengHei" w:eastAsia="Microsoft JhengHei" w:hint="default"/>
                <w:b/>
                <w:bCs/>
                <w:sz w:val="18"/>
                <w:szCs w:val="18"/>
              </w:rPr>
              <w:t>其他关联关系方：</w:t>
            </w:r>
            <w:r>
              <w:rPr>
                <w:rFonts w:ascii="Microsoft JhengHei" w:hAnsi="Microsoft JhengHei" w:cs="Microsoft JhengHei" w:eastAsia="Microsoft JhengHei" w:hint="default"/>
                <w:sz w:val="18"/>
                <w:szCs w:val="18"/>
              </w:rPr>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8"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北京同方电子科技有限公司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4,931,677.78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5,574,288.76</w:t>
            </w:r>
          </w:p>
        </w:tc>
      </w:tr>
      <w:tr>
        <w:trPr>
          <w:trHeight w:val="289" w:hRule="exact"/>
        </w:trPr>
        <w:tc>
          <w:tcPr>
            <w:tcW w:w="4197" w:type="dxa"/>
            <w:tcBorders>
              <w:top w:val="nil" w:sz="6" w:space="0" w:color="auto"/>
              <w:left w:val="nil" w:sz="6" w:space="0" w:color="auto"/>
              <w:bottom w:val="single" w:sz="4" w:space="0" w:color="000000"/>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同方（鞍山）环保设备股份有限公司</w:t>
            </w:r>
          </w:p>
        </w:tc>
        <w:tc>
          <w:tcPr>
            <w:tcW w:w="277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47,000.00</w:t>
            </w:r>
          </w:p>
        </w:tc>
      </w:tr>
      <w:tr>
        <w:trPr>
          <w:trHeight w:val="303" w:hRule="exact"/>
        </w:trPr>
        <w:tc>
          <w:tcPr>
            <w:tcW w:w="419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7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38"/>
              <w:jc w:val="right"/>
              <w:rPr>
                <w:rFonts w:ascii="Times New Roman" w:hAnsi="Times New Roman" w:cs="Times New Roman" w:eastAsia="Times New Roman" w:hint="default"/>
                <w:sz w:val="18"/>
                <w:szCs w:val="18"/>
              </w:rPr>
            </w:pPr>
            <w:r>
              <w:rPr>
                <w:rFonts w:ascii="Times New Roman"/>
                <w:b/>
                <w:spacing w:val="-1"/>
                <w:sz w:val="18"/>
              </w:rPr>
              <w:t>475,810,378.07</w:t>
            </w:r>
            <w:r>
              <w:rPr>
                <w:rFonts w:ascii="Times New Roman"/>
                <w:spacing w:val="-1"/>
                <w:sz w:val="18"/>
              </w:rPr>
            </w:r>
          </w:p>
        </w:tc>
        <w:tc>
          <w:tcPr>
            <w:tcW w:w="16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431,550,945.27</w:t>
            </w:r>
            <w:r>
              <w:rPr>
                <w:rFonts w:ascii="Times New Roman"/>
                <w:spacing w:val="-1"/>
                <w:sz w:val="18"/>
              </w:rPr>
            </w:r>
          </w:p>
        </w:tc>
      </w:tr>
      <w:tr>
        <w:trPr>
          <w:trHeight w:val="576" w:hRule="exact"/>
        </w:trPr>
        <w:tc>
          <w:tcPr>
            <w:tcW w:w="41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5</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6"/>
                <w:sz w:val="22"/>
                <w:szCs w:val="22"/>
              </w:rPr>
              <w:t> </w:t>
            </w:r>
            <w:r>
              <w:rPr>
                <w:rFonts w:ascii="楷体" w:hAnsi="楷体" w:cs="楷体" w:eastAsia="楷体" w:hint="default"/>
                <w:sz w:val="22"/>
                <w:szCs w:val="22"/>
              </w:rPr>
              <w:t>关联方其他应付款</w:t>
            </w:r>
          </w:p>
        </w:tc>
        <w:tc>
          <w:tcPr>
            <w:tcW w:w="2775"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19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277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2" w:hRule="exact"/>
        </w:trPr>
        <w:tc>
          <w:tcPr>
            <w:tcW w:w="419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母公司及最终控制方：</w:t>
            </w:r>
            <w:r>
              <w:rPr>
                <w:rFonts w:ascii="Microsoft JhengHei" w:hAnsi="Microsoft JhengHei" w:cs="Microsoft JhengHei" w:eastAsia="Microsoft JhengHei" w:hint="default"/>
                <w:sz w:val="18"/>
                <w:szCs w:val="18"/>
              </w:rPr>
            </w:r>
          </w:p>
        </w:tc>
        <w:tc>
          <w:tcPr>
            <w:tcW w:w="2775"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r>
      <w:tr>
        <w:trPr>
          <w:trHeight w:val="566"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0" w:lineRule="auto" w:before="4"/>
              <w:ind w:left="108" w:right="1557"/>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清华大学 </w:t>
            </w:r>
            <w:r>
              <w:rPr>
                <w:rFonts w:ascii="Microsoft JhengHei" w:hAnsi="Microsoft JhengHei" w:cs="Microsoft JhengHei" w:eastAsia="Microsoft JhengHei" w:hint="default"/>
                <w:b/>
                <w:bCs/>
                <w:sz w:val="18"/>
                <w:szCs w:val="18"/>
              </w:rPr>
              <w:t>受同一母公司控制的其他企业：</w:t>
            </w:r>
            <w:r>
              <w:rPr>
                <w:rFonts w:ascii="Microsoft JhengHei" w:hAnsi="Microsoft JhengHei" w:cs="Microsoft JhengHei" w:eastAsia="Microsoft JhengHei" w:hint="default"/>
                <w:sz w:val="18"/>
                <w:szCs w:val="18"/>
              </w:rPr>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10,920,548.66</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22,601,072.69</w:t>
            </w:r>
          </w:p>
        </w:tc>
      </w:tr>
      <w:tr>
        <w:trPr>
          <w:trHeight w:val="566"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0" w:lineRule="auto" w:before="4"/>
              <w:ind w:left="108" w:right="2281"/>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诚志股份有限公司 </w:t>
            </w:r>
            <w:r>
              <w:rPr>
                <w:rFonts w:ascii="Microsoft JhengHei" w:hAnsi="Microsoft JhengHei" w:cs="Microsoft JhengHei" w:eastAsia="Microsoft JhengHei" w:hint="default"/>
                <w:b/>
                <w:bCs/>
                <w:sz w:val="18"/>
                <w:szCs w:val="18"/>
              </w:rPr>
              <w:t>合营企业及联营企业：</w:t>
            </w:r>
            <w:r>
              <w:rPr>
                <w:rFonts w:ascii="Microsoft JhengHei" w:hAnsi="Microsoft JhengHei" w:cs="Microsoft JhengHei" w:eastAsia="Microsoft JhengHei" w:hint="default"/>
                <w:sz w:val="18"/>
                <w:szCs w:val="18"/>
              </w:rPr>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3,835,123.20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0.00</w:t>
            </w:r>
          </w:p>
        </w:tc>
      </w:tr>
      <w:tr>
        <w:trPr>
          <w:trHeight w:val="288"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楷体" w:hAnsi="楷体" w:cs="楷体" w:eastAsia="楷体" w:hint="default"/>
                <w:sz w:val="18"/>
                <w:szCs w:val="18"/>
              </w:rPr>
            </w:pPr>
            <w:r>
              <w:rPr>
                <w:rFonts w:ascii="楷体" w:hAnsi="楷体" w:cs="楷体" w:eastAsia="楷体" w:hint="default"/>
                <w:sz w:val="18"/>
                <w:szCs w:val="18"/>
              </w:rPr>
              <w:t>易程科技股份有限公司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10,136,805.25</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136,805.25</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天津清华泰豪智能科技有限公司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pacing w:val="-1"/>
                <w:sz w:val="18"/>
              </w:rPr>
              <w:t>2,590,000.00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吉林同方科贸有限责任公司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500,000.00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732,248.59</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北京同方创信科技有限公司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147,842.87</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170,604.73</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楷体" w:hAnsi="楷体" w:cs="楷体" w:eastAsia="楷体" w:hint="default"/>
                <w:sz w:val="18"/>
                <w:szCs w:val="18"/>
              </w:rPr>
            </w:pPr>
            <w:r>
              <w:rPr>
                <w:rFonts w:ascii="楷体" w:hAnsi="楷体" w:cs="楷体" w:eastAsia="楷体" w:hint="default"/>
                <w:sz w:val="18"/>
                <w:szCs w:val="18"/>
              </w:rPr>
              <w:t>南昌</w:t>
            </w:r>
            <w:r>
              <w:rPr>
                <w:rFonts w:ascii="楷体" w:hAnsi="楷体" w:cs="楷体" w:eastAsia="楷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楷体" w:hAnsi="楷体" w:cs="楷体" w:eastAsia="楷体" w:hint="default"/>
                <w:sz w:val="18"/>
                <w:szCs w:val="18"/>
              </w:rPr>
              <w:t>泰豪发电机有限公司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100,637.53</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同方投资有限公司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57,648.75</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北京亚仕同方科技有限公司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23,562.75</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48,253.81</w:t>
            </w:r>
          </w:p>
        </w:tc>
      </w:tr>
      <w:tr>
        <w:trPr>
          <w:trHeight w:val="283"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北京同方易豪科技有限公司</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9,466.48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561" w:hRule="exact"/>
        </w:trPr>
        <w:tc>
          <w:tcPr>
            <w:tcW w:w="4197" w:type="dxa"/>
            <w:tcBorders>
              <w:top w:val="nil" w:sz="6" w:space="0" w:color="auto"/>
              <w:left w:val="nil" w:sz="6" w:space="0" w:color="auto"/>
              <w:bottom w:val="nil" w:sz="6" w:space="0" w:color="auto"/>
              <w:right w:val="nil" w:sz="6" w:space="0" w:color="auto"/>
            </w:tcBorders>
          </w:tcPr>
          <w:p>
            <w:pPr>
              <w:pStyle w:val="TableParagraph"/>
              <w:spacing w:line="230" w:lineRule="auto"/>
              <w:ind w:left="108" w:right="1566"/>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北京中录同方文化传播有限公司 </w:t>
            </w:r>
            <w:r>
              <w:rPr>
                <w:rFonts w:ascii="Microsoft JhengHei" w:hAnsi="Microsoft JhengHei" w:cs="Microsoft JhengHei" w:eastAsia="Microsoft JhengHei" w:hint="default"/>
                <w:b/>
                <w:bCs/>
                <w:sz w:val="18"/>
                <w:szCs w:val="18"/>
              </w:rPr>
              <w:t>其他关联关系方</w:t>
            </w:r>
            <w:r>
              <w:rPr>
                <w:rFonts w:ascii="Microsoft JhengHei" w:hAnsi="Microsoft JhengHei" w:cs="Microsoft JhengHei" w:eastAsia="Microsoft JhengHei" w:hint="default"/>
                <w:sz w:val="18"/>
                <w:szCs w:val="18"/>
              </w:rPr>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18,327.89</w:t>
            </w:r>
          </w:p>
        </w:tc>
      </w:tr>
      <w:tr>
        <w:trPr>
          <w:trHeight w:val="294" w:hRule="exact"/>
        </w:trPr>
        <w:tc>
          <w:tcPr>
            <w:tcW w:w="4197"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北京同方时讯电子有限公司</w:t>
            </w:r>
          </w:p>
        </w:tc>
        <w:tc>
          <w:tcPr>
            <w:tcW w:w="277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z w:val="18"/>
              </w:rPr>
              <w:t>23,562.75</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419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7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b/>
                <w:spacing w:val="-1"/>
                <w:sz w:val="18"/>
              </w:rPr>
              <w:t>28,345,198.24</w:t>
            </w:r>
            <w:r>
              <w:rPr>
                <w:rFonts w:ascii="Times New Roman"/>
                <w:spacing w:val="-1"/>
                <w:sz w:val="18"/>
              </w:rPr>
            </w:r>
          </w:p>
        </w:tc>
        <w:tc>
          <w:tcPr>
            <w:tcW w:w="16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23,707,312.96</w:t>
            </w:r>
            <w:r>
              <w:rPr>
                <w:rFonts w:ascii="Times New Roman"/>
                <w:spacing w:val="-1"/>
                <w:sz w:val="18"/>
              </w:rPr>
            </w:r>
          </w:p>
        </w:tc>
      </w:tr>
      <w:tr>
        <w:trPr>
          <w:trHeight w:val="576" w:hRule="exact"/>
        </w:trPr>
        <w:tc>
          <w:tcPr>
            <w:tcW w:w="41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4"/>
              <w:ind w:left="161" w:right="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6</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6"/>
                <w:sz w:val="22"/>
                <w:szCs w:val="22"/>
              </w:rPr>
              <w:t> </w:t>
            </w:r>
            <w:r>
              <w:rPr>
                <w:rFonts w:ascii="楷体" w:hAnsi="楷体" w:cs="楷体" w:eastAsia="楷体" w:hint="default"/>
                <w:sz w:val="22"/>
                <w:szCs w:val="22"/>
              </w:rPr>
              <w:t>关联方预收款项</w:t>
            </w:r>
          </w:p>
        </w:tc>
        <w:tc>
          <w:tcPr>
            <w:tcW w:w="2775"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19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277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2" w:hRule="exact"/>
        </w:trPr>
        <w:tc>
          <w:tcPr>
            <w:tcW w:w="419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母公司及最终控制方</w:t>
            </w:r>
            <w:r>
              <w:rPr>
                <w:rFonts w:ascii="Microsoft JhengHei" w:hAnsi="Microsoft JhengHei" w:cs="Microsoft JhengHei" w:eastAsia="Microsoft JhengHei" w:hint="default"/>
                <w:sz w:val="18"/>
                <w:szCs w:val="18"/>
              </w:rPr>
            </w:r>
          </w:p>
        </w:tc>
        <w:tc>
          <w:tcPr>
            <w:tcW w:w="2775"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r>
      <w:tr>
        <w:trPr>
          <w:trHeight w:val="304" w:hRule="exact"/>
        </w:trPr>
        <w:tc>
          <w:tcPr>
            <w:tcW w:w="4197" w:type="dxa"/>
            <w:tcBorders>
              <w:top w:val="nil" w:sz="6" w:space="0" w:color="auto"/>
              <w:left w:val="nil" w:sz="6" w:space="0" w:color="auto"/>
              <w:bottom w:val="single" w:sz="12" w:space="0" w:color="000000"/>
              <w:right w:val="nil" w:sz="6" w:space="0" w:color="auto"/>
            </w:tcBorders>
          </w:tcPr>
          <w:p>
            <w:pPr>
              <w:pStyle w:val="TableParagraph"/>
              <w:spacing w:line="232" w:lineRule="exact"/>
              <w:ind w:left="107" w:right="0"/>
              <w:jc w:val="left"/>
              <w:rPr>
                <w:rFonts w:ascii="楷体" w:hAnsi="楷体" w:cs="楷体" w:eastAsia="楷体" w:hint="default"/>
                <w:sz w:val="18"/>
                <w:szCs w:val="18"/>
              </w:rPr>
            </w:pPr>
            <w:r>
              <w:rPr>
                <w:rFonts w:ascii="楷体" w:hAnsi="楷体" w:cs="楷体" w:eastAsia="楷体" w:hint="default"/>
                <w:sz w:val="18"/>
                <w:szCs w:val="18"/>
              </w:rPr>
              <w:t>清华大学</w:t>
            </w:r>
          </w:p>
        </w:tc>
        <w:tc>
          <w:tcPr>
            <w:tcW w:w="2775"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z w:val="18"/>
              </w:rPr>
              <w:t>698,566.00</w:t>
            </w:r>
          </w:p>
        </w:tc>
        <w:tc>
          <w:tcPr>
            <w:tcW w:w="1666"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107,583.60</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94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416" w:type="dxa"/>
        <w:tblLayout w:type="fixed"/>
        <w:tblCellMar>
          <w:top w:w="0" w:type="dxa"/>
          <w:left w:w="0" w:type="dxa"/>
          <w:bottom w:w="0" w:type="dxa"/>
          <w:right w:w="0" w:type="dxa"/>
        </w:tblCellMar>
        <w:tblLook w:val="01E0"/>
      </w:tblPr>
      <w:tblGrid>
        <w:gridCol w:w="4061"/>
        <w:gridCol w:w="2955"/>
        <w:gridCol w:w="1622"/>
      </w:tblGrid>
      <w:tr>
        <w:trPr>
          <w:trHeight w:val="579" w:hRule="exact"/>
        </w:trPr>
        <w:tc>
          <w:tcPr>
            <w:tcW w:w="4061" w:type="dxa"/>
            <w:tcBorders>
              <w:top w:val="single" w:sz="12"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合营企业及联营企业</w:t>
            </w:r>
            <w:r>
              <w:rPr>
                <w:rFonts w:ascii="Microsoft JhengHei" w:hAnsi="Microsoft JhengHei" w:cs="Microsoft JhengHei" w:eastAsia="Microsoft JhengHei" w:hint="default"/>
                <w:sz w:val="18"/>
                <w:szCs w:val="18"/>
              </w:rPr>
            </w:r>
          </w:p>
          <w:p>
            <w:pPr>
              <w:pStyle w:val="TableParagraph"/>
              <w:spacing w:line="240" w:lineRule="auto" w:before="26"/>
              <w:ind w:left="107" w:right="0"/>
              <w:jc w:val="left"/>
              <w:rPr>
                <w:rFonts w:ascii="楷体" w:hAnsi="楷体" w:cs="楷体" w:eastAsia="楷体" w:hint="default"/>
                <w:sz w:val="18"/>
                <w:szCs w:val="18"/>
              </w:rPr>
            </w:pPr>
            <w:r>
              <w:rPr>
                <w:rFonts w:ascii="楷体" w:hAnsi="楷体" w:cs="楷体" w:eastAsia="楷体" w:hint="default"/>
                <w:sz w:val="18"/>
                <w:szCs w:val="18"/>
              </w:rPr>
              <w:t>北京威视科技发展有限公司</w:t>
            </w:r>
          </w:p>
        </w:tc>
        <w:tc>
          <w:tcPr>
            <w:tcW w:w="2955"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483"/>
              <w:jc w:val="right"/>
              <w:rPr>
                <w:rFonts w:ascii="Times New Roman" w:hAnsi="Times New Roman" w:cs="Times New Roman" w:eastAsia="Times New Roman" w:hint="default"/>
                <w:sz w:val="18"/>
                <w:szCs w:val="18"/>
              </w:rPr>
            </w:pPr>
            <w:r>
              <w:rPr>
                <w:rFonts w:ascii="Times New Roman"/>
                <w:sz w:val="18"/>
              </w:rPr>
              <w:t>190,000.00</w:t>
            </w:r>
          </w:p>
        </w:tc>
        <w:tc>
          <w:tcPr>
            <w:tcW w:w="1622"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98"/>
              <w:jc w:val="right"/>
              <w:rPr>
                <w:rFonts w:ascii="Times New Roman" w:hAnsi="Times New Roman" w:cs="Times New Roman" w:eastAsia="Times New Roman" w:hint="default"/>
                <w:sz w:val="18"/>
                <w:szCs w:val="18"/>
              </w:rPr>
            </w:pPr>
            <w:r>
              <w:rPr>
                <w:rFonts w:ascii="Times New Roman"/>
                <w:sz w:val="18"/>
              </w:rPr>
              <w:t>570,000.00</w:t>
            </w:r>
          </w:p>
        </w:tc>
      </w:tr>
      <w:tr>
        <w:trPr>
          <w:trHeight w:val="283"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北京中录同方文化传播有限公司</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3"/>
              <w:jc w:val="right"/>
              <w:rPr>
                <w:rFonts w:ascii="Times New Roman" w:hAnsi="Times New Roman" w:cs="Times New Roman" w:eastAsia="Times New Roman" w:hint="default"/>
                <w:sz w:val="18"/>
                <w:szCs w:val="18"/>
              </w:rPr>
            </w:pPr>
            <w:r>
              <w:rPr>
                <w:rFonts w:ascii="Times New Roman"/>
                <w:sz w:val="18"/>
              </w:rPr>
              <w:t>75,452.00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75,452.00</w:t>
            </w:r>
          </w:p>
        </w:tc>
      </w:tr>
      <w:tr>
        <w:trPr>
          <w:trHeight w:val="283"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北京同方创信科技有限公司</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3"/>
              <w:jc w:val="right"/>
              <w:rPr>
                <w:rFonts w:ascii="Times New Roman" w:hAnsi="Times New Roman" w:cs="Times New Roman" w:eastAsia="Times New Roman" w:hint="default"/>
                <w:sz w:val="18"/>
                <w:szCs w:val="18"/>
              </w:rPr>
            </w:pPr>
            <w:r>
              <w:rPr>
                <w:rFonts w:ascii="Times New Roman"/>
                <w:sz w:val="18"/>
              </w:rPr>
              <w:t>1,502.06</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420.00</w:t>
            </w:r>
          </w:p>
        </w:tc>
      </w:tr>
      <w:tr>
        <w:trPr>
          <w:trHeight w:val="561"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30" w:lineRule="auto"/>
              <w:ind w:left="108" w:right="1791"/>
              <w:jc w:val="left"/>
              <w:rPr>
                <w:rFonts w:ascii="Microsoft JhengHei" w:hAnsi="Microsoft JhengHei" w:cs="Microsoft JhengHei" w:eastAsia="Microsoft JhengHei" w:hint="default"/>
                <w:sz w:val="18"/>
                <w:szCs w:val="18"/>
              </w:rPr>
            </w:pPr>
            <w:r>
              <w:rPr>
                <w:rFonts w:ascii="楷体" w:hAnsi="楷体" w:cs="楷体" w:eastAsia="楷体" w:hint="default"/>
                <w:sz w:val="18"/>
                <w:szCs w:val="18"/>
              </w:rPr>
              <w:t>北京亚仕同方科技有限公司 </w:t>
            </w:r>
            <w:r>
              <w:rPr>
                <w:rFonts w:ascii="Microsoft JhengHei" w:hAnsi="Microsoft JhengHei" w:cs="Microsoft JhengHei" w:eastAsia="Microsoft JhengHei" w:hint="default"/>
                <w:b/>
                <w:bCs/>
                <w:sz w:val="18"/>
                <w:szCs w:val="18"/>
              </w:rPr>
              <w:t>其他关联关系方</w:t>
            </w:r>
            <w:r>
              <w:rPr>
                <w:rFonts w:ascii="Microsoft JhengHei" w:hAnsi="Microsoft JhengHei" w:cs="Microsoft JhengHei" w:eastAsia="Microsoft JhengHei" w:hint="default"/>
                <w:sz w:val="18"/>
                <w:szCs w:val="18"/>
              </w:rPr>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3"/>
              <w:jc w:val="right"/>
              <w:rPr>
                <w:rFonts w:ascii="Times New Roman" w:hAnsi="Times New Roman" w:cs="Times New Roman" w:eastAsia="Times New Roman" w:hint="default"/>
                <w:sz w:val="18"/>
                <w:szCs w:val="18"/>
              </w:rPr>
            </w:pPr>
            <w:r>
              <w:rPr>
                <w:rFonts w:ascii="Times New Roman"/>
                <w:sz w:val="18"/>
              </w:rPr>
              <w:t>189.00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8"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楷体" w:hAnsi="楷体" w:cs="楷体" w:eastAsia="楷体" w:hint="default"/>
                <w:sz w:val="18"/>
                <w:szCs w:val="18"/>
              </w:rPr>
            </w:pPr>
            <w:r>
              <w:rPr>
                <w:rFonts w:ascii="楷体" w:hAnsi="楷体" w:cs="楷体" w:eastAsia="楷体" w:hint="default"/>
                <w:sz w:val="18"/>
                <w:szCs w:val="18"/>
              </w:rPr>
              <w:t>鸡西同方水务有限责任公司</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83"/>
              <w:jc w:val="right"/>
              <w:rPr>
                <w:rFonts w:ascii="Times New Roman" w:hAnsi="Times New Roman" w:cs="Times New Roman" w:eastAsia="Times New Roman" w:hint="default"/>
                <w:sz w:val="18"/>
                <w:szCs w:val="18"/>
              </w:rPr>
            </w:pPr>
            <w:r>
              <w:rPr>
                <w:rFonts w:ascii="Times New Roman"/>
                <w:spacing w:val="-1"/>
                <w:sz w:val="18"/>
              </w:rPr>
              <w:t>40,000,000.00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佳木斯同方水务有限责任公司</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3"/>
              <w:jc w:val="right"/>
              <w:rPr>
                <w:rFonts w:ascii="Times New Roman" w:hAnsi="Times New Roman" w:cs="Times New Roman" w:eastAsia="Times New Roman" w:hint="default"/>
                <w:sz w:val="18"/>
                <w:szCs w:val="18"/>
              </w:rPr>
            </w:pPr>
            <w:r>
              <w:rPr>
                <w:rFonts w:ascii="Times New Roman"/>
                <w:spacing w:val="-1"/>
                <w:sz w:val="18"/>
              </w:rPr>
              <w:t>7,460,829.93</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13,271,945.26</w:t>
            </w:r>
          </w:p>
        </w:tc>
      </w:tr>
      <w:tr>
        <w:trPr>
          <w:trHeight w:val="283"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淮安同方水务有限公司</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3"/>
              <w:jc w:val="right"/>
              <w:rPr>
                <w:rFonts w:ascii="Times New Roman" w:hAnsi="Times New Roman" w:cs="Times New Roman" w:eastAsia="Times New Roman" w:hint="default"/>
                <w:sz w:val="18"/>
                <w:szCs w:val="18"/>
              </w:rPr>
            </w:pPr>
            <w:r>
              <w:rPr>
                <w:rFonts w:ascii="Times New Roman"/>
                <w:spacing w:val="-1"/>
                <w:sz w:val="18"/>
              </w:rPr>
              <w:t>6,500,570.58</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11,653,140.58</w:t>
            </w:r>
          </w:p>
        </w:tc>
      </w:tr>
      <w:tr>
        <w:trPr>
          <w:trHeight w:val="283"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同方（哈尔滨）水务有限公司</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3"/>
              <w:jc w:val="right"/>
              <w:rPr>
                <w:rFonts w:ascii="Times New Roman" w:hAnsi="Times New Roman" w:cs="Times New Roman" w:eastAsia="Times New Roman" w:hint="default"/>
                <w:sz w:val="18"/>
                <w:szCs w:val="18"/>
              </w:rPr>
            </w:pPr>
            <w:r>
              <w:rPr>
                <w:rFonts w:ascii="Times New Roman"/>
                <w:spacing w:val="-1"/>
                <w:sz w:val="18"/>
              </w:rPr>
              <w:t>2,408,967.46</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2,151,037.36</w:t>
            </w:r>
          </w:p>
        </w:tc>
      </w:tr>
      <w:tr>
        <w:trPr>
          <w:trHeight w:val="283"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惠州同方水务有限公司</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3"/>
              <w:jc w:val="right"/>
              <w:rPr>
                <w:rFonts w:ascii="Times New Roman" w:hAnsi="Times New Roman" w:cs="Times New Roman" w:eastAsia="Times New Roman" w:hint="default"/>
                <w:sz w:val="18"/>
                <w:szCs w:val="18"/>
              </w:rPr>
            </w:pPr>
            <w:r>
              <w:rPr>
                <w:rFonts w:ascii="Times New Roman"/>
                <w:sz w:val="18"/>
              </w:rPr>
              <w:t>513,779.52</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1,532,658.50</w:t>
            </w:r>
          </w:p>
        </w:tc>
      </w:tr>
      <w:tr>
        <w:trPr>
          <w:trHeight w:val="283"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北京同方电子科技有限公司</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3"/>
              <w:jc w:val="right"/>
              <w:rPr>
                <w:rFonts w:ascii="Times New Roman" w:hAnsi="Times New Roman" w:cs="Times New Roman" w:eastAsia="Times New Roman" w:hint="default"/>
                <w:sz w:val="18"/>
                <w:szCs w:val="18"/>
              </w:rPr>
            </w:pPr>
            <w:r>
              <w:rPr>
                <w:rFonts w:ascii="Times New Roman"/>
                <w:sz w:val="18"/>
              </w:rPr>
              <w:t>396,788.06</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北京同方神火科技有限公司</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83"/>
              <w:jc w:val="right"/>
              <w:rPr>
                <w:rFonts w:ascii="Times New Roman" w:hAnsi="Times New Roman" w:cs="Times New Roman" w:eastAsia="Times New Roman" w:hint="default"/>
                <w:sz w:val="18"/>
                <w:szCs w:val="18"/>
              </w:rPr>
            </w:pPr>
            <w:r>
              <w:rPr>
                <w:rFonts w:ascii="Times New Roman"/>
                <w:sz w:val="18"/>
              </w:rPr>
              <w:t>698.00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698.00</w:t>
            </w:r>
          </w:p>
        </w:tc>
      </w:tr>
      <w:tr>
        <w:trPr>
          <w:trHeight w:val="289" w:hRule="exact"/>
        </w:trPr>
        <w:tc>
          <w:tcPr>
            <w:tcW w:w="4061"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楷体" w:hAnsi="楷体" w:cs="楷体" w:eastAsia="楷体" w:hint="default"/>
                <w:sz w:val="18"/>
                <w:szCs w:val="18"/>
              </w:rPr>
            </w:pPr>
            <w:r>
              <w:rPr>
                <w:rFonts w:ascii="楷体" w:hAnsi="楷体" w:cs="楷体" w:eastAsia="楷体" w:hint="default"/>
                <w:sz w:val="18"/>
                <w:szCs w:val="18"/>
              </w:rPr>
              <w:t>北京同方时讯电子有限公司</w:t>
            </w:r>
          </w:p>
        </w:tc>
        <w:tc>
          <w:tcPr>
            <w:tcW w:w="295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83"/>
              <w:jc w:val="right"/>
              <w:rPr>
                <w:rFonts w:ascii="Times New Roman" w:hAnsi="Times New Roman" w:cs="Times New Roman" w:eastAsia="Times New Roman" w:hint="default"/>
                <w:sz w:val="18"/>
                <w:szCs w:val="18"/>
              </w:rPr>
            </w:pPr>
            <w:r>
              <w:rPr>
                <w:rFonts w:ascii="Times New Roman"/>
                <w:sz w:val="18"/>
              </w:rPr>
              <w:t>208.00</w:t>
            </w:r>
          </w:p>
        </w:tc>
        <w:tc>
          <w:tcPr>
            <w:tcW w:w="162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2,810.70</w:t>
            </w:r>
          </w:p>
        </w:tc>
      </w:tr>
      <w:tr>
        <w:trPr>
          <w:trHeight w:val="303" w:hRule="exact"/>
        </w:trPr>
        <w:tc>
          <w:tcPr>
            <w:tcW w:w="406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95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83"/>
              <w:jc w:val="right"/>
              <w:rPr>
                <w:rFonts w:ascii="Times New Roman" w:hAnsi="Times New Roman" w:cs="Times New Roman" w:eastAsia="Times New Roman" w:hint="default"/>
                <w:sz w:val="18"/>
                <w:szCs w:val="18"/>
              </w:rPr>
            </w:pPr>
            <w:r>
              <w:rPr>
                <w:rFonts w:ascii="Times New Roman"/>
                <w:b/>
                <w:spacing w:val="-1"/>
                <w:sz w:val="18"/>
              </w:rPr>
              <w:t>58,247,550.61</w:t>
            </w:r>
            <w:r>
              <w:rPr>
                <w:rFonts w:ascii="Times New Roman"/>
                <w:spacing w:val="-1"/>
                <w:sz w:val="18"/>
              </w:rPr>
            </w:r>
          </w:p>
        </w:tc>
        <w:tc>
          <w:tcPr>
            <w:tcW w:w="16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29,365,746.00</w:t>
            </w:r>
            <w:r>
              <w:rPr>
                <w:rFonts w:ascii="Times New Roman"/>
                <w:spacing w:val="-1"/>
                <w:sz w:val="18"/>
              </w:rPr>
            </w:r>
          </w:p>
        </w:tc>
      </w:tr>
    </w:tbl>
    <w:p>
      <w:pPr>
        <w:pStyle w:val="Heading3"/>
        <w:spacing w:line="405" w:lineRule="exact"/>
        <w:ind w:left="620" w:right="6555"/>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十二、 或有事项</w:t>
      </w:r>
      <w:r>
        <w:rPr>
          <w:rFonts w:ascii="Microsoft JhengHei" w:hAnsi="Microsoft JhengHei" w:cs="Microsoft JhengHei" w:eastAsia="Microsoft JhengHei" w:hint="default"/>
          <w:b w:val="0"/>
          <w:bCs w:val="0"/>
        </w:rPr>
      </w:r>
    </w:p>
    <w:p>
      <w:pPr>
        <w:spacing w:line="468" w:lineRule="exact" w:before="25"/>
        <w:ind w:left="578" w:right="288" w:firstLine="0"/>
        <w:jc w:val="left"/>
        <w:rPr>
          <w:rFonts w:ascii="楷体" w:hAnsi="楷体" w:cs="楷体" w:eastAsia="楷体" w:hint="default"/>
          <w:sz w:val="22"/>
          <w:szCs w:val="22"/>
        </w:rPr>
      </w:pPr>
      <w:r>
        <w:rPr>
          <w:rFonts w:ascii="楷体" w:hAnsi="楷体" w:cs="楷体" w:eastAsia="楷体" w:hint="default"/>
          <w:spacing w:val="-4"/>
          <w:w w:val="99"/>
          <w:sz w:val="22"/>
          <w:szCs w:val="22"/>
        </w:rPr>
        <w:t>除附注十一、（二）所述担保事项外，公司对外提供担保事项如下：</w:t>
      </w:r>
      <w:r>
        <w:rPr>
          <w:rFonts w:ascii="楷体" w:hAnsi="楷体" w:cs="楷体" w:eastAsia="楷体" w:hint="default"/>
          <w:spacing w:val="-90"/>
          <w:w w:val="99"/>
          <w:sz w:val="22"/>
          <w:szCs w:val="22"/>
        </w:rPr>
        <w:t> </w:t>
      </w:r>
      <w:r>
        <w:rPr>
          <w:rFonts w:ascii="楷体" w:hAnsi="楷体" w:cs="楷体" w:eastAsia="楷体" w:hint="default"/>
          <w:spacing w:val="-90"/>
          <w:w w:val="99"/>
          <w:sz w:val="22"/>
          <w:szCs w:val="22"/>
        </w:rPr>
      </w:r>
      <w:r>
        <w:rPr>
          <w:rFonts w:ascii="楷体" w:hAnsi="楷体" w:cs="楷体" w:eastAsia="楷体" w:hint="default"/>
          <w:sz w:val="22"/>
          <w:szCs w:val="22"/>
        </w:rPr>
        <w:t>截至</w:t>
      </w:r>
      <w:r>
        <w:rPr>
          <w:rFonts w:ascii="Times New Roman" w:hAnsi="Times New Roman" w:cs="Times New Roman" w:eastAsia="Times New Roman" w:hint="default"/>
          <w:sz w:val="22"/>
          <w:szCs w:val="22"/>
        </w:rPr>
        <w:t>2008</w:t>
      </w:r>
      <w:r>
        <w:rPr>
          <w:rFonts w:ascii="楷体" w:hAnsi="楷体" w:cs="楷体" w:eastAsia="楷体" w:hint="default"/>
          <w:sz w:val="22"/>
          <w:szCs w:val="22"/>
        </w:rPr>
        <w:t>年</w:t>
      </w:r>
      <w:r>
        <w:rPr>
          <w:rFonts w:ascii="Times New Roman" w:hAnsi="Times New Roman" w:cs="Times New Roman" w:eastAsia="Times New Roman" w:hint="default"/>
          <w:sz w:val="22"/>
          <w:szCs w:val="22"/>
        </w:rPr>
        <w:t>12</w:t>
      </w:r>
      <w:r>
        <w:rPr>
          <w:rFonts w:ascii="楷体" w:hAnsi="楷体" w:cs="楷体" w:eastAsia="楷体" w:hint="default"/>
          <w:sz w:val="22"/>
          <w:szCs w:val="22"/>
        </w:rPr>
        <w:t>月</w:t>
      </w:r>
      <w:r>
        <w:rPr>
          <w:rFonts w:ascii="Times New Roman" w:hAnsi="Times New Roman" w:cs="Times New Roman" w:eastAsia="Times New Roman" w:hint="default"/>
          <w:sz w:val="22"/>
          <w:szCs w:val="22"/>
        </w:rPr>
        <w:t>31</w:t>
      </w:r>
      <w:r>
        <w:rPr>
          <w:rFonts w:ascii="楷体" w:hAnsi="楷体" w:cs="楷体" w:eastAsia="楷体" w:hint="default"/>
          <w:sz w:val="22"/>
          <w:szCs w:val="22"/>
        </w:rPr>
        <w:t>日，本公司持股</w:t>
      </w:r>
      <w:r>
        <w:rPr>
          <w:rFonts w:ascii="Times New Roman" w:hAnsi="Times New Roman" w:cs="Times New Roman" w:eastAsia="Times New Roman" w:hint="default"/>
          <w:sz w:val="22"/>
          <w:szCs w:val="22"/>
        </w:rPr>
        <w:t>23.37%</w:t>
      </w:r>
      <w:r>
        <w:rPr>
          <w:rFonts w:ascii="楷体" w:hAnsi="楷体" w:cs="楷体" w:eastAsia="楷体" w:hint="default"/>
          <w:sz w:val="22"/>
          <w:szCs w:val="22"/>
        </w:rPr>
        <w:t>的泰豪科技股份有限公司的对外担保情况如下：</w:t>
      </w:r>
      <w:r>
        <w:rPr>
          <w:rFonts w:ascii="楷体" w:hAnsi="楷体" w:cs="楷体" w:eastAsia="楷体" w:hint="default"/>
          <w:w w:val="99"/>
          <w:sz w:val="22"/>
          <w:szCs w:val="22"/>
        </w:rPr>
        <w:t> </w:t>
      </w:r>
      <w:r>
        <w:rPr>
          <w:rFonts w:ascii="Times New Roman" w:hAnsi="Times New Roman" w:cs="Times New Roman" w:eastAsia="Times New Roman" w:hint="default"/>
          <w:b/>
          <w:bCs/>
          <w:sz w:val="22"/>
          <w:szCs w:val="22"/>
        </w:rPr>
        <w:t>1</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12"/>
          <w:sz w:val="22"/>
          <w:szCs w:val="22"/>
        </w:rPr>
        <w:t> </w:t>
      </w:r>
      <w:r>
        <w:rPr>
          <w:rFonts w:ascii="楷体" w:hAnsi="楷体" w:cs="楷体" w:eastAsia="楷体" w:hint="default"/>
          <w:sz w:val="22"/>
          <w:szCs w:val="22"/>
        </w:rPr>
        <w:t>泰豪科技股份有限公司第三届董事会第五次会议通过了其为江西汇仁集团医药科研营</w:t>
      </w:r>
    </w:p>
    <w:p>
      <w:pPr>
        <w:spacing w:line="307" w:lineRule="auto" w:before="39"/>
        <w:ind w:left="138" w:right="141" w:firstLine="0"/>
        <w:jc w:val="both"/>
        <w:rPr>
          <w:rFonts w:ascii="楷体" w:hAnsi="楷体" w:cs="楷体" w:eastAsia="楷体" w:hint="default"/>
          <w:sz w:val="22"/>
          <w:szCs w:val="22"/>
        </w:rPr>
      </w:pPr>
      <w:r>
        <w:rPr>
          <w:rFonts w:ascii="楷体" w:hAnsi="楷体" w:cs="楷体" w:eastAsia="楷体" w:hint="default"/>
          <w:spacing w:val="-1"/>
          <w:sz w:val="22"/>
          <w:szCs w:val="22"/>
        </w:rPr>
        <w:t>销有限公司期限为一年，授信额度为</w:t>
      </w:r>
      <w:r>
        <w:rPr>
          <w:rFonts w:ascii="Times New Roman" w:hAnsi="Times New Roman" w:cs="Times New Roman" w:eastAsia="Times New Roman" w:hint="default"/>
          <w:spacing w:val="-1"/>
          <w:sz w:val="22"/>
          <w:szCs w:val="22"/>
        </w:rPr>
        <w:t>6500</w:t>
      </w:r>
      <w:r>
        <w:rPr>
          <w:rFonts w:ascii="楷体" w:hAnsi="楷体" w:cs="楷体" w:eastAsia="楷体" w:hint="default"/>
          <w:spacing w:val="-1"/>
          <w:sz w:val="22"/>
          <w:szCs w:val="22"/>
        </w:rPr>
        <w:t>万元银行借款提供担保的议案，汇仁集团有限公司提供</w:t>
      </w:r>
      <w:r>
        <w:rPr>
          <w:rFonts w:ascii="楷体" w:hAnsi="楷体" w:cs="楷体" w:eastAsia="楷体" w:hint="default"/>
          <w:w w:val="99"/>
          <w:sz w:val="22"/>
          <w:szCs w:val="22"/>
        </w:rPr>
        <w:t> </w:t>
      </w:r>
      <w:r>
        <w:rPr>
          <w:rFonts w:ascii="楷体" w:hAnsi="楷体" w:cs="楷体" w:eastAsia="楷体" w:hint="default"/>
          <w:spacing w:val="-1"/>
          <w:sz w:val="22"/>
          <w:szCs w:val="22"/>
        </w:rPr>
        <w:t>反担保。本年泰豪科技股份有限公司为江西汇仁集团医药科研营销有限公司向银行借款</w:t>
      </w:r>
      <w:r>
        <w:rPr>
          <w:rFonts w:ascii="Times New Roman" w:hAnsi="Times New Roman" w:cs="Times New Roman" w:eastAsia="Times New Roman" w:hint="default"/>
          <w:spacing w:val="-1"/>
          <w:sz w:val="22"/>
          <w:szCs w:val="22"/>
        </w:rPr>
        <w:t>4500</w:t>
      </w:r>
      <w:r>
        <w:rPr>
          <w:rFonts w:ascii="楷体" w:hAnsi="楷体" w:cs="楷体" w:eastAsia="楷体" w:hint="default"/>
          <w:spacing w:val="-1"/>
          <w:sz w:val="22"/>
          <w:szCs w:val="22"/>
        </w:rPr>
        <w:t>万元</w:t>
      </w:r>
      <w:r>
        <w:rPr>
          <w:rFonts w:ascii="楷体" w:hAnsi="楷体" w:cs="楷体" w:eastAsia="楷体" w:hint="default"/>
          <w:spacing w:val="-108"/>
          <w:sz w:val="22"/>
          <w:szCs w:val="22"/>
        </w:rPr>
        <w:t> </w:t>
      </w:r>
      <w:r>
        <w:rPr>
          <w:rFonts w:ascii="楷体" w:hAnsi="楷体" w:cs="楷体" w:eastAsia="楷体" w:hint="default"/>
          <w:sz w:val="22"/>
          <w:szCs w:val="22"/>
        </w:rPr>
        <w:t>提供担保。</w:t>
      </w:r>
    </w:p>
    <w:p>
      <w:pPr>
        <w:spacing w:line="307" w:lineRule="auto" w:before="48"/>
        <w:ind w:left="138" w:right="128" w:firstLine="45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2</w:t>
      </w:r>
      <w:r>
        <w:rPr>
          <w:rFonts w:ascii="Microsoft JhengHei" w:hAnsi="Microsoft JhengHei" w:cs="Microsoft JhengHei" w:eastAsia="Microsoft JhengHei" w:hint="default"/>
          <w:b/>
          <w:bCs/>
          <w:sz w:val="22"/>
          <w:szCs w:val="22"/>
        </w:rPr>
        <w:t>．</w:t>
      </w:r>
      <w:r>
        <w:rPr>
          <w:rFonts w:ascii="Microsoft JhengHei" w:hAnsi="Microsoft JhengHei" w:cs="Microsoft JhengHei" w:eastAsia="Microsoft JhengHei" w:hint="default"/>
          <w:b/>
          <w:bCs/>
          <w:spacing w:val="12"/>
          <w:sz w:val="22"/>
          <w:szCs w:val="22"/>
        </w:rPr>
        <w:t> </w:t>
      </w:r>
      <w:r>
        <w:rPr>
          <w:rFonts w:ascii="楷体" w:hAnsi="楷体" w:cs="楷体" w:eastAsia="楷体" w:hint="default"/>
          <w:sz w:val="22"/>
          <w:szCs w:val="22"/>
        </w:rPr>
        <w:t>泰豪科技股份有限公司第三届董事会第二十九次临时会议通过了其为江西汇仁药业有</w:t>
      </w:r>
      <w:r>
        <w:rPr>
          <w:rFonts w:ascii="楷体" w:hAnsi="楷体" w:cs="楷体" w:eastAsia="楷体" w:hint="default"/>
          <w:w w:val="99"/>
          <w:sz w:val="22"/>
          <w:szCs w:val="22"/>
        </w:rPr>
        <w:t> </w:t>
      </w:r>
      <w:r>
        <w:rPr>
          <w:rFonts w:ascii="楷体" w:hAnsi="楷体" w:cs="楷体" w:eastAsia="楷体" w:hint="default"/>
          <w:spacing w:val="-1"/>
          <w:sz w:val="22"/>
          <w:szCs w:val="22"/>
        </w:rPr>
        <w:t>限公司提供担保的议案，江西汇仁集团医药科研营销有限公司提供反担保。本年泰豪科技股份有</w:t>
      </w:r>
      <w:r>
        <w:rPr>
          <w:rFonts w:ascii="楷体" w:hAnsi="楷体" w:cs="楷体" w:eastAsia="楷体" w:hint="default"/>
          <w:w w:val="99"/>
          <w:sz w:val="22"/>
          <w:szCs w:val="22"/>
        </w:rPr>
        <w:t> </w:t>
      </w:r>
      <w:r>
        <w:rPr>
          <w:rFonts w:ascii="楷体" w:hAnsi="楷体" w:cs="楷体" w:eastAsia="楷体" w:hint="default"/>
          <w:sz w:val="22"/>
          <w:szCs w:val="22"/>
        </w:rPr>
        <w:t>限公司为江西汇仁药业有限公司贷款</w:t>
      </w:r>
      <w:r>
        <w:rPr>
          <w:rFonts w:ascii="Times New Roman" w:hAnsi="Times New Roman" w:cs="Times New Roman" w:eastAsia="Times New Roman" w:hint="default"/>
          <w:sz w:val="22"/>
          <w:szCs w:val="22"/>
        </w:rPr>
        <w:t>3500</w:t>
      </w:r>
      <w:r>
        <w:rPr>
          <w:rFonts w:ascii="楷体" w:hAnsi="楷体" w:cs="楷体" w:eastAsia="楷体" w:hint="default"/>
          <w:sz w:val="22"/>
          <w:szCs w:val="22"/>
        </w:rPr>
        <w:t>万元提供担保。</w:t>
      </w:r>
    </w:p>
    <w:p>
      <w:pPr>
        <w:spacing w:line="297" w:lineRule="auto" w:before="25"/>
        <w:ind w:left="138" w:right="130" w:firstLine="453"/>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3</w:t>
      </w:r>
      <w:r>
        <w:rPr>
          <w:rFonts w:ascii="Microsoft JhengHei" w:hAnsi="Microsoft JhengHei" w:cs="Microsoft JhengHei" w:eastAsia="Microsoft JhengHei" w:hint="default"/>
          <w:b/>
          <w:bCs/>
          <w:sz w:val="22"/>
          <w:szCs w:val="22"/>
        </w:rPr>
        <w:t>．</w:t>
      </w:r>
      <w:r>
        <w:rPr>
          <w:rFonts w:ascii="Microsoft JhengHei" w:hAnsi="Microsoft JhengHei" w:cs="Microsoft JhengHei" w:eastAsia="Microsoft JhengHei" w:hint="default"/>
          <w:b/>
          <w:bCs/>
          <w:spacing w:val="11"/>
          <w:sz w:val="22"/>
          <w:szCs w:val="22"/>
        </w:rPr>
        <w:t> </w:t>
      </w:r>
      <w:r>
        <w:rPr>
          <w:rFonts w:ascii="楷体" w:hAnsi="楷体" w:cs="楷体" w:eastAsia="楷体" w:hint="default"/>
          <w:sz w:val="22"/>
          <w:szCs w:val="22"/>
        </w:rPr>
        <w:t>泰豪科技股份有限公司</w:t>
      </w:r>
      <w:r>
        <w:rPr>
          <w:rFonts w:ascii="Times New Roman" w:hAnsi="Times New Roman" w:cs="Times New Roman" w:eastAsia="Times New Roman" w:hint="default"/>
          <w:sz w:val="22"/>
          <w:szCs w:val="22"/>
        </w:rPr>
        <w:t>2008</w:t>
      </w:r>
      <w:r>
        <w:rPr>
          <w:rFonts w:ascii="楷体" w:hAnsi="楷体" w:cs="楷体" w:eastAsia="楷体" w:hint="default"/>
          <w:sz w:val="22"/>
          <w:szCs w:val="22"/>
        </w:rPr>
        <w:t>年第一次临时股东大会决议通过了其为江西特种电机股份</w:t>
      </w:r>
      <w:r>
        <w:rPr>
          <w:rFonts w:ascii="楷体" w:hAnsi="楷体" w:cs="楷体" w:eastAsia="楷体" w:hint="default"/>
          <w:w w:val="99"/>
          <w:sz w:val="22"/>
          <w:szCs w:val="22"/>
        </w:rPr>
        <w:t> </w:t>
      </w:r>
      <w:r>
        <w:rPr>
          <w:rFonts w:ascii="楷体" w:hAnsi="楷体" w:cs="楷体" w:eastAsia="楷体" w:hint="default"/>
          <w:spacing w:val="-1"/>
          <w:sz w:val="22"/>
          <w:szCs w:val="22"/>
        </w:rPr>
        <w:t>有限公司提供担保的议案，最高额度不超过</w:t>
      </w:r>
      <w:r>
        <w:rPr>
          <w:rFonts w:ascii="Times New Roman" w:hAnsi="Times New Roman" w:cs="Times New Roman" w:eastAsia="Times New Roman" w:hint="default"/>
          <w:spacing w:val="-1"/>
          <w:sz w:val="22"/>
          <w:szCs w:val="22"/>
        </w:rPr>
        <w:t>8000</w:t>
      </w:r>
      <w:r>
        <w:rPr>
          <w:rFonts w:ascii="楷体" w:hAnsi="楷体" w:cs="楷体" w:eastAsia="楷体" w:hint="default"/>
          <w:spacing w:val="-1"/>
          <w:sz w:val="22"/>
          <w:szCs w:val="22"/>
        </w:rPr>
        <w:t>万元，期限三年，江西特种电机股份有限公司提</w:t>
      </w:r>
      <w:r>
        <w:rPr>
          <w:rFonts w:ascii="楷体" w:hAnsi="楷体" w:cs="楷体" w:eastAsia="楷体" w:hint="default"/>
          <w:w w:val="99"/>
          <w:sz w:val="22"/>
          <w:szCs w:val="22"/>
        </w:rPr>
        <w:t> </w:t>
      </w:r>
      <w:r>
        <w:rPr>
          <w:rFonts w:ascii="楷体" w:hAnsi="楷体" w:cs="楷体" w:eastAsia="楷体" w:hint="default"/>
          <w:sz w:val="22"/>
          <w:szCs w:val="22"/>
        </w:rPr>
        <w:t>供反担保。本年泰豪科技股份有限公司为江西特种电机股份有限公司贷款</w:t>
      </w:r>
      <w:r>
        <w:rPr>
          <w:rFonts w:ascii="Times New Roman" w:hAnsi="Times New Roman" w:cs="Times New Roman" w:eastAsia="Times New Roman" w:hint="default"/>
          <w:sz w:val="22"/>
          <w:szCs w:val="22"/>
        </w:rPr>
        <w:t>2000</w:t>
      </w:r>
      <w:r>
        <w:rPr>
          <w:rFonts w:ascii="楷体" w:hAnsi="楷体" w:cs="楷体" w:eastAsia="楷体" w:hint="default"/>
          <w:sz w:val="22"/>
          <w:szCs w:val="22"/>
        </w:rPr>
        <w:t>万元提供担保。</w:t>
      </w:r>
    </w:p>
    <w:p>
      <w:pPr>
        <w:spacing w:before="35"/>
        <w:ind w:left="592" w:right="0"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4</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12"/>
          <w:sz w:val="22"/>
          <w:szCs w:val="22"/>
        </w:rPr>
        <w:t> </w:t>
      </w:r>
      <w:r>
        <w:rPr>
          <w:rFonts w:ascii="楷体" w:hAnsi="楷体" w:cs="楷体" w:eastAsia="楷体" w:hint="default"/>
          <w:sz w:val="22"/>
          <w:szCs w:val="22"/>
        </w:rPr>
        <w:t>泰豪科技股份有限公司以保证方式为泰豪集团有限公司所属泰豪软件股份有限公司的</w:t>
      </w:r>
    </w:p>
    <w:p>
      <w:pPr>
        <w:spacing w:line="369" w:lineRule="auto" w:before="77"/>
        <w:ind w:left="579" w:right="525" w:hanging="441"/>
        <w:jc w:val="left"/>
        <w:rPr>
          <w:rFonts w:ascii="楷体" w:hAnsi="楷体" w:cs="楷体" w:eastAsia="楷体" w:hint="default"/>
          <w:sz w:val="22"/>
          <w:szCs w:val="22"/>
        </w:rPr>
      </w:pPr>
      <w:r>
        <w:rPr>
          <w:rFonts w:ascii="Times New Roman" w:hAnsi="Times New Roman" w:cs="Times New Roman" w:eastAsia="Times New Roman" w:hint="default"/>
          <w:sz w:val="22"/>
          <w:szCs w:val="22"/>
        </w:rPr>
        <w:t>3900</w:t>
      </w:r>
      <w:r>
        <w:rPr>
          <w:rFonts w:ascii="楷体" w:hAnsi="楷体" w:cs="楷体" w:eastAsia="楷体" w:hint="default"/>
          <w:sz w:val="22"/>
          <w:szCs w:val="22"/>
        </w:rPr>
        <w:t>万元借款及银行承兑汇票</w:t>
      </w:r>
      <w:r>
        <w:rPr>
          <w:rFonts w:ascii="Times New Roman" w:hAnsi="Times New Roman" w:cs="Times New Roman" w:eastAsia="Times New Roman" w:hint="default"/>
          <w:sz w:val="22"/>
          <w:szCs w:val="22"/>
        </w:rPr>
        <w:t>469</w:t>
      </w:r>
      <w:r>
        <w:rPr>
          <w:rFonts w:ascii="楷体" w:hAnsi="楷体" w:cs="楷体" w:eastAsia="楷体" w:hint="default"/>
          <w:sz w:val="22"/>
          <w:szCs w:val="22"/>
        </w:rPr>
        <w:t>万元提供连带责任担保。</w:t>
      </w:r>
      <w:r>
        <w:rPr>
          <w:rFonts w:ascii="楷体" w:hAnsi="楷体" w:cs="楷体" w:eastAsia="楷体" w:hint="default"/>
          <w:w w:val="99"/>
          <w:sz w:val="22"/>
          <w:szCs w:val="22"/>
        </w:rPr>
        <w:t> </w:t>
      </w:r>
      <w:r>
        <w:rPr>
          <w:rFonts w:ascii="楷体" w:hAnsi="楷体" w:cs="楷体" w:eastAsia="楷体" w:hint="default"/>
          <w:sz w:val="22"/>
          <w:szCs w:val="22"/>
        </w:rPr>
        <w:t>除存在上述或有事项外，截至</w:t>
      </w:r>
      <w:r>
        <w:rPr>
          <w:rFonts w:ascii="Times New Roman" w:hAnsi="Times New Roman" w:cs="Times New Roman" w:eastAsia="Times New Roman" w:hint="default"/>
          <w:sz w:val="22"/>
          <w:szCs w:val="22"/>
        </w:rPr>
        <w:t>2008</w:t>
      </w:r>
      <w:r>
        <w:rPr>
          <w:rFonts w:ascii="楷体" w:hAnsi="楷体" w:cs="楷体" w:eastAsia="楷体" w:hint="default"/>
          <w:sz w:val="22"/>
          <w:szCs w:val="22"/>
        </w:rPr>
        <w:t>年</w:t>
      </w:r>
      <w:r>
        <w:rPr>
          <w:rFonts w:ascii="Times New Roman" w:hAnsi="Times New Roman" w:cs="Times New Roman" w:eastAsia="Times New Roman" w:hint="default"/>
          <w:sz w:val="22"/>
          <w:szCs w:val="22"/>
        </w:rPr>
        <w:t>12</w:t>
      </w:r>
      <w:r>
        <w:rPr>
          <w:rFonts w:ascii="楷体" w:hAnsi="楷体" w:cs="楷体" w:eastAsia="楷体" w:hint="default"/>
          <w:sz w:val="22"/>
          <w:szCs w:val="22"/>
        </w:rPr>
        <w:t>月</w:t>
      </w:r>
      <w:r>
        <w:rPr>
          <w:rFonts w:ascii="Times New Roman" w:hAnsi="Times New Roman" w:cs="Times New Roman" w:eastAsia="Times New Roman" w:hint="default"/>
          <w:sz w:val="22"/>
          <w:szCs w:val="22"/>
        </w:rPr>
        <w:t>31</w:t>
      </w:r>
      <w:r>
        <w:rPr>
          <w:rFonts w:ascii="楷体" w:hAnsi="楷体" w:cs="楷体" w:eastAsia="楷体" w:hint="default"/>
          <w:sz w:val="22"/>
          <w:szCs w:val="22"/>
        </w:rPr>
        <w:t>日，本公司无其他需披露的重大或有事项。</w:t>
      </w:r>
    </w:p>
    <w:p>
      <w:pPr>
        <w:pStyle w:val="Heading3"/>
        <w:spacing w:line="357" w:lineRule="exact"/>
        <w:ind w:left="620" w:right="6555"/>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十三、 承诺事项</w:t>
      </w:r>
      <w:r>
        <w:rPr>
          <w:rFonts w:ascii="Microsoft JhengHei" w:hAnsi="Microsoft JhengHei" w:cs="Microsoft JhengHei" w:eastAsia="Microsoft JhengHei" w:hint="default"/>
          <w:b w:val="0"/>
          <w:bCs w:val="0"/>
        </w:rPr>
      </w:r>
    </w:p>
    <w:p>
      <w:pPr>
        <w:spacing w:line="309" w:lineRule="auto" w:before="142"/>
        <w:ind w:left="578" w:right="2726" w:firstLine="0"/>
        <w:jc w:val="left"/>
        <w:rPr>
          <w:rFonts w:ascii="楷体" w:hAnsi="楷体" w:cs="楷体" w:eastAsia="楷体" w:hint="default"/>
          <w:sz w:val="22"/>
          <w:szCs w:val="22"/>
        </w:rPr>
      </w:pPr>
      <w:r>
        <w:rPr>
          <w:rFonts w:ascii="楷体" w:hAnsi="楷体" w:cs="楷体" w:eastAsia="楷体" w:hint="default"/>
          <w:sz w:val="22"/>
          <w:szCs w:val="22"/>
        </w:rPr>
        <w:t>截至</w:t>
      </w:r>
      <w:r>
        <w:rPr>
          <w:rFonts w:ascii="Times New Roman" w:hAnsi="Times New Roman" w:cs="Times New Roman" w:eastAsia="Times New Roman" w:hint="default"/>
          <w:sz w:val="22"/>
          <w:szCs w:val="22"/>
        </w:rPr>
        <w:t>2008</w:t>
      </w:r>
      <w:r>
        <w:rPr>
          <w:rFonts w:ascii="楷体" w:hAnsi="楷体" w:cs="楷体" w:eastAsia="楷体" w:hint="default"/>
          <w:sz w:val="22"/>
          <w:szCs w:val="22"/>
        </w:rPr>
        <w:t>年</w:t>
      </w:r>
      <w:r>
        <w:rPr>
          <w:rFonts w:ascii="Times New Roman" w:hAnsi="Times New Roman" w:cs="Times New Roman" w:eastAsia="Times New Roman" w:hint="default"/>
          <w:sz w:val="22"/>
          <w:szCs w:val="22"/>
        </w:rPr>
        <w:t>12</w:t>
      </w:r>
      <w:r>
        <w:rPr>
          <w:rFonts w:ascii="楷体" w:hAnsi="楷体" w:cs="楷体" w:eastAsia="楷体" w:hint="default"/>
          <w:sz w:val="22"/>
          <w:szCs w:val="22"/>
        </w:rPr>
        <w:t>月</w:t>
      </w:r>
      <w:r>
        <w:rPr>
          <w:rFonts w:ascii="Times New Roman" w:hAnsi="Times New Roman" w:cs="Times New Roman" w:eastAsia="Times New Roman" w:hint="default"/>
          <w:sz w:val="22"/>
          <w:szCs w:val="22"/>
        </w:rPr>
        <w:t>31</w:t>
      </w:r>
      <w:r>
        <w:rPr>
          <w:rFonts w:ascii="楷体" w:hAnsi="楷体" w:cs="楷体" w:eastAsia="楷体" w:hint="default"/>
          <w:sz w:val="22"/>
          <w:szCs w:val="22"/>
        </w:rPr>
        <w:t>日，本公司无需披露的重大承诺事项。</w:t>
      </w:r>
      <w:r>
        <w:rPr>
          <w:rFonts w:ascii="楷体" w:hAnsi="楷体" w:cs="楷体" w:eastAsia="楷体" w:hint="default"/>
          <w:w w:val="99"/>
          <w:sz w:val="22"/>
          <w:szCs w:val="22"/>
        </w:rPr>
        <w:t> </w:t>
      </w:r>
      <w:r>
        <w:rPr>
          <w:rFonts w:ascii="Microsoft JhengHei" w:hAnsi="Microsoft JhengHei" w:cs="Microsoft JhengHei" w:eastAsia="Microsoft JhengHei" w:hint="default"/>
          <w:b/>
          <w:bCs/>
          <w:sz w:val="24"/>
          <w:szCs w:val="24"/>
        </w:rPr>
        <w:t>十四、 资产负债表日后事项</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楷体" w:hAnsi="楷体" w:cs="楷体" w:eastAsia="楷体" w:hint="default"/>
          <w:sz w:val="22"/>
          <w:szCs w:val="22"/>
        </w:rPr>
        <w:t>截至报告完成日，本公司无需披露的重大资产负债表日后事项。</w:t>
      </w:r>
    </w:p>
    <w:p>
      <w:pPr>
        <w:spacing w:after="0" w:line="309" w:lineRule="auto"/>
        <w:jc w:val="left"/>
        <w:rPr>
          <w:rFonts w:ascii="楷体" w:hAnsi="楷体" w:cs="楷体" w:eastAsia="楷体" w:hint="default"/>
          <w:sz w:val="22"/>
          <w:szCs w:val="22"/>
        </w:rPr>
        <w:sectPr>
          <w:headerReference w:type="default" r:id="rId48"/>
          <w:pgSz w:w="11910" w:h="16840"/>
          <w:pgMar w:header="610" w:footer="784" w:top="1080" w:bottom="980" w:left="1280" w:right="1140"/>
        </w:sect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24"/>
          <w:szCs w:val="24"/>
        </w:rPr>
      </w:pPr>
    </w:p>
    <w:p>
      <w:pPr>
        <w:pStyle w:val="Heading3"/>
        <w:spacing w:line="367" w:lineRule="exact"/>
        <w:ind w:left="620" w:right="213"/>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十五、</w:t>
      </w:r>
      <w:r>
        <w:rPr>
          <w:rFonts w:ascii="Microsoft JhengHei" w:hAnsi="Microsoft JhengHei" w:cs="Microsoft JhengHei" w:eastAsia="Microsoft JhengHei" w:hint="default"/>
          <w:spacing w:val="-3"/>
        </w:rPr>
        <w:t> </w:t>
      </w:r>
      <w:r>
        <w:rPr>
          <w:rFonts w:ascii="Microsoft JhengHei" w:hAnsi="Microsoft JhengHei" w:cs="Microsoft JhengHei" w:eastAsia="Microsoft JhengHei" w:hint="default"/>
        </w:rPr>
        <w:t>其他重要事项</w:t>
      </w:r>
      <w:r>
        <w:rPr>
          <w:rFonts w:ascii="Microsoft JhengHei" w:hAnsi="Microsoft JhengHei" w:cs="Microsoft JhengHei" w:eastAsia="Microsoft JhengHei" w:hint="default"/>
          <w:b w:val="0"/>
          <w:bCs w:val="0"/>
        </w:rPr>
      </w:r>
    </w:p>
    <w:p>
      <w:pPr>
        <w:spacing w:line="307" w:lineRule="auto" w:before="141"/>
        <w:ind w:left="138" w:right="215" w:firstLine="440"/>
        <w:jc w:val="left"/>
        <w:rPr>
          <w:rFonts w:ascii="楷体" w:hAnsi="楷体" w:cs="楷体" w:eastAsia="楷体" w:hint="default"/>
          <w:sz w:val="22"/>
          <w:szCs w:val="22"/>
        </w:rPr>
      </w:pPr>
      <w:r>
        <w:rPr>
          <w:rFonts w:ascii="楷体" w:hAnsi="楷体" w:cs="楷体" w:eastAsia="楷体" w:hint="default"/>
          <w:spacing w:val="2"/>
          <w:sz w:val="22"/>
          <w:szCs w:val="22"/>
        </w:rPr>
        <w:t>清芯光电有限公司（以下简称</w:t>
      </w:r>
      <w:r>
        <w:rPr>
          <w:rFonts w:ascii="宋体" w:hAnsi="宋体" w:cs="宋体" w:eastAsia="宋体" w:hint="default"/>
          <w:spacing w:val="2"/>
          <w:sz w:val="22"/>
          <w:szCs w:val="22"/>
        </w:rPr>
        <w:t>“</w:t>
      </w:r>
      <w:r>
        <w:rPr>
          <w:rFonts w:ascii="楷体" w:hAnsi="楷体" w:cs="楷体" w:eastAsia="楷体" w:hint="default"/>
          <w:spacing w:val="2"/>
          <w:sz w:val="22"/>
          <w:szCs w:val="22"/>
        </w:rPr>
        <w:t>清芯公司</w:t>
      </w:r>
      <w:r>
        <w:rPr>
          <w:rFonts w:ascii="宋体" w:hAnsi="宋体" w:cs="宋体" w:eastAsia="宋体" w:hint="default"/>
          <w:spacing w:val="2"/>
          <w:sz w:val="22"/>
          <w:szCs w:val="22"/>
        </w:rPr>
        <w:t>”</w:t>
      </w:r>
      <w:r>
        <w:rPr>
          <w:rFonts w:ascii="楷体" w:hAnsi="楷体" w:cs="楷体" w:eastAsia="楷体" w:hint="default"/>
          <w:spacing w:val="2"/>
          <w:sz w:val="22"/>
          <w:szCs w:val="22"/>
        </w:rPr>
        <w:t>）系本公司持股</w:t>
      </w:r>
      <w:r>
        <w:rPr>
          <w:rFonts w:ascii="楷体" w:hAnsi="楷体" w:cs="楷体" w:eastAsia="楷体" w:hint="default"/>
          <w:spacing w:val="8"/>
          <w:sz w:val="22"/>
          <w:szCs w:val="22"/>
        </w:rPr>
        <w:t> </w:t>
      </w:r>
      <w:r>
        <w:rPr>
          <w:rFonts w:ascii="Times New Roman" w:hAnsi="Times New Roman" w:cs="Times New Roman" w:eastAsia="Times New Roman" w:hint="default"/>
          <w:spacing w:val="2"/>
          <w:sz w:val="22"/>
          <w:szCs w:val="22"/>
        </w:rPr>
        <w:t>55%</w:t>
      </w:r>
      <w:r>
        <w:rPr>
          <w:rFonts w:ascii="楷体" w:hAnsi="楷体" w:cs="楷体" w:eastAsia="楷体" w:hint="default"/>
          <w:spacing w:val="2"/>
          <w:sz w:val="22"/>
          <w:szCs w:val="22"/>
        </w:rPr>
        <w:t>的控股子公司，注册资本</w:t>
      </w:r>
      <w:r>
        <w:rPr>
          <w:rFonts w:ascii="楷体" w:hAnsi="楷体" w:cs="楷体" w:eastAsia="楷体" w:hint="default"/>
          <w:spacing w:val="3"/>
          <w:w w:val="99"/>
          <w:sz w:val="22"/>
          <w:szCs w:val="22"/>
        </w:rPr>
        <w:t> </w:t>
      </w:r>
      <w:r>
        <w:rPr>
          <w:rFonts w:ascii="Times New Roman" w:hAnsi="Times New Roman" w:cs="Times New Roman" w:eastAsia="Times New Roman" w:hint="default"/>
          <w:sz w:val="22"/>
          <w:szCs w:val="22"/>
        </w:rPr>
        <w:t>1000</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万美元，负责本公司光电产业中的高亮度</w:t>
      </w:r>
      <w:r>
        <w:rPr>
          <w:rFonts w:ascii="楷体" w:hAnsi="楷体" w:cs="楷体" w:eastAsia="楷体" w:hint="default"/>
          <w:spacing w:val="-64"/>
          <w:sz w:val="22"/>
          <w:szCs w:val="22"/>
        </w:rPr>
        <w:t> </w:t>
      </w:r>
      <w:r>
        <w:rPr>
          <w:rFonts w:ascii="Times New Roman" w:hAnsi="Times New Roman" w:cs="Times New Roman" w:eastAsia="Times New Roman" w:hint="default"/>
          <w:sz w:val="22"/>
          <w:szCs w:val="22"/>
        </w:rPr>
        <w:t>LED</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外延片与芯片的部分生产研发工作。</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0"/>
          <w:sz w:val="22"/>
          <w:szCs w:val="22"/>
        </w:rPr>
        <w:t> </w:t>
      </w:r>
      <w:r>
        <w:rPr>
          <w:rFonts w:ascii="楷体" w:hAnsi="楷体" w:cs="楷体" w:eastAsia="楷体" w:hint="default"/>
          <w:sz w:val="22"/>
          <w:szCs w:val="22"/>
        </w:rPr>
        <w:t>年</w:t>
      </w:r>
    </w:p>
    <w:p>
      <w:pPr>
        <w:spacing w:before="17"/>
        <w:ind w:left="138" w:right="86" w:firstLine="0"/>
        <w:jc w:val="left"/>
        <w:rPr>
          <w:rFonts w:ascii="楷体" w:hAnsi="楷体" w:cs="楷体" w:eastAsia="楷体" w:hint="default"/>
          <w:sz w:val="22"/>
          <w:szCs w:val="22"/>
        </w:rPr>
      </w:pP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6"/>
          <w:sz w:val="22"/>
          <w:szCs w:val="22"/>
        </w:rPr>
        <w:t> </w:t>
      </w:r>
      <w:r>
        <w:rPr>
          <w:rFonts w:ascii="楷体" w:hAnsi="楷体" w:cs="楷体" w:eastAsia="楷体" w:hint="default"/>
          <w:sz w:val="22"/>
          <w:szCs w:val="22"/>
        </w:rPr>
        <w:t>月</w:t>
      </w:r>
      <w:r>
        <w:rPr>
          <w:rFonts w:ascii="楷体" w:hAnsi="楷体" w:cs="楷体" w:eastAsia="楷体" w:hint="default"/>
          <w:spacing w:val="-49"/>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5"/>
          <w:sz w:val="22"/>
          <w:szCs w:val="22"/>
        </w:rPr>
        <w:t> </w:t>
      </w:r>
      <w:r>
        <w:rPr>
          <w:rFonts w:ascii="楷体" w:hAnsi="楷体" w:cs="楷体" w:eastAsia="楷体" w:hint="default"/>
          <w:spacing w:val="-3"/>
          <w:sz w:val="22"/>
          <w:szCs w:val="22"/>
        </w:rPr>
        <w:t>日，清芯公司召开第一届董事会第六次会议，审议通过了公司对其增资的方案以及在顺义</w:t>
      </w:r>
    </w:p>
    <w:p>
      <w:pPr>
        <w:spacing w:before="85"/>
        <w:ind w:left="138" w:right="86" w:firstLine="0"/>
        <w:jc w:val="left"/>
        <w:rPr>
          <w:rFonts w:ascii="楷体" w:hAnsi="楷体" w:cs="楷体" w:eastAsia="楷体" w:hint="default"/>
          <w:sz w:val="22"/>
          <w:szCs w:val="22"/>
        </w:rPr>
      </w:pPr>
      <w:r>
        <w:rPr>
          <w:rFonts w:ascii="楷体" w:hAnsi="楷体" w:cs="楷体" w:eastAsia="楷体" w:hint="default"/>
          <w:sz w:val="22"/>
          <w:szCs w:val="22"/>
        </w:rPr>
        <w:t>天竺设立子公司的议案。在此基础上，本公司于</w:t>
      </w:r>
      <w:r>
        <w:rPr>
          <w:rFonts w:ascii="楷体" w:hAnsi="楷体" w:cs="楷体" w:eastAsia="楷体" w:hint="default"/>
          <w:spacing w:val="-62"/>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年</w:t>
      </w:r>
      <w:r>
        <w:rPr>
          <w:rFonts w:ascii="楷体" w:hAnsi="楷体" w:cs="楷体" w:eastAsia="楷体" w:hint="default"/>
          <w:spacing w:val="-63"/>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月</w:t>
      </w:r>
      <w:r>
        <w:rPr>
          <w:rFonts w:ascii="楷体" w:hAnsi="楷体" w:cs="楷体" w:eastAsia="楷体" w:hint="default"/>
          <w:spacing w:val="-62"/>
          <w:sz w:val="22"/>
          <w:szCs w:val="22"/>
        </w:rPr>
        <w:t> </w:t>
      </w:r>
      <w:r>
        <w:rPr>
          <w:rFonts w:ascii="Times New Roman" w:hAnsi="Times New Roman" w:cs="Times New Roman" w:eastAsia="Times New Roman" w:hint="default"/>
          <w:sz w:val="22"/>
          <w:szCs w:val="22"/>
        </w:rPr>
        <w:t>27</w:t>
      </w:r>
      <w:r>
        <w:rPr>
          <w:rFonts w:ascii="Times New Roman" w:hAnsi="Times New Roman" w:cs="Times New Roman" w:eastAsia="Times New Roman" w:hint="default"/>
          <w:spacing w:val="-8"/>
          <w:sz w:val="22"/>
          <w:szCs w:val="22"/>
        </w:rPr>
        <w:t> </w:t>
      </w:r>
      <w:r>
        <w:rPr>
          <w:rFonts w:ascii="楷体" w:hAnsi="楷体" w:cs="楷体" w:eastAsia="楷体" w:hint="default"/>
          <w:sz w:val="22"/>
          <w:szCs w:val="22"/>
        </w:rPr>
        <w:t>日召开第四届董事会第十三次会</w:t>
      </w:r>
    </w:p>
    <w:p>
      <w:pPr>
        <w:spacing w:before="85"/>
        <w:ind w:left="138" w:right="86" w:firstLine="0"/>
        <w:jc w:val="left"/>
        <w:rPr>
          <w:rFonts w:ascii="Times New Roman" w:hAnsi="Times New Roman" w:cs="Times New Roman" w:eastAsia="Times New Roman" w:hint="default"/>
          <w:sz w:val="22"/>
          <w:szCs w:val="22"/>
        </w:rPr>
      </w:pPr>
      <w:r>
        <w:rPr>
          <w:rFonts w:ascii="楷体" w:hAnsi="楷体" w:cs="楷体" w:eastAsia="楷体" w:hint="default"/>
          <w:sz w:val="22"/>
          <w:szCs w:val="22"/>
        </w:rPr>
        <w:t>议，审议通过了《关于增资清芯光电有限公司的议案》的议案，同意本公司向清芯公司增资</w:t>
      </w:r>
      <w:r>
        <w:rPr>
          <w:rFonts w:ascii="楷体" w:hAnsi="楷体" w:cs="楷体" w:eastAsia="楷体" w:hint="default"/>
          <w:spacing w:val="-40"/>
          <w:sz w:val="22"/>
          <w:szCs w:val="22"/>
        </w:rPr>
        <w:t> </w:t>
      </w:r>
      <w:r>
        <w:rPr>
          <w:rFonts w:ascii="Times New Roman" w:hAnsi="Times New Roman" w:cs="Times New Roman" w:eastAsia="Times New Roman" w:hint="default"/>
          <w:sz w:val="22"/>
          <w:szCs w:val="22"/>
        </w:rPr>
        <w:t>750</w:t>
      </w:r>
    </w:p>
    <w:p>
      <w:pPr>
        <w:spacing w:line="312" w:lineRule="auto" w:before="85"/>
        <w:ind w:left="138" w:right="86" w:firstLine="0"/>
        <w:jc w:val="left"/>
        <w:rPr>
          <w:rFonts w:ascii="楷体" w:hAnsi="楷体" w:cs="楷体" w:eastAsia="楷体" w:hint="default"/>
          <w:sz w:val="22"/>
          <w:szCs w:val="22"/>
        </w:rPr>
      </w:pPr>
      <w:r>
        <w:rPr>
          <w:rFonts w:ascii="楷体" w:hAnsi="楷体" w:cs="楷体" w:eastAsia="楷体" w:hint="default"/>
          <w:sz w:val="22"/>
          <w:szCs w:val="22"/>
        </w:rPr>
        <w:t>万美元并授予清芯公司技术团队期权股的方案，增资完成后，清芯公司的注册资本将由 </w:t>
      </w:r>
      <w:r>
        <w:rPr>
          <w:rFonts w:ascii="Times New Roman" w:hAnsi="Times New Roman" w:cs="Times New Roman" w:eastAsia="Times New Roman" w:hint="default"/>
          <w:sz w:val="22"/>
          <w:szCs w:val="22"/>
        </w:rPr>
        <w:t>1000</w:t>
      </w:r>
      <w:r>
        <w:rPr>
          <w:rFonts w:ascii="Times New Roman" w:hAnsi="Times New Roman" w:cs="Times New Roman" w:eastAsia="Times New Roman" w:hint="default"/>
          <w:spacing w:val="14"/>
          <w:sz w:val="22"/>
          <w:szCs w:val="22"/>
        </w:rPr>
        <w:t> </w:t>
      </w:r>
      <w:r>
        <w:rPr>
          <w:rFonts w:ascii="楷体" w:hAnsi="楷体" w:cs="楷体" w:eastAsia="楷体" w:hint="default"/>
          <w:sz w:val="22"/>
          <w:szCs w:val="22"/>
        </w:rPr>
        <w:t>万</w:t>
      </w:r>
      <w:r>
        <w:rPr>
          <w:rFonts w:ascii="楷体" w:hAnsi="楷体" w:cs="楷体" w:eastAsia="楷体" w:hint="default"/>
          <w:w w:val="99"/>
          <w:sz w:val="22"/>
          <w:szCs w:val="22"/>
        </w:rPr>
        <w:t> </w:t>
      </w:r>
      <w:r>
        <w:rPr>
          <w:rFonts w:ascii="楷体" w:hAnsi="楷体" w:cs="楷体" w:eastAsia="楷体" w:hint="default"/>
          <w:sz w:val="22"/>
          <w:szCs w:val="22"/>
        </w:rPr>
        <w:t>美元增至</w:t>
      </w:r>
      <w:r>
        <w:rPr>
          <w:rFonts w:ascii="楷体" w:hAnsi="楷体" w:cs="楷体" w:eastAsia="楷体" w:hint="default"/>
          <w:spacing w:val="-58"/>
          <w:sz w:val="22"/>
          <w:szCs w:val="22"/>
        </w:rPr>
        <w:t> </w:t>
      </w:r>
      <w:r>
        <w:rPr>
          <w:rFonts w:ascii="Times New Roman" w:hAnsi="Times New Roman" w:cs="Times New Roman" w:eastAsia="Times New Roman" w:hint="default"/>
          <w:sz w:val="22"/>
          <w:szCs w:val="22"/>
        </w:rPr>
        <w:t>1750</w:t>
      </w:r>
      <w:r>
        <w:rPr>
          <w:rFonts w:ascii="Times New Roman" w:hAnsi="Times New Roman" w:cs="Times New Roman" w:eastAsia="Times New Roman" w:hint="default"/>
          <w:spacing w:val="-5"/>
          <w:sz w:val="22"/>
          <w:szCs w:val="22"/>
        </w:rPr>
        <w:t> </w:t>
      </w:r>
      <w:r>
        <w:rPr>
          <w:rFonts w:ascii="楷体" w:hAnsi="楷体" w:cs="楷体" w:eastAsia="楷体" w:hint="default"/>
          <w:sz w:val="22"/>
          <w:szCs w:val="22"/>
        </w:rPr>
        <w:t>万美元，本公司对清芯公司的持股比例将由</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55%</w:t>
      </w:r>
      <w:r>
        <w:rPr>
          <w:rFonts w:ascii="楷体" w:hAnsi="楷体" w:cs="楷体" w:eastAsia="楷体" w:hint="default"/>
          <w:sz w:val="22"/>
          <w:szCs w:val="22"/>
        </w:rPr>
        <w:t>增至</w:t>
      </w:r>
      <w:r>
        <w:rPr>
          <w:rFonts w:ascii="楷体" w:hAnsi="楷体" w:cs="楷体" w:eastAsia="楷体" w:hint="default"/>
          <w:spacing w:val="-59"/>
          <w:sz w:val="22"/>
          <w:szCs w:val="22"/>
        </w:rPr>
        <w:t> </w:t>
      </w:r>
      <w:r>
        <w:rPr>
          <w:rFonts w:ascii="Times New Roman" w:hAnsi="Times New Roman" w:cs="Times New Roman" w:eastAsia="Times New Roman" w:hint="default"/>
          <w:sz w:val="22"/>
          <w:szCs w:val="22"/>
        </w:rPr>
        <w:t>60%</w:t>
      </w:r>
      <w:r>
        <w:rPr>
          <w:rFonts w:ascii="楷体" w:hAnsi="楷体" w:cs="楷体" w:eastAsia="楷体" w:hint="default"/>
          <w:sz w:val="22"/>
          <w:szCs w:val="22"/>
        </w:rPr>
        <w:t>。韩方股东</w:t>
      </w:r>
      <w:r>
        <w:rPr>
          <w:rFonts w:ascii="楷体" w:hAnsi="楷体" w:cs="楷体" w:eastAsia="楷体" w:hint="default"/>
          <w:spacing w:val="-58"/>
          <w:sz w:val="22"/>
          <w:szCs w:val="22"/>
        </w:rPr>
        <w:t> </w:t>
      </w:r>
      <w:r>
        <w:rPr>
          <w:rFonts w:ascii="Times New Roman" w:hAnsi="Times New Roman" w:cs="Times New Roman" w:eastAsia="Times New Roman" w:hint="default"/>
          <w:spacing w:val="-15"/>
          <w:sz w:val="22"/>
          <w:szCs w:val="22"/>
        </w:rPr>
        <w:t>TAT</w:t>
      </w:r>
      <w:r>
        <w:rPr>
          <w:rFonts w:ascii="Times New Roman" w:hAnsi="Times New Roman" w:cs="Times New Roman" w:eastAsia="Times New Roman" w:hint="default"/>
          <w:spacing w:val="-4"/>
          <w:sz w:val="22"/>
          <w:szCs w:val="22"/>
        </w:rPr>
        <w:t> </w:t>
      </w:r>
      <w:r>
        <w:rPr>
          <w:rFonts w:ascii="楷体" w:hAnsi="楷体" w:cs="楷体" w:eastAsia="楷体" w:hint="default"/>
          <w:sz w:val="22"/>
          <w:szCs w:val="22"/>
        </w:rPr>
        <w:t>公司认</w:t>
      </w:r>
      <w:r>
        <w:rPr>
          <w:rFonts w:ascii="楷体" w:hAnsi="楷体" w:cs="楷体" w:eastAsia="楷体" w:hint="default"/>
          <w:w w:val="99"/>
          <w:sz w:val="22"/>
          <w:szCs w:val="22"/>
        </w:rPr>
        <w:t> </w:t>
      </w:r>
      <w:r>
        <w:rPr>
          <w:rFonts w:ascii="楷体" w:hAnsi="楷体" w:cs="楷体" w:eastAsia="楷体" w:hint="default"/>
          <w:spacing w:val="-4"/>
          <w:sz w:val="22"/>
          <w:szCs w:val="22"/>
        </w:rPr>
        <w:t>为上述增资事项将引致其对清芯公司的股权稀释而不予承认，导致增资未能实施，由此引发争议，</w:t>
      </w:r>
      <w:r>
        <w:rPr>
          <w:rFonts w:ascii="楷体" w:hAnsi="楷体" w:cs="楷体" w:eastAsia="楷体" w:hint="default"/>
          <w:spacing w:val="-89"/>
          <w:sz w:val="22"/>
          <w:szCs w:val="22"/>
        </w:rPr>
        <w:t> </w:t>
      </w:r>
      <w:r>
        <w:rPr>
          <w:rFonts w:ascii="楷体" w:hAnsi="楷体" w:cs="楷体" w:eastAsia="楷体" w:hint="default"/>
          <w:spacing w:val="-89"/>
          <w:sz w:val="22"/>
          <w:szCs w:val="22"/>
        </w:rPr>
      </w:r>
      <w:r>
        <w:rPr>
          <w:rFonts w:ascii="楷体" w:hAnsi="楷体" w:cs="楷体" w:eastAsia="楷体" w:hint="default"/>
          <w:sz w:val="22"/>
          <w:szCs w:val="22"/>
        </w:rPr>
        <w:t>韩方股东</w:t>
      </w:r>
      <w:r>
        <w:rPr>
          <w:rFonts w:ascii="楷体" w:hAnsi="楷体" w:cs="楷体" w:eastAsia="楷体" w:hint="default"/>
          <w:spacing w:val="-55"/>
          <w:sz w:val="22"/>
          <w:szCs w:val="22"/>
        </w:rPr>
        <w:t> </w:t>
      </w:r>
      <w:r>
        <w:rPr>
          <w:rFonts w:ascii="Times New Roman" w:hAnsi="Times New Roman" w:cs="Times New Roman" w:eastAsia="Times New Roman" w:hint="default"/>
          <w:spacing w:val="-15"/>
          <w:sz w:val="22"/>
          <w:szCs w:val="22"/>
        </w:rPr>
        <w:t>TAT</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公司希望本公司将</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LED</w:t>
      </w:r>
      <w:r>
        <w:rPr>
          <w:rFonts w:ascii="Times New Roman" w:hAnsi="Times New Roman" w:cs="Times New Roman" w:eastAsia="Times New Roman" w:hint="default"/>
          <w:spacing w:val="-1"/>
          <w:sz w:val="22"/>
          <w:szCs w:val="22"/>
        </w:rPr>
        <w:t> </w:t>
      </w:r>
      <w:r>
        <w:rPr>
          <w:rFonts w:ascii="楷体" w:hAnsi="楷体" w:cs="楷体" w:eastAsia="楷体" w:hint="default"/>
          <w:spacing w:val="-3"/>
          <w:sz w:val="22"/>
          <w:szCs w:val="22"/>
        </w:rPr>
        <w:t>项目募集资金全部投入到清芯公司，而本公司认为</w:t>
      </w:r>
      <w:r>
        <w:rPr>
          <w:rFonts w:ascii="楷体" w:hAnsi="楷体" w:cs="楷体" w:eastAsia="楷体" w:hint="default"/>
          <w:spacing w:val="-55"/>
          <w:sz w:val="22"/>
          <w:szCs w:val="22"/>
        </w:rPr>
        <w:t> </w:t>
      </w:r>
      <w:r>
        <w:rPr>
          <w:rFonts w:ascii="Times New Roman" w:hAnsi="Times New Roman" w:cs="Times New Roman" w:eastAsia="Times New Roman" w:hint="default"/>
          <w:sz w:val="22"/>
          <w:szCs w:val="22"/>
        </w:rPr>
        <w:t>LED</w:t>
      </w:r>
      <w:r>
        <w:rPr>
          <w:rFonts w:ascii="Times New Roman" w:hAnsi="Times New Roman" w:cs="Times New Roman" w:eastAsia="Times New Roman" w:hint="default"/>
          <w:spacing w:val="-3"/>
          <w:sz w:val="22"/>
          <w:szCs w:val="22"/>
        </w:rPr>
        <w:t> </w:t>
      </w:r>
      <w:r>
        <w:rPr>
          <w:rFonts w:ascii="楷体" w:hAnsi="楷体" w:cs="楷体" w:eastAsia="楷体" w:hint="default"/>
          <w:sz w:val="22"/>
          <w:szCs w:val="22"/>
        </w:rPr>
        <w:t>项</w:t>
      </w:r>
      <w:r>
        <w:rPr>
          <w:rFonts w:ascii="楷体" w:hAnsi="楷体" w:cs="楷体" w:eastAsia="楷体" w:hint="default"/>
          <w:w w:val="99"/>
          <w:sz w:val="22"/>
          <w:szCs w:val="22"/>
        </w:rPr>
        <w:t> </w:t>
      </w:r>
      <w:r>
        <w:rPr>
          <w:rFonts w:ascii="楷体" w:hAnsi="楷体" w:cs="楷体" w:eastAsia="楷体" w:hint="default"/>
          <w:sz w:val="22"/>
          <w:szCs w:val="22"/>
        </w:rPr>
        <w:t>目募集资金仅有部分涉及到清芯公司。</w:t>
      </w:r>
    </w:p>
    <w:p>
      <w:pPr>
        <w:spacing w:line="319" w:lineRule="auto" w:before="114"/>
        <w:ind w:left="138" w:right="86" w:firstLine="440"/>
        <w:jc w:val="left"/>
        <w:rPr>
          <w:rFonts w:ascii="楷体" w:hAnsi="楷体" w:cs="楷体" w:eastAsia="楷体" w:hint="default"/>
          <w:sz w:val="22"/>
          <w:szCs w:val="22"/>
        </w:rPr>
      </w:pPr>
      <w:r>
        <w:rPr>
          <w:rFonts w:ascii="楷体" w:hAnsi="楷体" w:cs="楷体" w:eastAsia="楷体" w:hint="default"/>
          <w:sz w:val="22"/>
          <w:szCs w:val="22"/>
        </w:rPr>
        <w:t>清芯公司召开第一届董事会第七次会议，会议决议更换董事、重新聘任经营班子，韩方股东</w:t>
      </w:r>
      <w:r>
        <w:rPr>
          <w:rFonts w:ascii="楷体" w:hAnsi="楷体" w:cs="楷体" w:eastAsia="楷体" w:hint="default"/>
          <w:w w:val="99"/>
          <w:sz w:val="22"/>
          <w:szCs w:val="22"/>
        </w:rPr>
        <w:t> </w:t>
      </w:r>
      <w:r>
        <w:rPr>
          <w:rFonts w:ascii="Times New Roman" w:hAnsi="Times New Roman" w:cs="Times New Roman" w:eastAsia="Times New Roman" w:hint="default"/>
          <w:spacing w:val="-15"/>
          <w:sz w:val="22"/>
          <w:szCs w:val="22"/>
        </w:rPr>
        <w:t>TAT</w:t>
      </w:r>
      <w:r>
        <w:rPr>
          <w:rFonts w:ascii="Times New Roman" w:hAnsi="Times New Roman" w:cs="Times New Roman" w:eastAsia="Times New Roman" w:hint="default"/>
          <w:spacing w:val="-13"/>
          <w:sz w:val="22"/>
          <w:szCs w:val="22"/>
        </w:rPr>
        <w:t> </w:t>
      </w:r>
      <w:r>
        <w:rPr>
          <w:rFonts w:ascii="楷体" w:hAnsi="楷体" w:cs="楷体" w:eastAsia="楷体" w:hint="default"/>
          <w:sz w:val="22"/>
          <w:szCs w:val="22"/>
        </w:rPr>
        <w:t>公司委派的两名董事中其中一名未出席会议，其余全部董事均出席并一致通过了该决议。事</w:t>
      </w:r>
      <w:r>
        <w:rPr>
          <w:rFonts w:ascii="楷体" w:hAnsi="楷体" w:cs="楷体" w:eastAsia="楷体" w:hint="default"/>
          <w:w w:val="99"/>
          <w:sz w:val="22"/>
          <w:szCs w:val="22"/>
        </w:rPr>
        <w:t> </w:t>
      </w:r>
      <w:r>
        <w:rPr>
          <w:rFonts w:ascii="楷体" w:hAnsi="楷体" w:cs="楷体" w:eastAsia="楷体" w:hint="default"/>
          <w:spacing w:val="-9"/>
          <w:sz w:val="22"/>
          <w:szCs w:val="22"/>
        </w:rPr>
        <w:t>后，</w:t>
      </w:r>
      <w:r>
        <w:rPr>
          <w:rFonts w:ascii="Times New Roman" w:hAnsi="Times New Roman" w:cs="Times New Roman" w:eastAsia="Times New Roman" w:hint="default"/>
          <w:spacing w:val="-9"/>
          <w:sz w:val="22"/>
          <w:szCs w:val="22"/>
        </w:rPr>
        <w:t>TAT</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公司以该次董事会召开程序不符合章程规定等事由向廊坊市经济开发区法院提起诉讼，</w:t>
      </w:r>
      <w:r>
        <w:rPr>
          <w:rFonts w:ascii="楷体" w:hAnsi="楷体" w:cs="楷体" w:eastAsia="楷体" w:hint="default"/>
          <w:w w:val="99"/>
          <w:sz w:val="22"/>
          <w:szCs w:val="22"/>
        </w:rPr>
        <w:t> </w:t>
      </w:r>
      <w:r>
        <w:rPr>
          <w:rFonts w:ascii="楷体" w:hAnsi="楷体" w:cs="楷体" w:eastAsia="楷体" w:hint="default"/>
          <w:sz w:val="22"/>
          <w:szCs w:val="22"/>
        </w:rPr>
        <w:t>要求撤销清芯公司该次董事会决议。经廊坊市经济开发区法院一审判决，认为未有明确证据显示</w:t>
      </w:r>
      <w:r>
        <w:rPr>
          <w:rFonts w:ascii="楷体" w:hAnsi="楷体" w:cs="楷体" w:eastAsia="楷体" w:hint="default"/>
          <w:w w:val="99"/>
          <w:sz w:val="22"/>
          <w:szCs w:val="22"/>
        </w:rPr>
        <w:t> </w:t>
      </w:r>
      <w:r>
        <w:rPr>
          <w:rFonts w:ascii="楷体" w:hAnsi="楷体" w:cs="楷体" w:eastAsia="楷体" w:hint="default"/>
          <w:spacing w:val="-4"/>
          <w:sz w:val="22"/>
          <w:szCs w:val="22"/>
        </w:rPr>
        <w:t>已经通知全部董事出席董事会，该次董事会召开程序不符合章程规定，判令撤销该次董事会决议。</w:t>
      </w:r>
      <w:r>
        <w:rPr>
          <w:rFonts w:ascii="楷体" w:hAnsi="楷体" w:cs="楷体" w:eastAsia="楷体" w:hint="default"/>
          <w:spacing w:val="-89"/>
          <w:sz w:val="22"/>
          <w:szCs w:val="22"/>
        </w:rPr>
        <w:t> </w:t>
      </w:r>
      <w:r>
        <w:rPr>
          <w:rFonts w:ascii="楷体" w:hAnsi="楷体" w:cs="楷体" w:eastAsia="楷体" w:hint="default"/>
          <w:spacing w:val="-89"/>
          <w:sz w:val="22"/>
          <w:szCs w:val="22"/>
        </w:rPr>
      </w:r>
      <w:r>
        <w:rPr>
          <w:rFonts w:ascii="楷体" w:hAnsi="楷体" w:cs="楷体" w:eastAsia="楷体" w:hint="default"/>
          <w:sz w:val="22"/>
          <w:szCs w:val="22"/>
        </w:rPr>
        <w:t>现清芯公司不服上述判决，已向廊坊市中级人民法院提起上诉。截至审计报告完成日，该诉讼正</w:t>
      </w:r>
      <w:r>
        <w:rPr>
          <w:rFonts w:ascii="楷体" w:hAnsi="楷体" w:cs="楷体" w:eastAsia="楷体" w:hint="default"/>
          <w:w w:val="99"/>
          <w:sz w:val="22"/>
          <w:szCs w:val="22"/>
        </w:rPr>
        <w:t> </w:t>
      </w:r>
      <w:r>
        <w:rPr>
          <w:rFonts w:ascii="楷体" w:hAnsi="楷体" w:cs="楷体" w:eastAsia="楷体" w:hint="default"/>
          <w:sz w:val="22"/>
          <w:szCs w:val="22"/>
        </w:rPr>
        <w:t>在进行中。</w:t>
      </w:r>
    </w:p>
    <w:p>
      <w:pPr>
        <w:spacing w:line="307" w:lineRule="auto" w:before="107"/>
        <w:ind w:left="138" w:right="113" w:firstLine="440"/>
        <w:jc w:val="left"/>
        <w:rPr>
          <w:rFonts w:ascii="楷体" w:hAnsi="楷体" w:cs="楷体" w:eastAsia="楷体" w:hint="default"/>
          <w:sz w:val="22"/>
          <w:szCs w:val="22"/>
        </w:rPr>
      </w:pPr>
      <w:r>
        <w:rPr>
          <w:rFonts w:ascii="楷体" w:hAnsi="楷体" w:cs="楷体" w:eastAsia="楷体" w:hint="default"/>
          <w:sz w:val="22"/>
          <w:szCs w:val="22"/>
        </w:rPr>
        <w:t>本公司自入股之初至今向清芯公司提供了总计 </w:t>
      </w:r>
      <w:r>
        <w:rPr>
          <w:rFonts w:ascii="Times New Roman" w:hAnsi="Times New Roman" w:cs="Times New Roman" w:eastAsia="Times New Roman" w:hint="default"/>
          <w:sz w:val="22"/>
          <w:szCs w:val="22"/>
        </w:rPr>
        <w:t>6668</w:t>
      </w:r>
      <w:r>
        <w:rPr>
          <w:rFonts w:ascii="Times New Roman" w:hAnsi="Times New Roman" w:cs="Times New Roman" w:eastAsia="Times New Roman" w:hint="default"/>
          <w:spacing w:val="12"/>
          <w:sz w:val="22"/>
          <w:szCs w:val="22"/>
        </w:rPr>
        <w:t> </w:t>
      </w:r>
      <w:r>
        <w:rPr>
          <w:rFonts w:ascii="楷体" w:hAnsi="楷体" w:cs="楷体" w:eastAsia="楷体" w:hint="default"/>
          <w:sz w:val="22"/>
          <w:szCs w:val="22"/>
        </w:rPr>
        <w:t>万元人民币的资金支持，鉴于清芯公司</w:t>
      </w:r>
      <w:r>
        <w:rPr>
          <w:rFonts w:ascii="楷体" w:hAnsi="楷体" w:cs="楷体" w:eastAsia="楷体" w:hint="default"/>
          <w:w w:val="99"/>
          <w:sz w:val="22"/>
          <w:szCs w:val="22"/>
        </w:rPr>
        <w:t> </w:t>
      </w:r>
      <w:r>
        <w:rPr>
          <w:rFonts w:ascii="楷体" w:hAnsi="楷体" w:cs="楷体" w:eastAsia="楷体" w:hint="default"/>
          <w:sz w:val="22"/>
          <w:szCs w:val="22"/>
        </w:rPr>
        <w:t>目前处于股东纠纷的非常时期，韩国</w:t>
      </w:r>
      <w:r>
        <w:rPr>
          <w:rFonts w:ascii="楷体" w:hAnsi="楷体" w:cs="楷体" w:eastAsia="楷体" w:hint="default"/>
          <w:spacing w:val="-54"/>
          <w:sz w:val="22"/>
          <w:szCs w:val="22"/>
        </w:rPr>
        <w:t> </w:t>
      </w:r>
      <w:r>
        <w:rPr>
          <w:rFonts w:ascii="Times New Roman" w:hAnsi="Times New Roman" w:cs="Times New Roman" w:eastAsia="Times New Roman" w:hint="default"/>
          <w:spacing w:val="-15"/>
          <w:sz w:val="22"/>
          <w:szCs w:val="22"/>
        </w:rPr>
        <w:t>TAT</w:t>
      </w:r>
      <w:r>
        <w:rPr>
          <w:rFonts w:ascii="Times New Roman" w:hAnsi="Times New Roman" w:cs="Times New Roman" w:eastAsia="Times New Roman" w:hint="default"/>
          <w:spacing w:val="-1"/>
          <w:sz w:val="22"/>
          <w:szCs w:val="22"/>
        </w:rPr>
        <w:t> </w:t>
      </w:r>
      <w:r>
        <w:rPr>
          <w:rFonts w:ascii="楷体" w:hAnsi="楷体" w:cs="楷体" w:eastAsia="楷体" w:hint="default"/>
          <w:sz w:val="22"/>
          <w:szCs w:val="22"/>
        </w:rPr>
        <w:t>公司不断干扰清芯公司的日常经营，为保护公司利益，</w:t>
      </w:r>
      <w:r>
        <w:rPr>
          <w:rFonts w:ascii="楷体" w:hAnsi="楷体" w:cs="楷体" w:eastAsia="楷体" w:hint="default"/>
          <w:w w:val="99"/>
          <w:sz w:val="22"/>
          <w:szCs w:val="22"/>
        </w:rPr>
        <w:t> </w:t>
      </w:r>
      <w:r>
        <w:rPr>
          <w:rFonts w:ascii="楷体" w:hAnsi="楷体" w:cs="楷体" w:eastAsia="楷体" w:hint="default"/>
          <w:sz w:val="22"/>
          <w:szCs w:val="22"/>
        </w:rPr>
        <w:t>本公司于</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年</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楷体" w:hAnsi="楷体" w:cs="楷体" w:eastAsia="楷体" w:hint="default"/>
          <w:sz w:val="22"/>
          <w:szCs w:val="22"/>
        </w:rPr>
        <w:t>月就此前拆借给清芯公司的</w:t>
      </w:r>
      <w:r>
        <w:rPr>
          <w:rFonts w:ascii="楷体" w:hAnsi="楷体" w:cs="楷体" w:eastAsia="楷体" w:hint="default"/>
          <w:spacing w:val="-44"/>
          <w:sz w:val="22"/>
          <w:szCs w:val="22"/>
        </w:rPr>
        <w:t> </w:t>
      </w:r>
      <w:r>
        <w:rPr>
          <w:rFonts w:ascii="Times New Roman" w:hAnsi="Times New Roman" w:cs="Times New Roman" w:eastAsia="Times New Roman" w:hint="default"/>
          <w:sz w:val="22"/>
          <w:szCs w:val="22"/>
        </w:rPr>
        <w:t>6668</w:t>
      </w:r>
      <w:r>
        <w:rPr>
          <w:rFonts w:ascii="Times New Roman" w:hAnsi="Times New Roman" w:cs="Times New Roman" w:eastAsia="Times New Roman" w:hint="default"/>
          <w:spacing w:val="10"/>
          <w:sz w:val="22"/>
          <w:szCs w:val="22"/>
        </w:rPr>
        <w:t> </w:t>
      </w:r>
      <w:r>
        <w:rPr>
          <w:rFonts w:ascii="楷体" w:hAnsi="楷体" w:cs="楷体" w:eastAsia="楷体" w:hint="default"/>
          <w:sz w:val="22"/>
          <w:szCs w:val="22"/>
        </w:rPr>
        <w:t>万元借款提起了诉讼，并就清芯公司的主</w:t>
      </w:r>
      <w:r>
        <w:rPr>
          <w:rFonts w:ascii="楷体" w:hAnsi="楷体" w:cs="楷体" w:eastAsia="楷体" w:hint="default"/>
          <w:w w:val="99"/>
          <w:sz w:val="22"/>
          <w:szCs w:val="22"/>
        </w:rPr>
        <w:t> </w:t>
      </w:r>
      <w:r>
        <w:rPr>
          <w:rFonts w:ascii="楷体" w:hAnsi="楷体" w:cs="楷体" w:eastAsia="楷体" w:hint="default"/>
          <w:sz w:val="22"/>
          <w:szCs w:val="22"/>
        </w:rPr>
        <w:t>要财产进行了诉讼保全。截至审计报告完成日，该诉讼正在进行中。</w:t>
      </w:r>
    </w:p>
    <w:p>
      <w:pPr>
        <w:pStyle w:val="Heading3"/>
        <w:spacing w:line="240" w:lineRule="auto" w:before="26"/>
        <w:ind w:left="620" w:right="213"/>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十六、 补充资料</w:t>
      </w:r>
      <w:r>
        <w:rPr>
          <w:rFonts w:ascii="Microsoft JhengHei" w:hAnsi="Microsoft JhengHei" w:cs="Microsoft JhengHei" w:eastAsia="Microsoft JhengHei" w:hint="default"/>
          <w:b w:val="0"/>
          <w:bCs w:val="0"/>
        </w:rPr>
      </w:r>
    </w:p>
    <w:p>
      <w:pPr>
        <w:tabs>
          <w:tab w:pos="1045" w:val="left" w:leader="none"/>
        </w:tabs>
        <w:spacing w:line="369" w:lineRule="auto" w:before="142"/>
        <w:ind w:left="579" w:right="181" w:hanging="1"/>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1.</w:t>
        <w:tab/>
      </w:r>
      <w:r>
        <w:rPr>
          <w:rFonts w:ascii="楷体" w:hAnsi="楷体" w:cs="楷体" w:eastAsia="楷体" w:hint="default"/>
          <w:sz w:val="22"/>
          <w:szCs w:val="22"/>
        </w:rPr>
        <w:t>非经营性损益表</w:t>
      </w:r>
      <w:r>
        <w:rPr>
          <w:rFonts w:ascii="楷体" w:hAnsi="楷体" w:cs="楷体" w:eastAsia="楷体" w:hint="default"/>
          <w:w w:val="99"/>
          <w:sz w:val="22"/>
          <w:szCs w:val="22"/>
        </w:rPr>
        <w:t> </w:t>
      </w:r>
      <w:r>
        <w:rPr>
          <w:rFonts w:ascii="楷体" w:hAnsi="楷体" w:cs="楷体" w:eastAsia="楷体" w:hint="default"/>
          <w:spacing w:val="-3"/>
          <w:w w:val="99"/>
          <w:sz w:val="22"/>
          <w:szCs w:val="22"/>
        </w:rPr>
        <w:t>按照中国证监会《公开发行证券的公司信息披露解释性公告第</w:t>
      </w:r>
      <w:r>
        <w:rPr>
          <w:rFonts w:ascii="Times New Roman" w:hAnsi="Times New Roman" w:cs="Times New Roman" w:eastAsia="Times New Roman" w:hint="default"/>
          <w:spacing w:val="-3"/>
          <w:w w:val="99"/>
          <w:sz w:val="22"/>
          <w:szCs w:val="22"/>
        </w:rPr>
        <w:t>1</w:t>
      </w:r>
      <w:r>
        <w:rPr>
          <w:rFonts w:ascii="楷体" w:hAnsi="楷体" w:cs="楷体" w:eastAsia="楷体" w:hint="default"/>
          <w:spacing w:val="-3"/>
          <w:w w:val="99"/>
          <w:sz w:val="22"/>
          <w:szCs w:val="22"/>
        </w:rPr>
        <w:t>号—非经常性损益（</w:t>
      </w:r>
      <w:r>
        <w:rPr>
          <w:rFonts w:ascii="Times New Roman" w:hAnsi="Times New Roman" w:cs="Times New Roman" w:eastAsia="Times New Roman" w:hint="default"/>
          <w:spacing w:val="-3"/>
          <w:w w:val="99"/>
          <w:sz w:val="22"/>
          <w:szCs w:val="22"/>
        </w:rPr>
        <w:t>2008</w:t>
      </w:r>
      <w:r>
        <w:rPr>
          <w:rFonts w:ascii="楷体" w:hAnsi="楷体" w:cs="楷体" w:eastAsia="楷体" w:hint="default"/>
          <w:spacing w:val="-3"/>
          <w:w w:val="99"/>
          <w:sz w:val="22"/>
          <w:szCs w:val="22"/>
        </w:rPr>
        <w:t>）》</w:t>
      </w:r>
      <w:r>
        <w:rPr>
          <w:rFonts w:ascii="楷体" w:hAnsi="楷体" w:cs="楷体" w:eastAsia="楷体" w:hint="default"/>
          <w:spacing w:val="-3"/>
          <w:sz w:val="22"/>
          <w:szCs w:val="22"/>
        </w:rPr>
      </w:r>
    </w:p>
    <w:p>
      <w:pPr>
        <w:spacing w:line="242" w:lineRule="exact" w:before="0"/>
        <w:ind w:left="138" w:right="213" w:firstLine="0"/>
        <w:jc w:val="left"/>
        <w:rPr>
          <w:rFonts w:ascii="楷体" w:hAnsi="楷体" w:cs="楷体" w:eastAsia="楷体" w:hint="default"/>
          <w:sz w:val="22"/>
          <w:szCs w:val="22"/>
        </w:rPr>
      </w:pPr>
      <w:r>
        <w:rPr>
          <w:rFonts w:ascii="楷体" w:hAnsi="楷体" w:cs="楷体" w:eastAsia="楷体" w:hint="default"/>
          <w:sz w:val="22"/>
          <w:szCs w:val="22"/>
        </w:rPr>
        <w:t>的要求，本公司非经常性损益如下：</w:t>
      </w: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7"/>
        <w:rPr>
          <w:rFonts w:ascii="楷体" w:hAnsi="楷体" w:cs="楷体" w:eastAsia="楷体" w:hint="default"/>
          <w:sz w:val="21"/>
          <w:szCs w:val="21"/>
        </w:rPr>
      </w:pPr>
    </w:p>
    <w:p>
      <w:pPr>
        <w:tabs>
          <w:tab w:pos="783" w:val="left" w:leader="none"/>
        </w:tabs>
        <w:spacing w:before="76"/>
        <w:ind w:left="0" w:right="891" w:firstLine="0"/>
        <w:jc w:val="right"/>
        <w:rPr>
          <w:rFonts w:ascii="Times New Roman" w:hAnsi="Times New Roman" w:cs="Times New Roman" w:eastAsia="Times New Roman" w:hint="default"/>
          <w:sz w:val="18"/>
          <w:szCs w:val="18"/>
        </w:rPr>
      </w:pPr>
      <w:r>
        <w:rPr/>
        <w:pict>
          <v:shape style="position:absolute;margin-left:70.919998pt;margin-top:-44.467358pt;width:431.65pt;height:136.950pt;mso-position-horizontal-relative:page;mso-position-vertical-relative:paragraph;z-index:5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27"/>
                    <w:gridCol w:w="1482"/>
                    <w:gridCol w:w="1324"/>
                  </w:tblGrid>
                  <w:tr>
                    <w:trPr>
                      <w:trHeight w:val="303" w:hRule="exact"/>
                    </w:trPr>
                    <w:tc>
                      <w:tcPr>
                        <w:tcW w:w="582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48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32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582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非流动资产处置损益</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87"/>
                          <w:jc w:val="right"/>
                          <w:rPr>
                            <w:rFonts w:ascii="Times New Roman" w:hAnsi="Times New Roman" w:cs="Times New Roman" w:eastAsia="Times New Roman" w:hint="default"/>
                            <w:sz w:val="18"/>
                            <w:szCs w:val="18"/>
                          </w:rPr>
                        </w:pPr>
                        <w:r>
                          <w:rPr>
                            <w:rFonts w:ascii="Times New Roman"/>
                            <w:spacing w:val="-1"/>
                            <w:sz w:val="18"/>
                          </w:rPr>
                          <w:t>8,914,906.95</w:t>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99,975,386.05</w:t>
                        </w:r>
                      </w:p>
                    </w:tc>
                  </w:tr>
                  <w:tr>
                    <w:trPr>
                      <w:trHeight w:val="237"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计入当期损益的政府补助</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7"/>
                          <w:jc w:val="right"/>
                          <w:rPr>
                            <w:rFonts w:ascii="Times New Roman" w:hAnsi="Times New Roman" w:cs="Times New Roman" w:eastAsia="Times New Roman" w:hint="default"/>
                            <w:sz w:val="18"/>
                            <w:szCs w:val="18"/>
                          </w:rPr>
                        </w:pPr>
                        <w:r>
                          <w:rPr>
                            <w:rFonts w:ascii="Times New Roman"/>
                            <w:spacing w:val="-1"/>
                            <w:sz w:val="18"/>
                          </w:rPr>
                          <w:t>67,447,888.27</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49,164,191.59</w:t>
                        </w:r>
                      </w:p>
                    </w:tc>
                  </w:tr>
                  <w:tr>
                    <w:trPr>
                      <w:trHeight w:val="243" w:hRule="exact"/>
                    </w:trPr>
                    <w:tc>
                      <w:tcPr>
                        <w:tcW w:w="8633" w:type="dxa"/>
                        <w:gridSpan w:val="3"/>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楷体" w:hAnsi="楷体" w:cs="楷体" w:eastAsia="楷体" w:hint="default"/>
                            <w:sz w:val="18"/>
                            <w:szCs w:val="18"/>
                          </w:rPr>
                        </w:pPr>
                        <w:r>
                          <w:rPr>
                            <w:rFonts w:ascii="楷体" w:hAnsi="楷体" w:cs="楷体" w:eastAsia="楷体" w:hint="default"/>
                            <w:sz w:val="18"/>
                            <w:szCs w:val="18"/>
                          </w:rPr>
                          <w:t>企业取得子公司、联营企业及合营企业的投资成本小于取得投资时应享</w:t>
                        </w:r>
                      </w:p>
                    </w:tc>
                  </w:tr>
                  <w:tr>
                    <w:trPr>
                      <w:trHeight w:val="221"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jc w:val="left"/>
                          <w:rPr>
                            <w:rFonts w:ascii="楷体" w:hAnsi="楷体" w:cs="楷体" w:eastAsia="楷体" w:hint="default"/>
                            <w:sz w:val="18"/>
                            <w:szCs w:val="18"/>
                          </w:rPr>
                        </w:pPr>
                        <w:r>
                          <w:rPr>
                            <w:rFonts w:ascii="楷体" w:hAnsi="楷体" w:cs="楷体" w:eastAsia="楷体" w:hint="default"/>
                            <w:sz w:val="18"/>
                            <w:szCs w:val="18"/>
                          </w:rPr>
                          <w:t>有被投资单位可辨认净资产公允价值产生的收益</w:t>
                        </w:r>
                      </w:p>
                    </w:tc>
                    <w:tc>
                      <w:tcPr>
                        <w:tcW w:w="1482"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r>
                  <w:tr>
                    <w:trPr>
                      <w:trHeight w:val="267"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楷体" w:hAnsi="楷体" w:cs="楷体" w:eastAsia="楷体" w:hint="default"/>
                            <w:sz w:val="18"/>
                            <w:szCs w:val="18"/>
                          </w:rPr>
                        </w:pPr>
                        <w:r>
                          <w:rPr>
                            <w:rFonts w:ascii="楷体" w:hAnsi="楷体" w:cs="楷体" w:eastAsia="楷体" w:hint="default"/>
                            <w:sz w:val="18"/>
                            <w:szCs w:val="18"/>
                          </w:rPr>
                          <w:t>非货币性资产交换损益</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7"/>
                          <w:jc w:val="right"/>
                          <w:rPr>
                            <w:rFonts w:ascii="Times New Roman" w:hAnsi="Times New Roman" w:cs="Times New Roman" w:eastAsia="Times New Roman" w:hint="default"/>
                            <w:sz w:val="18"/>
                            <w:szCs w:val="18"/>
                          </w:rPr>
                        </w:pPr>
                        <w:r>
                          <w:rPr>
                            <w:rFonts w:ascii="Times New Roman"/>
                            <w:sz w:val="18"/>
                          </w:rPr>
                          <w:t>200.00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sz w:val="18"/>
                          </w:rPr>
                          <w:t>0.00</w:t>
                        </w:r>
                      </w:p>
                    </w:tc>
                  </w:tr>
                  <w:tr>
                    <w:trPr>
                      <w:trHeight w:val="262"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债务重组损益</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7"/>
                          <w:jc w:val="right"/>
                          <w:rPr>
                            <w:rFonts w:ascii="Times New Roman" w:hAnsi="Times New Roman" w:cs="Times New Roman" w:eastAsia="Times New Roman" w:hint="default"/>
                            <w:sz w:val="18"/>
                            <w:szCs w:val="18"/>
                          </w:rPr>
                        </w:pPr>
                        <w:r>
                          <w:rPr>
                            <w:rFonts w:ascii="Times New Roman"/>
                            <w:sz w:val="18"/>
                          </w:rPr>
                          <w:t>54,130.40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15,859,619.30</w:t>
                        </w:r>
                      </w:p>
                    </w:tc>
                  </w:tr>
                  <w:tr>
                    <w:trPr>
                      <w:trHeight w:val="216"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楷体" w:hAnsi="楷体" w:cs="楷体" w:eastAsia="楷体" w:hint="default"/>
                            <w:sz w:val="18"/>
                            <w:szCs w:val="18"/>
                          </w:rPr>
                        </w:pPr>
                        <w:r>
                          <w:rPr>
                            <w:rFonts w:ascii="楷体" w:hAnsi="楷体" w:cs="楷体" w:eastAsia="楷体" w:hint="default"/>
                            <w:sz w:val="18"/>
                            <w:szCs w:val="18"/>
                          </w:rPr>
                          <w:t>除同公司正常经营业务相关的有效套期保值业务外，持有交易性金融资</w:t>
                        </w:r>
                      </w:p>
                    </w:tc>
                    <w:tc>
                      <w:tcPr>
                        <w:tcW w:w="1482"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r>
                  <w:tr>
                    <w:trPr>
                      <w:trHeight w:val="420"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00" w:lineRule="exact" w:before="5"/>
                          <w:ind w:left="107" w:right="196"/>
                          <w:jc w:val="left"/>
                          <w:rPr>
                            <w:rFonts w:ascii="楷体" w:hAnsi="楷体" w:cs="楷体" w:eastAsia="楷体" w:hint="default"/>
                            <w:sz w:val="18"/>
                            <w:szCs w:val="18"/>
                          </w:rPr>
                        </w:pPr>
                        <w:r>
                          <w:rPr>
                            <w:rFonts w:ascii="楷体" w:hAnsi="楷体" w:cs="楷体" w:eastAsia="楷体" w:hint="default"/>
                            <w:spacing w:val="-2"/>
                            <w:sz w:val="18"/>
                            <w:szCs w:val="18"/>
                          </w:rPr>
                          <w:t>产、交易性金融负债产生的公允价值变动损益，以及处置交易性金融资</w:t>
                        </w:r>
                        <w:r>
                          <w:rPr>
                            <w:rFonts w:ascii="楷体" w:hAnsi="楷体" w:cs="楷体" w:eastAsia="楷体" w:hint="default"/>
                            <w:sz w:val="18"/>
                            <w:szCs w:val="18"/>
                          </w:rPr>
                          <w:t> 产、交易性金融负债和可供出售金融资产取得的投资收益</w:t>
                        </w:r>
                      </w:p>
                    </w:tc>
                    <w:tc>
                      <w:tcPr>
                        <w:tcW w:w="1482" w:type="dxa"/>
                        <w:tcBorders>
                          <w:top w:val="nil" w:sz="6" w:space="0" w:color="auto"/>
                          <w:left w:val="nil" w:sz="6" w:space="0" w:color="auto"/>
                          <w:bottom w:val="nil" w:sz="6" w:space="0" w:color="auto"/>
                          <w:right w:val="nil" w:sz="6" w:space="0" w:color="auto"/>
                        </w:tcBorders>
                      </w:tcPr>
                      <w:p>
                        <w:pPr>
                          <w:pStyle w:val="TableParagraph"/>
                          <w:spacing w:line="203" w:lineRule="exact"/>
                          <w:ind w:right="186"/>
                          <w:jc w:val="right"/>
                          <w:rPr>
                            <w:rFonts w:ascii="Times New Roman" w:hAnsi="Times New Roman" w:cs="Times New Roman" w:eastAsia="Times New Roman" w:hint="default"/>
                            <w:sz w:val="18"/>
                            <w:szCs w:val="18"/>
                          </w:rPr>
                        </w:pPr>
                        <w:r>
                          <w:rPr>
                            <w:rFonts w:ascii="Times New Roman"/>
                            <w:spacing w:val="-1"/>
                            <w:sz w:val="18"/>
                          </w:rPr>
                          <w:t>-16,977,894.81</w:t>
                        </w:r>
                      </w:p>
                    </w:tc>
                    <w:tc>
                      <w:tcPr>
                        <w:tcW w:w="1324" w:type="dxa"/>
                        <w:tcBorders>
                          <w:top w:val="nil" w:sz="6" w:space="0" w:color="auto"/>
                          <w:left w:val="nil" w:sz="6" w:space="0" w:color="auto"/>
                          <w:bottom w:val="nil" w:sz="6" w:space="0" w:color="auto"/>
                          <w:right w:val="nil" w:sz="6" w:space="0" w:color="auto"/>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59,730,832.11</w:t>
                        </w:r>
                      </w:p>
                    </w:tc>
                  </w:tr>
                  <w:tr>
                    <w:trPr>
                      <w:trHeight w:val="283"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楷体" w:hAnsi="楷体" w:cs="楷体" w:eastAsia="楷体" w:hint="default"/>
                            <w:sz w:val="18"/>
                            <w:szCs w:val="18"/>
                          </w:rPr>
                        </w:pPr>
                        <w:r>
                          <w:rPr>
                            <w:rFonts w:ascii="楷体" w:hAnsi="楷体" w:cs="楷体" w:eastAsia="楷体" w:hint="default"/>
                            <w:sz w:val="18"/>
                            <w:szCs w:val="18"/>
                          </w:rPr>
                          <w:t>单独进行减值测试的应收款项减值准备转回</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7"/>
                          <w:jc w:val="right"/>
                          <w:rPr>
                            <w:rFonts w:ascii="Times New Roman" w:hAnsi="Times New Roman" w:cs="Times New Roman" w:eastAsia="Times New Roman" w:hint="default"/>
                            <w:sz w:val="18"/>
                            <w:szCs w:val="18"/>
                          </w:rPr>
                        </w:pPr>
                        <w:r>
                          <w:rPr>
                            <w:rFonts w:ascii="Times New Roman"/>
                            <w:sz w:val="18"/>
                          </w:rPr>
                          <w:t>143,150.24</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Times New Roman"/>
          <w:sz w:val="18"/>
        </w:rPr>
        <w:t>0.00</w:t>
        <w:tab/>
      </w:r>
      <w:r>
        <w:rPr>
          <w:rFonts w:ascii="Times New Roman"/>
          <w:spacing w:val="-1"/>
          <w:sz w:val="18"/>
        </w:rPr>
        <w:t>1,988,296.84</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p>
      <w:pPr>
        <w:spacing w:line="30" w:lineRule="exact"/>
        <w:ind w:left="109"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4.25pt;height:1.5pt;mso-position-horizontal-relative:char;mso-position-vertical-relative:line" coordorigin="0,0" coordsize="8685,30">
            <v:group style="position:absolute;left:15;top:15;width:5751;height:2" coordorigin="15,15" coordsize="5751,2">
              <v:shape style="position:absolute;left:15;top:15;width:5751;height:2" coordorigin="15,15" coordsize="5751,0" path="m15,15l5765,15e" filled="false" stroked="true" strokeweight="1.5pt" strokecolor="#000000">
                <v:path arrowok="t"/>
              </v:shape>
            </v:group>
            <v:group style="position:absolute;left:5751;top:15;width:30;height:2" coordorigin="5751,15" coordsize="30,2">
              <v:shape style="position:absolute;left:5751;top:15;width:30;height:2" coordorigin="5751,15" coordsize="30,0" path="m5751,15l5781,15e" filled="false" stroked="true" strokeweight="1.5pt" strokecolor="#000000">
                <v:path arrowok="t"/>
              </v:shape>
            </v:group>
            <v:group style="position:absolute;left:5781;top:15;width:1476;height:2" coordorigin="5781,15" coordsize="1476,2">
              <v:shape style="position:absolute;left:5781;top:15;width:1476;height:2" coordorigin="5781,15" coordsize="1476,0" path="m5781,15l7257,15e" filled="false" stroked="true" strokeweight="1.5pt" strokecolor="#000000">
                <v:path arrowok="t"/>
              </v:shape>
            </v:group>
            <v:group style="position:absolute;left:7243;top:15;width:1427;height:2" coordorigin="7243,15" coordsize="1427,2">
              <v:shape style="position:absolute;left:7243;top:15;width:1427;height:2" coordorigin="7243,15" coordsize="1427,0" path="m7243,15l8669,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after="0" w:line="30" w:lineRule="exact"/>
        <w:rPr>
          <w:rFonts w:ascii="Times New Roman" w:hAnsi="Times New Roman" w:cs="Times New Roman" w:eastAsia="Times New Roman" w:hint="default"/>
          <w:sz w:val="3"/>
          <w:szCs w:val="3"/>
        </w:rPr>
        <w:sectPr>
          <w:pgSz w:w="11910" w:h="16840"/>
          <w:pgMar w:header="610" w:footer="784" w:top="1080" w:bottom="980" w:left="128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4687"/>
        <w:gridCol w:w="2578"/>
        <w:gridCol w:w="1368"/>
      </w:tblGrid>
      <w:tr>
        <w:trPr>
          <w:trHeight w:val="302" w:hRule="exact"/>
        </w:trPr>
        <w:tc>
          <w:tcPr>
            <w:tcW w:w="468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7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4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36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68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楷体" w:hAnsi="楷体" w:cs="楷体" w:eastAsia="楷体" w:hint="default"/>
                <w:sz w:val="18"/>
                <w:szCs w:val="18"/>
              </w:rPr>
            </w:pPr>
            <w:r>
              <w:rPr>
                <w:rFonts w:ascii="楷体" w:hAnsi="楷体" w:cs="楷体" w:eastAsia="楷体" w:hint="default"/>
                <w:sz w:val="18"/>
                <w:szCs w:val="18"/>
              </w:rPr>
              <w:t>对外委托贷款取得的损益</w:t>
            </w:r>
          </w:p>
        </w:tc>
        <w:tc>
          <w:tcPr>
            <w:tcW w:w="257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43"/>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6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除上述各项之外的其他营业外收入和支出</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1"/>
              <w:jc w:val="right"/>
              <w:rPr>
                <w:rFonts w:ascii="Times New Roman" w:hAnsi="Times New Roman" w:cs="Times New Roman" w:eastAsia="Times New Roman" w:hint="default"/>
                <w:sz w:val="18"/>
                <w:szCs w:val="18"/>
              </w:rPr>
            </w:pPr>
            <w:r>
              <w:rPr>
                <w:rFonts w:ascii="Times New Roman"/>
                <w:spacing w:val="-1"/>
                <w:sz w:val="18"/>
              </w:rPr>
              <w:t>-68,911,547.20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-14,877,480.20</w:t>
            </w:r>
          </w:p>
        </w:tc>
      </w:tr>
      <w:tr>
        <w:trPr>
          <w:trHeight w:val="283" w:hRule="exact"/>
        </w:trPr>
        <w:tc>
          <w:tcPr>
            <w:tcW w:w="46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其他符合非经常性损益定义的损益项目</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3"/>
              <w:jc w:val="right"/>
              <w:rPr>
                <w:rFonts w:ascii="Times New Roman" w:hAnsi="Times New Roman" w:cs="Times New Roman" w:eastAsia="Times New Roman" w:hint="default"/>
                <w:sz w:val="18"/>
                <w:szCs w:val="18"/>
              </w:rPr>
            </w:pPr>
            <w:r>
              <w:rPr>
                <w:rFonts w:ascii="Times New Roman"/>
                <w:spacing w:val="-1"/>
                <w:sz w:val="18"/>
              </w:rPr>
              <w:t>7,643,042.33</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48,135,837.80</w:t>
            </w:r>
          </w:p>
        </w:tc>
      </w:tr>
      <w:tr>
        <w:trPr>
          <w:trHeight w:val="283" w:hRule="exact"/>
        </w:trPr>
        <w:tc>
          <w:tcPr>
            <w:tcW w:w="46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小计</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3"/>
              <w:jc w:val="right"/>
              <w:rPr>
                <w:rFonts w:ascii="Times New Roman" w:hAnsi="Times New Roman" w:cs="Times New Roman" w:eastAsia="Times New Roman" w:hint="default"/>
                <w:sz w:val="18"/>
                <w:szCs w:val="18"/>
              </w:rPr>
            </w:pPr>
            <w:r>
              <w:rPr>
                <w:rFonts w:ascii="Times New Roman"/>
                <w:spacing w:val="-1"/>
                <w:sz w:val="18"/>
              </w:rPr>
              <w:t>-1,686,123.82</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259,976,683.49</w:t>
            </w:r>
          </w:p>
        </w:tc>
      </w:tr>
      <w:tr>
        <w:trPr>
          <w:trHeight w:val="283" w:hRule="exact"/>
        </w:trPr>
        <w:tc>
          <w:tcPr>
            <w:tcW w:w="46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所得税影响额</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3"/>
              <w:jc w:val="right"/>
              <w:rPr>
                <w:rFonts w:ascii="Times New Roman" w:hAnsi="Times New Roman" w:cs="Times New Roman" w:eastAsia="Times New Roman" w:hint="default"/>
                <w:sz w:val="18"/>
                <w:szCs w:val="18"/>
              </w:rPr>
            </w:pPr>
            <w:r>
              <w:rPr>
                <w:rFonts w:ascii="Times New Roman"/>
                <w:spacing w:val="-1"/>
                <w:sz w:val="18"/>
              </w:rPr>
              <w:t>-4,027,001.71</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-34,967,125.95</w:t>
            </w:r>
          </w:p>
        </w:tc>
      </w:tr>
      <w:tr>
        <w:trPr>
          <w:trHeight w:val="283" w:hRule="exact"/>
        </w:trPr>
        <w:tc>
          <w:tcPr>
            <w:tcW w:w="4687"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非经常性净损益合计</w:t>
            </w:r>
            <w:r>
              <w:rPr>
                <w:rFonts w:ascii="Microsoft JhengHei" w:hAnsi="Microsoft JhengHei" w:cs="Microsoft JhengHei" w:eastAsia="Microsoft JhengHei" w:hint="default"/>
                <w:sz w:val="18"/>
                <w:szCs w:val="18"/>
              </w:rPr>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3"/>
              <w:jc w:val="right"/>
              <w:rPr>
                <w:rFonts w:ascii="Times New Roman" w:hAnsi="Times New Roman" w:cs="Times New Roman" w:eastAsia="Times New Roman" w:hint="default"/>
                <w:sz w:val="18"/>
                <w:szCs w:val="18"/>
              </w:rPr>
            </w:pPr>
            <w:r>
              <w:rPr>
                <w:rFonts w:ascii="Times New Roman"/>
                <w:b/>
                <w:spacing w:val="-1"/>
                <w:sz w:val="18"/>
              </w:rPr>
              <w:t>-5,713,125.53</w:t>
            </w:r>
            <w:r>
              <w:rPr>
                <w:rFonts w:ascii="Times New Roman"/>
                <w:spacing w:val="-1"/>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b/>
                <w:spacing w:val="-1"/>
                <w:sz w:val="18"/>
              </w:rPr>
              <w:t>225,009,557.54</w:t>
            </w:r>
            <w:r>
              <w:rPr>
                <w:rFonts w:ascii="Times New Roman"/>
                <w:spacing w:val="-1"/>
                <w:sz w:val="18"/>
              </w:rPr>
            </w:r>
          </w:p>
        </w:tc>
      </w:tr>
      <w:tr>
        <w:trPr>
          <w:trHeight w:val="298" w:hRule="exact"/>
        </w:trPr>
        <w:tc>
          <w:tcPr>
            <w:tcW w:w="4687" w:type="dxa"/>
            <w:tcBorders>
              <w:top w:val="nil" w:sz="6" w:space="0" w:color="auto"/>
              <w:left w:val="nil" w:sz="6" w:space="0" w:color="auto"/>
              <w:bottom w:val="single" w:sz="12" w:space="0" w:color="000000"/>
              <w:right w:val="nil" w:sz="6" w:space="0" w:color="auto"/>
            </w:tcBorders>
          </w:tcPr>
          <w:p>
            <w:pPr>
              <w:pStyle w:val="TableParagraph"/>
              <w:spacing w:line="227" w:lineRule="exact"/>
              <w:ind w:left="107" w:right="0"/>
              <w:jc w:val="left"/>
              <w:rPr>
                <w:rFonts w:ascii="楷体" w:hAnsi="楷体" w:cs="楷体" w:eastAsia="楷体" w:hint="default"/>
                <w:sz w:val="18"/>
                <w:szCs w:val="18"/>
              </w:rPr>
            </w:pPr>
            <w:r>
              <w:rPr>
                <w:rFonts w:ascii="楷体" w:hAnsi="楷体" w:cs="楷体" w:eastAsia="楷体" w:hint="default"/>
                <w:sz w:val="18"/>
                <w:szCs w:val="18"/>
              </w:rPr>
              <w:t>其中：归属于母公司股东</w:t>
            </w:r>
          </w:p>
        </w:tc>
        <w:tc>
          <w:tcPr>
            <w:tcW w:w="2578"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41"/>
              <w:jc w:val="right"/>
              <w:rPr>
                <w:rFonts w:ascii="Times New Roman" w:hAnsi="Times New Roman" w:cs="Times New Roman" w:eastAsia="Times New Roman" w:hint="default"/>
                <w:sz w:val="18"/>
                <w:szCs w:val="18"/>
              </w:rPr>
            </w:pPr>
            <w:r>
              <w:rPr>
                <w:rFonts w:ascii="Times New Roman"/>
                <w:spacing w:val="-1"/>
                <w:sz w:val="18"/>
              </w:rPr>
              <w:t>-18,561,076.72</w:t>
            </w:r>
          </w:p>
        </w:tc>
        <w:tc>
          <w:tcPr>
            <w:tcW w:w="1368"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210,454,202.20</w:t>
            </w:r>
          </w:p>
        </w:tc>
      </w:tr>
    </w:tbl>
    <w:p>
      <w:pPr>
        <w:tabs>
          <w:tab w:pos="1045" w:val="left" w:leader="none"/>
        </w:tabs>
        <w:spacing w:line="369" w:lineRule="auto" w:before="79"/>
        <w:ind w:left="578" w:right="143" w:firstLine="0"/>
        <w:jc w:val="left"/>
        <w:rPr>
          <w:rFonts w:ascii="楷体" w:hAnsi="楷体" w:cs="楷体" w:eastAsia="楷体" w:hint="default"/>
          <w:sz w:val="22"/>
          <w:szCs w:val="22"/>
        </w:rPr>
      </w:pPr>
      <w:r>
        <w:rPr>
          <w:rFonts w:ascii="Times New Roman" w:hAnsi="Times New Roman" w:cs="Times New Roman" w:eastAsia="Times New Roman" w:hint="default"/>
          <w:b/>
          <w:bCs/>
          <w:w w:val="95"/>
          <w:sz w:val="22"/>
          <w:szCs w:val="22"/>
        </w:rPr>
        <w:t>2.</w:t>
        <w:tab/>
      </w:r>
      <w:r>
        <w:rPr>
          <w:rFonts w:ascii="楷体" w:hAnsi="楷体" w:cs="楷体" w:eastAsia="楷体" w:hint="default"/>
          <w:sz w:val="22"/>
          <w:szCs w:val="22"/>
        </w:rPr>
        <w:t>净资产收益率及每股收益</w:t>
      </w:r>
      <w:r>
        <w:rPr>
          <w:rFonts w:ascii="楷体" w:hAnsi="楷体" w:cs="楷体" w:eastAsia="楷体" w:hint="default"/>
          <w:w w:val="99"/>
          <w:sz w:val="22"/>
          <w:szCs w:val="22"/>
        </w:rPr>
        <w:t> </w:t>
      </w:r>
      <w:r>
        <w:rPr>
          <w:rFonts w:ascii="楷体" w:hAnsi="楷体" w:cs="楷体" w:eastAsia="楷体" w:hint="default"/>
          <w:sz w:val="22"/>
          <w:szCs w:val="22"/>
        </w:rPr>
        <w:t>按照中国证监会《公开发行证券的公司信息披露编报规则第</w:t>
      </w:r>
      <w:r>
        <w:rPr>
          <w:rFonts w:ascii="Times New Roman" w:hAnsi="Times New Roman" w:cs="Times New Roman" w:eastAsia="Times New Roman" w:hint="default"/>
          <w:sz w:val="22"/>
          <w:szCs w:val="22"/>
        </w:rPr>
        <w:t>9</w:t>
      </w:r>
      <w:r>
        <w:rPr>
          <w:rFonts w:ascii="楷体" w:hAnsi="楷体" w:cs="楷体" w:eastAsia="楷体" w:hint="default"/>
          <w:sz w:val="22"/>
          <w:szCs w:val="22"/>
        </w:rPr>
        <w:t>号</w:t>
      </w:r>
      <w:r>
        <w:rPr>
          <w:rFonts w:ascii="Times New Roman" w:hAnsi="Times New Roman" w:cs="Times New Roman" w:eastAsia="Times New Roman" w:hint="default"/>
          <w:sz w:val="22"/>
          <w:szCs w:val="22"/>
        </w:rPr>
        <w:t>―</w:t>
      </w:r>
      <w:r>
        <w:rPr>
          <w:rFonts w:ascii="楷体" w:hAnsi="楷体" w:cs="楷体" w:eastAsia="楷体" w:hint="default"/>
          <w:sz w:val="22"/>
          <w:szCs w:val="22"/>
        </w:rPr>
        <w:t>净资产收益率和每股收益</w:t>
      </w:r>
    </w:p>
    <w:p>
      <w:pPr>
        <w:spacing w:line="242" w:lineRule="exact" w:before="0"/>
        <w:ind w:left="138" w:right="0" w:firstLine="0"/>
        <w:jc w:val="left"/>
        <w:rPr>
          <w:rFonts w:ascii="楷体" w:hAnsi="楷体" w:cs="楷体" w:eastAsia="楷体" w:hint="default"/>
          <w:sz w:val="22"/>
          <w:szCs w:val="22"/>
        </w:rPr>
      </w:pPr>
      <w:r>
        <w:rPr>
          <w:rFonts w:ascii="楷体" w:hAnsi="楷体" w:cs="楷体" w:eastAsia="楷体" w:hint="default"/>
          <w:sz w:val="22"/>
          <w:szCs w:val="22"/>
        </w:rPr>
        <w:t>的计算及披露》的要求，本公司全面摊薄和加权平均计算的净资产收益率及每股收益如下：</w:t>
      </w:r>
    </w:p>
    <w:p>
      <w:pPr>
        <w:spacing w:before="180"/>
        <w:ind w:left="591" w:right="6555" w:firstLine="0"/>
        <w:jc w:val="left"/>
        <w:rPr>
          <w:rFonts w:ascii="楷体" w:hAnsi="楷体" w:cs="楷体" w:eastAsia="楷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本年金额</w:t>
      </w:r>
    </w:p>
    <w:p>
      <w:pPr>
        <w:spacing w:line="240" w:lineRule="auto" w:before="3"/>
        <w:rPr>
          <w:rFonts w:ascii="楷体" w:hAnsi="楷体" w:cs="楷体" w:eastAsia="楷体" w:hint="default"/>
          <w:sz w:val="11"/>
          <w:szCs w:val="11"/>
        </w:rPr>
      </w:pPr>
    </w:p>
    <w:p>
      <w:pPr>
        <w:spacing w:line="30" w:lineRule="exact"/>
        <w:ind w:left="409" w:right="0" w:firstLine="0"/>
        <w:rPr>
          <w:rFonts w:ascii="楷体" w:hAnsi="楷体" w:cs="楷体" w:eastAsia="楷体" w:hint="default"/>
          <w:sz w:val="3"/>
          <w:szCs w:val="3"/>
        </w:rPr>
      </w:pPr>
      <w:r>
        <w:rPr>
          <w:rFonts w:ascii="楷体" w:hAnsi="楷体" w:cs="楷体" w:eastAsia="楷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楷体" w:hAnsi="楷体" w:cs="楷体" w:eastAsia="楷体" w:hint="default"/>
          <w:position w:val="0"/>
          <w:sz w:val="3"/>
          <w:szCs w:val="3"/>
        </w:rPr>
      </w:r>
    </w:p>
    <w:p>
      <w:pPr>
        <w:spacing w:after="0" w:line="30" w:lineRule="exact"/>
        <w:rPr>
          <w:rFonts w:ascii="楷体" w:hAnsi="楷体" w:cs="楷体" w:eastAsia="楷体" w:hint="default"/>
          <w:sz w:val="3"/>
          <w:szCs w:val="3"/>
        </w:rPr>
        <w:sectPr>
          <w:pgSz w:w="11910" w:h="16840"/>
          <w:pgMar w:header="610" w:footer="784" w:top="1080" w:bottom="980" w:left="1280" w:right="1140"/>
        </w:sectPr>
      </w:pPr>
    </w:p>
    <w:p>
      <w:pPr>
        <w:spacing w:before="65"/>
        <w:ind w:left="524" w:right="-15"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报告期利润</w:t>
      </w:r>
      <w:r>
        <w:rPr>
          <w:rFonts w:ascii="Microsoft JhengHei" w:hAnsi="Microsoft JhengHei" w:cs="Microsoft JhengHei" w:eastAsia="Microsoft JhengHei" w:hint="default"/>
          <w:sz w:val="18"/>
          <w:szCs w:val="18"/>
        </w:rPr>
      </w:r>
    </w:p>
    <w:p>
      <w:pPr>
        <w:tabs>
          <w:tab w:pos="3914" w:val="left" w:leader="none"/>
        </w:tabs>
        <w:spacing w:line="236" w:lineRule="exact" w:before="0"/>
        <w:ind w:left="952"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净资产收益率</w:t>
        <w:tab/>
        <w:t>每股收益</w:t>
      </w:r>
      <w:r>
        <w:rPr>
          <w:rFonts w:ascii="Microsoft JhengHei" w:hAnsi="Microsoft JhengHei" w:cs="Microsoft JhengHei" w:eastAsia="Microsoft JhengHei" w:hint="default"/>
          <w:sz w:val="18"/>
          <w:szCs w:val="18"/>
        </w:rPr>
      </w:r>
    </w:p>
    <w:p>
      <w:pPr>
        <w:tabs>
          <w:tab w:pos="1725" w:val="left" w:leader="none"/>
          <w:tab w:pos="2948" w:val="left" w:leader="none"/>
          <w:tab w:pos="4529" w:val="left" w:leader="none"/>
        </w:tabs>
        <w:spacing w:line="303" w:lineRule="exact" w:before="0"/>
        <w:ind w:left="524" w:right="0" w:firstLine="0"/>
        <w:jc w:val="left"/>
        <w:rPr>
          <w:rFonts w:ascii="Microsoft JhengHei" w:hAnsi="Microsoft JhengHei" w:cs="Microsoft JhengHei" w:eastAsia="Microsoft JhengHei" w:hint="default"/>
          <w:sz w:val="18"/>
          <w:szCs w:val="18"/>
        </w:rPr>
      </w:pPr>
      <w:r>
        <w:rPr/>
        <w:pict>
          <v:group style="position:absolute;margin-left:238.440002pt;margin-top:2.604640pt;width:278.3pt;height:.1pt;mso-position-horizontal-relative:page;mso-position-vertical-relative:paragraph;z-index:-896128" coordorigin="4769,52" coordsize="5566,2">
            <v:shape style="position:absolute;left:4769;top:52;width:5566;height:2" coordorigin="4769,52" coordsize="5566,0" path="m4769,52l10334,52e" filled="false" stroked="true" strokeweight=".48pt" strokecolor="#000000">
              <v:path arrowok="t"/>
            </v:shape>
            <w10:wrap type="none"/>
          </v:group>
        </w:pict>
      </w:r>
      <w:r>
        <w:rPr/>
        <w:pict>
          <v:group style="position:absolute;margin-left:84.839996pt;margin-top:17.24464pt;width:431.9pt;height:.1pt;mso-position-horizontal-relative:page;mso-position-vertical-relative:paragraph;z-index:-896104" coordorigin="1697,345" coordsize="8638,2">
            <v:shape style="position:absolute;left:1697;top:345;width:8638;height:2" coordorigin="1697,345" coordsize="8638,0" path="m1697,345l10334,345e" filled="false" stroked="true" strokeweight=".48pt" strokecolor="#000000">
              <v:path arrowok="t"/>
            </v:shape>
            <w10:wrap type="none"/>
          </v:group>
        </w:pict>
      </w:r>
      <w:r>
        <w:rPr>
          <w:rFonts w:ascii="Microsoft JhengHei" w:hAnsi="Microsoft JhengHei" w:cs="Microsoft JhengHei" w:eastAsia="Microsoft JhengHei" w:hint="default"/>
          <w:b/>
          <w:bCs/>
          <w:sz w:val="18"/>
          <w:szCs w:val="18"/>
        </w:rPr>
        <w:t>全面摊薄</w:t>
        <w:tab/>
        <w:t>加权平均</w:t>
        <w:tab/>
        <w:t>基本每股收益</w:t>
        <w:tab/>
        <w:t>稀释每股收益</w:t>
      </w:r>
      <w:r>
        <w:rPr>
          <w:rFonts w:ascii="Microsoft JhengHei" w:hAnsi="Microsoft JhengHei" w:cs="Microsoft JhengHei" w:eastAsia="Microsoft JhengHei" w:hint="default"/>
          <w:sz w:val="18"/>
          <w:szCs w:val="18"/>
        </w:rPr>
      </w:r>
    </w:p>
    <w:p>
      <w:pPr>
        <w:spacing w:after="0" w:line="303" w:lineRule="exact"/>
        <w:jc w:val="left"/>
        <w:rPr>
          <w:rFonts w:ascii="Microsoft JhengHei" w:hAnsi="Microsoft JhengHei" w:cs="Microsoft JhengHei" w:eastAsia="Microsoft JhengHei" w:hint="default"/>
          <w:sz w:val="18"/>
          <w:szCs w:val="18"/>
        </w:rPr>
        <w:sectPr>
          <w:type w:val="continuous"/>
          <w:pgSz w:w="11910" w:h="16840"/>
          <w:pgMar w:top="1600" w:bottom="280" w:left="1280" w:right="1140"/>
          <w:cols w:num="2" w:equalWidth="0">
            <w:col w:w="1430" w:space="1774"/>
            <w:col w:w="6286"/>
          </w:cols>
        </w:sectPr>
      </w:pPr>
    </w:p>
    <w:p>
      <w:pPr>
        <w:tabs>
          <w:tab w:pos="3858" w:val="left" w:leader="none"/>
          <w:tab w:pos="5059" w:val="left" w:leader="none"/>
          <w:tab w:pos="6536" w:val="left" w:leader="none"/>
          <w:tab w:pos="8432" w:val="right" w:leader="none"/>
        </w:tabs>
        <w:spacing w:line="246" w:lineRule="exact" w:before="37"/>
        <w:ind w:left="524" w:right="0" w:firstLine="0"/>
        <w:jc w:val="left"/>
        <w:rPr>
          <w:rFonts w:ascii="Times New Roman" w:hAnsi="Times New Roman" w:cs="Times New Roman" w:eastAsia="Times New Roman" w:hint="default"/>
          <w:sz w:val="18"/>
          <w:szCs w:val="18"/>
        </w:rPr>
      </w:pPr>
      <w:r>
        <w:rPr>
          <w:rFonts w:ascii="楷体" w:hAnsi="楷体" w:cs="楷体" w:eastAsia="楷体" w:hint="default"/>
          <w:sz w:val="18"/>
          <w:szCs w:val="18"/>
        </w:rPr>
        <w:t>归属于母公司股东的净利润</w:t>
        <w:tab/>
      </w:r>
      <w:r>
        <w:rPr>
          <w:rFonts w:ascii="Times New Roman" w:hAnsi="Times New Roman" w:cs="Times New Roman" w:eastAsia="Times New Roman" w:hint="default"/>
          <w:sz w:val="18"/>
          <w:szCs w:val="18"/>
        </w:rPr>
        <w:t>3.57%</w:t>
        <w:tab/>
        <w:t>3.88%</w:t>
        <w:tab/>
        <w:t>0.27</w:t>
        <w:tab/>
        <w:t>0.27</w:t>
      </w:r>
    </w:p>
    <w:p>
      <w:pPr>
        <w:spacing w:line="186" w:lineRule="exact" w:before="0"/>
        <w:ind w:left="524" w:right="2246" w:firstLine="0"/>
        <w:jc w:val="left"/>
        <w:rPr>
          <w:rFonts w:ascii="楷体" w:hAnsi="楷体" w:cs="楷体" w:eastAsia="楷体" w:hint="default"/>
          <w:sz w:val="18"/>
          <w:szCs w:val="18"/>
        </w:rPr>
      </w:pPr>
      <w:r>
        <w:rPr>
          <w:rFonts w:ascii="楷体" w:hAnsi="楷体" w:cs="楷体" w:eastAsia="楷体" w:hint="default"/>
          <w:sz w:val="18"/>
          <w:szCs w:val="18"/>
        </w:rPr>
        <w:t>归属于母公司股东、扣除非经常性损</w:t>
      </w:r>
    </w:p>
    <w:p>
      <w:pPr>
        <w:tabs>
          <w:tab w:pos="3858" w:val="left" w:leader="none"/>
          <w:tab w:pos="5059" w:val="left" w:leader="none"/>
          <w:tab w:pos="6536" w:val="left" w:leader="none"/>
          <w:tab w:pos="8432" w:val="right" w:leader="none"/>
        </w:tabs>
        <w:spacing w:line="247" w:lineRule="exact" w:before="0"/>
        <w:ind w:left="524" w:right="0" w:firstLine="0"/>
        <w:jc w:val="left"/>
        <w:rPr>
          <w:rFonts w:ascii="Times New Roman" w:hAnsi="Times New Roman" w:cs="Times New Roman" w:eastAsia="Times New Roman" w:hint="default"/>
          <w:sz w:val="18"/>
          <w:szCs w:val="18"/>
        </w:rPr>
      </w:pPr>
      <w:r>
        <w:rPr/>
        <w:pict>
          <v:group style="position:absolute;margin-left:83.370003pt;margin-top:13.07565pt;width:434.5pt;height:1.5pt;mso-position-horizontal-relative:page;mso-position-vertical-relative:paragraph;z-index:5368" coordorigin="1667,262" coordsize="8690,30">
            <v:group style="position:absolute;left:1682;top:277;width:3094;height:2" coordorigin="1682,277" coordsize="3094,2">
              <v:shape style="position:absolute;left:1682;top:277;width:3094;height:2" coordorigin="1682,277" coordsize="3094,0" path="m1682,277l4776,277e" filled="false" stroked="true" strokeweight="1.5pt" strokecolor="#000000">
                <v:path arrowok="t"/>
              </v:shape>
            </v:group>
            <v:group style="position:absolute;left:4762;top:277;width:1204;height:2" coordorigin="4762,277" coordsize="1204,2">
              <v:shape style="position:absolute;left:4762;top:277;width:1204;height:2" coordorigin="4762,277" coordsize="1204,0" path="m4762,277l5965,277e" filled="false" stroked="true" strokeweight="1.5pt" strokecolor="#000000">
                <v:path arrowok="t"/>
              </v:shape>
            </v:group>
            <v:group style="position:absolute;left:5951;top:277;width:1230;height:2" coordorigin="5951,277" coordsize="1230,2">
              <v:shape style="position:absolute;left:5951;top:277;width:1230;height:2" coordorigin="5951,277" coordsize="1230,0" path="m5951,277l7181,277e" filled="false" stroked="true" strokeweight="1.5pt" strokecolor="#000000">
                <v:path arrowok="t"/>
              </v:shape>
            </v:group>
            <v:group style="position:absolute;left:7166;top:277;width:1604;height:2" coordorigin="7166,277" coordsize="1604,2">
              <v:shape style="position:absolute;left:7166;top:277;width:1604;height:2" coordorigin="7166,277" coordsize="1604,0" path="m7166,277l8770,277e" filled="false" stroked="true" strokeweight="1.5pt" strokecolor="#000000">
                <v:path arrowok="t"/>
              </v:shape>
            </v:group>
            <v:group style="position:absolute;left:8755;top:277;width:1587;height:2" coordorigin="8755,277" coordsize="1587,2">
              <v:shape style="position:absolute;left:8755;top:277;width:1587;height:2" coordorigin="8755,277" coordsize="1587,0" path="m8755,277l10342,277e" filled="false" stroked="true" strokeweight="1.5pt" strokecolor="#000000">
                <v:path arrowok="t"/>
              </v:shape>
            </v:group>
            <w10:wrap type="none"/>
          </v:group>
        </w:pict>
      </w:r>
      <w:r>
        <w:rPr>
          <w:rFonts w:ascii="楷体" w:hAnsi="楷体" w:cs="楷体" w:eastAsia="楷体" w:hint="default"/>
          <w:position w:val="-9"/>
          <w:sz w:val="18"/>
          <w:szCs w:val="18"/>
        </w:rPr>
        <w:t>益后的净利润</w:t>
        <w:tab/>
      </w:r>
      <w:r>
        <w:rPr>
          <w:rFonts w:ascii="Times New Roman" w:hAnsi="Times New Roman" w:cs="Times New Roman" w:eastAsia="Times New Roman" w:hint="default"/>
          <w:sz w:val="18"/>
          <w:szCs w:val="18"/>
        </w:rPr>
        <w:t>3.83%</w:t>
        <w:tab/>
        <w:t>4.17%</w:t>
        <w:tab/>
        <w:t>0.29</w:t>
        <w:tab/>
        <w:t>0.29</w:t>
      </w:r>
    </w:p>
    <w:p>
      <w:pPr>
        <w:spacing w:before="139"/>
        <w:ind w:left="591" w:right="6555" w:firstLine="0"/>
        <w:jc w:val="left"/>
        <w:rPr>
          <w:rFonts w:ascii="楷体" w:hAnsi="楷体" w:cs="楷体" w:eastAsia="楷体" w:hint="default"/>
          <w:sz w:val="22"/>
          <w:szCs w:val="22"/>
        </w:rPr>
      </w:pPr>
      <w:r>
        <w:rPr/>
        <w:pict>
          <v:group style="position:absolute;margin-left:85.199997pt;margin-top:30.267956pt;width:431.55pt;height:.1pt;mso-position-horizontal-relative:page;mso-position-vertical-relative:paragraph;z-index:-896056" coordorigin="1704,605" coordsize="8631,2">
            <v:shape style="position:absolute;left:1704;top:605;width:8631;height:2" coordorigin="1704,605" coordsize="8631,0" path="m1704,605l10334,605e" filled="false" stroked="true" strokeweight="1.5pt" strokecolor="#000000">
              <v:path arrowok="t"/>
            </v:shape>
            <w10:wrap type="none"/>
          </v:group>
        </w:pict>
      </w: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楷体" w:hAnsi="楷体" w:cs="楷体" w:eastAsia="楷体" w:hint="default"/>
          <w:sz w:val="22"/>
          <w:szCs w:val="22"/>
        </w:rPr>
        <w:t>上年金额</w:t>
      </w:r>
    </w:p>
    <w:p>
      <w:pPr>
        <w:spacing w:after="0"/>
        <w:jc w:val="left"/>
        <w:rPr>
          <w:rFonts w:ascii="楷体" w:hAnsi="楷体" w:cs="楷体" w:eastAsia="楷体" w:hint="default"/>
          <w:sz w:val="22"/>
          <w:szCs w:val="22"/>
        </w:rPr>
        <w:sectPr>
          <w:type w:val="continuous"/>
          <w:pgSz w:w="11910" w:h="16840"/>
          <w:pgMar w:top="1600" w:bottom="280" w:left="1280" w:right="1140"/>
        </w:sectPr>
      </w:pPr>
    </w:p>
    <w:p>
      <w:pPr>
        <w:spacing w:before="241"/>
        <w:ind w:left="524" w:right="-15"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报告期利润</w:t>
      </w:r>
      <w:r>
        <w:rPr>
          <w:rFonts w:ascii="Microsoft JhengHei" w:hAnsi="Microsoft JhengHei" w:cs="Microsoft JhengHei" w:eastAsia="Microsoft JhengHei" w:hint="default"/>
          <w:sz w:val="18"/>
          <w:szCs w:val="18"/>
        </w:rPr>
      </w:r>
    </w:p>
    <w:p>
      <w:pPr>
        <w:tabs>
          <w:tab w:pos="3953" w:val="left" w:leader="none"/>
        </w:tabs>
        <w:spacing w:line="303" w:lineRule="exact" w:before="109"/>
        <w:ind w:left="939"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净资产收益率</w:t>
        <w:tab/>
        <w:t>每股收益</w:t>
      </w:r>
      <w:r>
        <w:rPr>
          <w:rFonts w:ascii="Microsoft JhengHei" w:hAnsi="Microsoft JhengHei" w:cs="Microsoft JhengHei" w:eastAsia="Microsoft JhengHei" w:hint="default"/>
          <w:sz w:val="18"/>
          <w:szCs w:val="18"/>
        </w:rPr>
      </w:r>
    </w:p>
    <w:p>
      <w:pPr>
        <w:tabs>
          <w:tab w:pos="1764" w:val="left" w:leader="none"/>
          <w:tab w:pos="2972" w:val="left" w:leader="none"/>
          <w:tab w:pos="4566" w:val="left" w:leader="none"/>
        </w:tabs>
        <w:spacing w:line="303" w:lineRule="exact" w:before="0"/>
        <w:ind w:left="524" w:right="0" w:firstLine="0"/>
        <w:jc w:val="left"/>
        <w:rPr>
          <w:rFonts w:ascii="Microsoft JhengHei" w:hAnsi="Microsoft JhengHei" w:cs="Microsoft JhengHei" w:eastAsia="Microsoft JhengHei" w:hint="default"/>
          <w:sz w:val="18"/>
          <w:szCs w:val="18"/>
        </w:rPr>
      </w:pPr>
      <w:r>
        <w:rPr/>
        <w:pict>
          <v:group style="position:absolute;margin-left:233.160004pt;margin-top:2.364641pt;width:283.8pt;height:.5pt;mso-position-horizontal-relative:page;mso-position-vertical-relative:paragraph;z-index:-896032" coordorigin="4663,47" coordsize="5676,10">
            <v:group style="position:absolute;left:4668;top:52;width:2489;height:2" coordorigin="4668,52" coordsize="2489,2">
              <v:shape style="position:absolute;left:4668;top:52;width:2489;height:2" coordorigin="4668,52" coordsize="2489,0" path="m4668,52l7157,52e" filled="false" stroked="true" strokeweight=".48pt" strokecolor="#000000">
                <v:path arrowok="t"/>
              </v:shape>
            </v:group>
            <v:group style="position:absolute;left:7157;top:52;width:1577;height:2" coordorigin="7157,52" coordsize="1577,2">
              <v:shape style="position:absolute;left:7157;top:52;width:1577;height:2" coordorigin="7157,52" coordsize="1577,0" path="m7157,52l8734,52e" filled="false" stroked="true" strokeweight=".48pt" strokecolor="#000000">
                <v:path arrowok="t"/>
              </v:shape>
            </v:group>
            <v:group style="position:absolute;left:8734;top:52;width:1601;height:2" coordorigin="8734,52" coordsize="1601,2">
              <v:shape style="position:absolute;left:8734;top:52;width:1601;height:2" coordorigin="8734,52" coordsize="1601,0" path="m8734,52l10334,52e" filled="false" stroked="true" strokeweight=".48pt" strokecolor="#000000">
                <v:path arrowok="t"/>
              </v:shape>
            </v:group>
            <w10:wrap type="none"/>
          </v:group>
        </w:pict>
      </w:r>
      <w:r>
        <w:rPr/>
        <w:pict>
          <v:group style="position:absolute;margin-left:84.599998pt;margin-top:17.004641pt;width:432.4pt;height:.5pt;mso-position-horizontal-relative:page;mso-position-vertical-relative:paragraph;z-index:-896008" coordorigin="1692,340" coordsize="8648,10">
            <v:group style="position:absolute;left:1697;top:345;width:5460;height:2" coordorigin="1697,345" coordsize="5460,2">
              <v:shape style="position:absolute;left:1697;top:345;width:5460;height:2" coordorigin="1697,345" coordsize="5460,0" path="m1697,345l7157,345e" filled="false" stroked="true" strokeweight=".48pt" strokecolor="#000000">
                <v:path arrowok="t"/>
              </v:shape>
            </v:group>
            <v:group style="position:absolute;left:7157;top:345;width:1577;height:2" coordorigin="7157,345" coordsize="1577,2">
              <v:shape style="position:absolute;left:7157;top:345;width:1577;height:2" coordorigin="7157,345" coordsize="1577,0" path="m7157,345l8734,345e" filled="false" stroked="true" strokeweight=".48pt" strokecolor="#000000">
                <v:path arrowok="t"/>
              </v:shape>
            </v:group>
            <v:group style="position:absolute;left:8734;top:345;width:1601;height:2" coordorigin="8734,345" coordsize="1601,2">
              <v:shape style="position:absolute;left:8734;top:345;width:1601;height:2" coordorigin="8734,345" coordsize="1601,0" path="m8734,345l10334,345e" filled="false" stroked="true" strokeweight=".48pt" strokecolor="#000000">
                <v:path arrowok="t"/>
              </v:shape>
            </v:group>
            <w10:wrap type="none"/>
          </v:group>
        </w:pict>
      </w:r>
      <w:r>
        <w:rPr>
          <w:rFonts w:ascii="Microsoft JhengHei" w:hAnsi="Microsoft JhengHei" w:cs="Microsoft JhengHei" w:eastAsia="Microsoft JhengHei" w:hint="default"/>
          <w:b/>
          <w:bCs/>
          <w:sz w:val="18"/>
          <w:szCs w:val="18"/>
        </w:rPr>
        <w:t>全面摊薄</w:t>
        <w:tab/>
        <w:t>加权平均</w:t>
        <w:tab/>
        <w:t>基本每股收益</w:t>
        <w:tab/>
        <w:t>稀释每股收益</w:t>
      </w:r>
      <w:r>
        <w:rPr>
          <w:rFonts w:ascii="Microsoft JhengHei" w:hAnsi="Microsoft JhengHei" w:cs="Microsoft JhengHei" w:eastAsia="Microsoft JhengHei" w:hint="default"/>
          <w:sz w:val="18"/>
          <w:szCs w:val="18"/>
        </w:rPr>
      </w:r>
    </w:p>
    <w:p>
      <w:pPr>
        <w:spacing w:after="0" w:line="303" w:lineRule="exact"/>
        <w:jc w:val="left"/>
        <w:rPr>
          <w:rFonts w:ascii="Microsoft JhengHei" w:hAnsi="Microsoft JhengHei" w:cs="Microsoft JhengHei" w:eastAsia="Microsoft JhengHei" w:hint="default"/>
          <w:sz w:val="18"/>
          <w:szCs w:val="18"/>
        </w:rPr>
        <w:sectPr>
          <w:type w:val="continuous"/>
          <w:pgSz w:w="11910" w:h="16840"/>
          <w:pgMar w:top="1600" w:bottom="280" w:left="1280" w:right="1140"/>
          <w:cols w:num="2" w:equalWidth="0">
            <w:col w:w="1430" w:space="1722"/>
            <w:col w:w="6338"/>
          </w:cols>
        </w:sectPr>
      </w:pPr>
    </w:p>
    <w:p>
      <w:pPr>
        <w:tabs>
          <w:tab w:pos="3806" w:val="left" w:leader="none"/>
          <w:tab w:pos="5000" w:val="left" w:leader="none"/>
          <w:tab w:pos="6509" w:val="left" w:leader="none"/>
          <w:tab w:pos="8418" w:val="right" w:leader="none"/>
        </w:tabs>
        <w:spacing w:line="246" w:lineRule="exact" w:before="37"/>
        <w:ind w:left="524" w:right="0" w:firstLine="0"/>
        <w:jc w:val="left"/>
        <w:rPr>
          <w:rFonts w:ascii="Times New Roman" w:hAnsi="Times New Roman" w:cs="Times New Roman" w:eastAsia="Times New Roman" w:hint="default"/>
          <w:sz w:val="18"/>
          <w:szCs w:val="18"/>
        </w:rPr>
      </w:pPr>
      <w:r>
        <w:rPr>
          <w:rFonts w:ascii="楷体" w:hAnsi="楷体" w:cs="楷体" w:eastAsia="楷体" w:hint="default"/>
          <w:sz w:val="18"/>
          <w:szCs w:val="18"/>
        </w:rPr>
        <w:t>归属于母公司股东的净利润</w:t>
        <w:tab/>
      </w:r>
      <w:r>
        <w:rPr>
          <w:rFonts w:ascii="Times New Roman" w:hAnsi="Times New Roman" w:cs="Times New Roman" w:eastAsia="Times New Roman" w:hint="default"/>
          <w:sz w:val="18"/>
          <w:szCs w:val="18"/>
        </w:rPr>
        <w:t>7.93%</w:t>
        <w:tab/>
        <w:t>10.05%</w:t>
        <w:tab/>
        <w:t>0.52</w:t>
        <w:tab/>
        <w:t>0.52</w:t>
      </w:r>
    </w:p>
    <w:p>
      <w:pPr>
        <w:spacing w:line="185" w:lineRule="exact" w:before="0"/>
        <w:ind w:left="524" w:right="2246" w:firstLine="0"/>
        <w:jc w:val="left"/>
        <w:rPr>
          <w:rFonts w:ascii="楷体" w:hAnsi="楷体" w:cs="楷体" w:eastAsia="楷体" w:hint="default"/>
          <w:sz w:val="18"/>
          <w:szCs w:val="18"/>
        </w:rPr>
      </w:pPr>
      <w:r>
        <w:rPr>
          <w:rFonts w:ascii="楷体" w:hAnsi="楷体" w:cs="楷体" w:eastAsia="楷体" w:hint="default"/>
          <w:spacing w:val="3"/>
          <w:sz w:val="18"/>
          <w:szCs w:val="18"/>
        </w:rPr>
        <w:t>归属于母公司股东、扣除非经常性</w:t>
      </w:r>
      <w:r>
        <w:rPr>
          <w:rFonts w:ascii="楷体" w:hAnsi="楷体" w:cs="楷体" w:eastAsia="楷体" w:hint="default"/>
          <w:sz w:val="18"/>
          <w:szCs w:val="18"/>
        </w:rPr>
      </w:r>
    </w:p>
    <w:p>
      <w:pPr>
        <w:tabs>
          <w:tab w:pos="3806" w:val="left" w:leader="none"/>
          <w:tab w:pos="5046" w:val="left" w:leader="none"/>
          <w:tab w:pos="6509" w:val="left" w:leader="none"/>
          <w:tab w:pos="8102" w:val="left" w:leader="none"/>
        </w:tabs>
        <w:spacing w:line="246" w:lineRule="exact" w:before="0"/>
        <w:ind w:left="524" w:right="0" w:firstLine="0"/>
        <w:jc w:val="left"/>
        <w:rPr>
          <w:rFonts w:ascii="Times New Roman" w:hAnsi="Times New Roman" w:cs="Times New Roman" w:eastAsia="Times New Roman" w:hint="default"/>
          <w:sz w:val="18"/>
          <w:szCs w:val="18"/>
        </w:rPr>
      </w:pPr>
      <w:r>
        <w:rPr>
          <w:rFonts w:ascii="楷体" w:hAnsi="楷体" w:cs="楷体" w:eastAsia="楷体" w:hint="default"/>
          <w:position w:val="-9"/>
          <w:sz w:val="18"/>
          <w:szCs w:val="18"/>
        </w:rPr>
        <w:t>损益后的净利润</w:t>
        <w:tab/>
      </w:r>
      <w:r>
        <w:rPr>
          <w:rFonts w:ascii="Times New Roman" w:hAnsi="Times New Roman" w:cs="Times New Roman" w:eastAsia="Times New Roman" w:hint="default"/>
          <w:sz w:val="18"/>
          <w:szCs w:val="18"/>
        </w:rPr>
        <w:t>4.14%</w:t>
        <w:tab/>
        <w:t>5.25%</w:t>
        <w:tab/>
        <w:t>0.27</w:t>
        <w:tab/>
        <w:t>0.27</w:t>
      </w:r>
    </w:p>
    <w:p>
      <w:pPr>
        <w:spacing w:line="30" w:lineRule="exact"/>
        <w:ind w:left="387"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4.5pt;height:1.5pt;mso-position-horizontal-relative:char;mso-position-vertical-relative:line" coordorigin="0,0" coordsize="8690,30">
            <v:group style="position:absolute;left:15;top:15;width:2993;height:2" coordorigin="15,15" coordsize="2993,2">
              <v:shape style="position:absolute;left:15;top:15;width:2993;height:2" coordorigin="15,15" coordsize="2993,0" path="m15,15l3008,15e" filled="false" stroked="true" strokeweight="1.5pt" strokecolor="#000000">
                <v:path arrowok="t"/>
              </v:shape>
            </v:group>
            <v:group style="position:absolute;left:2993;top:15;width:1304;height:2" coordorigin="2993,15" coordsize="1304,2">
              <v:shape style="position:absolute;left:2993;top:15;width:1304;height:2" coordorigin="2993,15" coordsize="1304,0" path="m2993,15l4297,15e" filled="false" stroked="true" strokeweight="1.5pt" strokecolor="#000000">
                <v:path arrowok="t"/>
              </v:shape>
            </v:group>
            <v:group style="position:absolute;left:4282;top:15;width:1205;height:2" coordorigin="4282,15" coordsize="1205,2">
              <v:shape style="position:absolute;left:4282;top:15;width:1205;height:2" coordorigin="4282,15" coordsize="1205,0" path="m4282,15l5487,15e" filled="false" stroked="true" strokeweight="1.5pt" strokecolor="#000000">
                <v:path arrowok="t"/>
              </v:shape>
            </v:group>
            <v:group style="position:absolute;left:5473;top:15;width:30;height:2" coordorigin="5473,15" coordsize="30,2">
              <v:shape style="position:absolute;left:5473;top:15;width:30;height:2" coordorigin="5473,15" coordsize="30,0" path="m5473,15l5503,15e" filled="false" stroked="true" strokeweight="1.5pt" strokecolor="#000000">
                <v:path arrowok="t"/>
              </v:shape>
            </v:group>
            <v:group style="position:absolute;left:5503;top:15;width:1571;height:2" coordorigin="5503,15" coordsize="1571,2">
              <v:shape style="position:absolute;left:5503;top:15;width:1571;height:2" coordorigin="5503,15" coordsize="1571,0" path="m5503,15l7073,15e" filled="false" stroked="true" strokeweight="1.5pt" strokecolor="#000000">
                <v:path arrowok="t"/>
              </v:shape>
            </v:group>
            <v:group style="position:absolute;left:7059;top:15;width:1616;height:2" coordorigin="7059,15" coordsize="1616,2">
              <v:shape style="position:absolute;left:7059;top:15;width:1616;height:2" coordorigin="7059,15" coordsize="1616,0" path="m7059,15l8674,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Heading3"/>
        <w:spacing w:line="240" w:lineRule="auto" w:before="17"/>
        <w:ind w:left="620" w:right="6555"/>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十七、</w:t>
      </w:r>
      <w:r>
        <w:rPr>
          <w:rFonts w:ascii="Microsoft JhengHei" w:hAnsi="Microsoft JhengHei" w:cs="Microsoft JhengHei" w:eastAsia="Microsoft JhengHei" w:hint="default"/>
          <w:spacing w:val="-3"/>
        </w:rPr>
        <w:t> </w:t>
      </w:r>
      <w:r>
        <w:rPr>
          <w:rFonts w:ascii="Microsoft JhengHei" w:hAnsi="Microsoft JhengHei" w:cs="Microsoft JhengHei" w:eastAsia="Microsoft JhengHei" w:hint="default"/>
        </w:rPr>
        <w:t>财务报告批准</w:t>
      </w:r>
      <w:r>
        <w:rPr>
          <w:rFonts w:ascii="Microsoft JhengHei" w:hAnsi="Microsoft JhengHei" w:cs="Microsoft JhengHei" w:eastAsia="Microsoft JhengHei" w:hint="default"/>
          <w:b w:val="0"/>
          <w:bCs w:val="0"/>
        </w:rPr>
      </w:r>
    </w:p>
    <w:p>
      <w:pPr>
        <w:spacing w:before="142"/>
        <w:ind w:left="578" w:right="2246" w:firstLine="0"/>
        <w:jc w:val="left"/>
        <w:rPr>
          <w:rFonts w:ascii="楷体" w:hAnsi="楷体" w:cs="楷体" w:eastAsia="楷体" w:hint="default"/>
          <w:sz w:val="22"/>
          <w:szCs w:val="22"/>
        </w:rPr>
      </w:pPr>
      <w:r>
        <w:rPr>
          <w:rFonts w:ascii="楷体" w:hAnsi="楷体" w:cs="楷体" w:eastAsia="楷体" w:hint="default"/>
          <w:sz w:val="22"/>
          <w:szCs w:val="22"/>
        </w:rPr>
        <w:t>本财务报告于</w:t>
      </w:r>
      <w:r>
        <w:rPr>
          <w:rFonts w:ascii="Times New Roman" w:hAnsi="Times New Roman" w:cs="Times New Roman" w:eastAsia="Times New Roman" w:hint="default"/>
          <w:sz w:val="22"/>
          <w:szCs w:val="22"/>
        </w:rPr>
        <w:t>2009</w:t>
      </w:r>
      <w:r>
        <w:rPr>
          <w:rFonts w:ascii="楷体" w:hAnsi="楷体" w:cs="楷体" w:eastAsia="楷体" w:hint="default"/>
          <w:sz w:val="22"/>
          <w:szCs w:val="22"/>
        </w:rPr>
        <w:t>年</w:t>
      </w:r>
      <w:r>
        <w:rPr>
          <w:rFonts w:ascii="Times New Roman" w:hAnsi="Times New Roman" w:cs="Times New Roman" w:eastAsia="Times New Roman" w:hint="default"/>
          <w:sz w:val="22"/>
          <w:szCs w:val="22"/>
        </w:rPr>
        <w:t>4</w:t>
      </w:r>
      <w:r>
        <w:rPr>
          <w:rFonts w:ascii="楷体" w:hAnsi="楷体" w:cs="楷体" w:eastAsia="楷体" w:hint="default"/>
          <w:sz w:val="22"/>
          <w:szCs w:val="22"/>
        </w:rPr>
        <w:t>月</w:t>
      </w:r>
      <w:r>
        <w:rPr>
          <w:rFonts w:ascii="Times New Roman" w:hAnsi="Times New Roman" w:cs="Times New Roman" w:eastAsia="Times New Roman" w:hint="default"/>
          <w:sz w:val="22"/>
          <w:szCs w:val="22"/>
        </w:rPr>
        <w:t>16</w:t>
      </w:r>
      <w:r>
        <w:rPr>
          <w:rFonts w:ascii="楷体" w:hAnsi="楷体" w:cs="楷体" w:eastAsia="楷体" w:hint="default"/>
          <w:sz w:val="22"/>
          <w:szCs w:val="22"/>
        </w:rPr>
        <w:t>日由本公司董事会批准报出。</w:t>
      </w:r>
    </w:p>
    <w:p>
      <w:pPr>
        <w:spacing w:after="0"/>
        <w:jc w:val="left"/>
        <w:rPr>
          <w:rFonts w:ascii="楷体" w:hAnsi="楷体" w:cs="楷体" w:eastAsia="楷体" w:hint="default"/>
          <w:sz w:val="22"/>
          <w:szCs w:val="22"/>
        </w:rPr>
        <w:sectPr>
          <w:type w:val="continuous"/>
          <w:pgSz w:w="11910" w:h="16840"/>
          <w:pgMar w:top="1600" w:bottom="280" w:left="1280" w:right="1140"/>
        </w:sectPr>
      </w:pPr>
    </w:p>
    <w:p>
      <w:pPr>
        <w:spacing w:line="240" w:lineRule="auto" w:before="0"/>
        <w:rPr>
          <w:rFonts w:ascii="楷体" w:hAnsi="楷体" w:cs="楷体" w:eastAsia="楷体" w:hint="default"/>
          <w:sz w:val="20"/>
          <w:szCs w:val="20"/>
        </w:rPr>
      </w:pPr>
    </w:p>
    <w:p>
      <w:pPr>
        <w:spacing w:line="240" w:lineRule="auto" w:before="0"/>
        <w:rPr>
          <w:rFonts w:ascii="楷体" w:hAnsi="楷体" w:cs="楷体" w:eastAsia="楷体" w:hint="default"/>
          <w:sz w:val="20"/>
          <w:szCs w:val="20"/>
        </w:rPr>
      </w:pPr>
    </w:p>
    <w:p>
      <w:pPr>
        <w:spacing w:line="240" w:lineRule="auto" w:before="6"/>
        <w:rPr>
          <w:rFonts w:ascii="楷体" w:hAnsi="楷体" w:cs="楷体" w:eastAsia="楷体" w:hint="default"/>
          <w:sz w:val="11"/>
          <w:szCs w:val="11"/>
        </w:rPr>
      </w:pPr>
    </w:p>
    <w:p>
      <w:pPr>
        <w:spacing w:line="900" w:lineRule="exact"/>
        <w:ind w:left="110" w:right="0" w:firstLine="0"/>
        <w:rPr>
          <w:rFonts w:ascii="楷体" w:hAnsi="楷体" w:cs="楷体" w:eastAsia="楷体" w:hint="default"/>
          <w:sz w:val="20"/>
          <w:szCs w:val="20"/>
        </w:rPr>
      </w:pPr>
      <w:r>
        <w:rPr>
          <w:rFonts w:ascii="楷体" w:hAnsi="楷体" w:cs="楷体" w:eastAsia="楷体" w:hint="default"/>
          <w:position w:val="-17"/>
          <w:sz w:val="20"/>
          <w:szCs w:val="20"/>
        </w:rPr>
        <w:pict>
          <v:group style="width:139.8pt;height:45pt;mso-position-horizontal-relative:char;mso-position-vertical-relative:line" coordorigin="0,0" coordsize="2796,900">
            <v:shape style="position:absolute;left:0;top:0;width:2796;height:900" type="#_x0000_t75" stroked="false">
              <v:imagedata r:id="rId49" o:title=""/>
            </v:shape>
            <v:group style="position:absolute;left:298;top:738;width:2332;height:2" coordorigin="298,738" coordsize="2332,2">
              <v:shape style="position:absolute;left:298;top:738;width:2332;height:2" coordorigin="298,738" coordsize="2332,0" path="m298,738l2629,738e" filled="false" stroked="true" strokeweight=".25pt" strokecolor="#000000">
                <v:path arrowok="t"/>
              </v:shape>
            </v:group>
            <v:group style="position:absolute;left:2668;top:181;width:2;height:557" coordorigin="2668,181" coordsize="2,557">
              <v:shape style="position:absolute;left:2668;top:181;width:2;height:557" coordorigin="2668,181" coordsize="2,557" path="m2668,181l2669,738e" filled="false" stroked="true" strokeweight=".25pt" strokecolor="#000000">
                <v:path arrowok="t"/>
              </v:shape>
              <v:shape style="position:absolute;left:0;top:0;width:2796;height:900" type="#_x0000_t202" filled="false" stroked="false">
                <v:textbox inset="0,0,0,0">
                  <w:txbxContent>
                    <w:p>
                      <w:pPr>
                        <w:spacing w:before="156"/>
                        <w:ind w:left="287" w:right="0" w:firstLine="0"/>
                        <w:jc w:val="left"/>
                        <w:rPr>
                          <w:rFonts w:ascii="宋体" w:hAnsi="宋体" w:cs="宋体" w:eastAsia="宋体" w:hint="default"/>
                          <w:sz w:val="32"/>
                          <w:szCs w:val="32"/>
                        </w:rPr>
                      </w:pPr>
                      <w:r>
                        <w:rPr>
                          <w:rFonts w:ascii="宋体" w:hAnsi="宋体" w:cs="宋体" w:eastAsia="宋体" w:hint="default"/>
                          <w:b/>
                          <w:bCs/>
                          <w:sz w:val="32"/>
                          <w:szCs w:val="32"/>
                        </w:rPr>
                        <w:t>十一、备查文件</w:t>
                      </w:r>
                      <w:r>
                        <w:rPr>
                          <w:rFonts w:ascii="宋体" w:hAnsi="宋体" w:cs="宋体" w:eastAsia="宋体" w:hint="default"/>
                          <w:sz w:val="32"/>
                          <w:szCs w:val="32"/>
                        </w:rPr>
                      </w:r>
                    </w:p>
                  </w:txbxContent>
                </v:textbox>
                <w10:wrap type="none"/>
              </v:shape>
            </v:group>
          </v:group>
        </w:pict>
      </w:r>
      <w:r>
        <w:rPr>
          <w:rFonts w:ascii="楷体" w:hAnsi="楷体" w:cs="楷体" w:eastAsia="楷体" w:hint="default"/>
          <w:position w:val="-17"/>
          <w:sz w:val="20"/>
          <w:szCs w:val="20"/>
        </w:rPr>
      </w:r>
    </w:p>
    <w:p>
      <w:pPr>
        <w:spacing w:line="240" w:lineRule="auto" w:before="8"/>
        <w:rPr>
          <w:rFonts w:ascii="楷体" w:hAnsi="楷体" w:cs="楷体" w:eastAsia="楷体" w:hint="default"/>
          <w:sz w:val="21"/>
          <w:szCs w:val="21"/>
        </w:rPr>
      </w:pPr>
    </w:p>
    <w:p>
      <w:pPr>
        <w:pStyle w:val="BodyText"/>
        <w:spacing w:line="240" w:lineRule="auto" w:before="26"/>
        <w:ind w:left="398" w:right="0"/>
        <w:jc w:val="left"/>
      </w:pPr>
      <w:r>
        <w:rPr/>
        <w:t>1、载有董事长亲笔签署的年度报告正本；</w:t>
      </w:r>
    </w:p>
    <w:p>
      <w:pPr>
        <w:spacing w:line="240" w:lineRule="auto" w:before="8"/>
        <w:rPr>
          <w:rFonts w:ascii="宋体" w:hAnsi="宋体" w:cs="宋体" w:eastAsia="宋体" w:hint="default"/>
          <w:sz w:val="23"/>
          <w:szCs w:val="23"/>
        </w:rPr>
      </w:pPr>
    </w:p>
    <w:p>
      <w:pPr>
        <w:pStyle w:val="BodyText"/>
        <w:spacing w:line="240" w:lineRule="auto"/>
        <w:ind w:left="398" w:right="0"/>
        <w:jc w:val="left"/>
      </w:pPr>
      <w:r>
        <w:rPr/>
        <w:t>2、载有法定代表人、主管财务副总裁、会计主管亲笔签字并盖章的财务报表；</w:t>
      </w:r>
    </w:p>
    <w:p>
      <w:pPr>
        <w:spacing w:line="240" w:lineRule="auto" w:before="8"/>
        <w:rPr>
          <w:rFonts w:ascii="宋体" w:hAnsi="宋体" w:cs="宋体" w:eastAsia="宋体" w:hint="default"/>
          <w:sz w:val="23"/>
          <w:szCs w:val="23"/>
        </w:rPr>
      </w:pPr>
    </w:p>
    <w:p>
      <w:pPr>
        <w:pStyle w:val="BodyText"/>
        <w:spacing w:line="240" w:lineRule="auto"/>
        <w:ind w:left="398" w:right="0"/>
        <w:jc w:val="left"/>
      </w:pPr>
      <w:r>
        <w:rPr/>
        <w:t>3、载有会计师事务所盖章、注册会计师亲笔签字并盖章的审计报告正本；</w:t>
      </w:r>
    </w:p>
    <w:p>
      <w:pPr>
        <w:spacing w:line="240" w:lineRule="auto" w:before="7"/>
        <w:rPr>
          <w:rFonts w:ascii="宋体" w:hAnsi="宋体" w:cs="宋体" w:eastAsia="宋体" w:hint="default"/>
          <w:sz w:val="23"/>
          <w:szCs w:val="23"/>
        </w:rPr>
      </w:pPr>
    </w:p>
    <w:p>
      <w:pPr>
        <w:pStyle w:val="BodyText"/>
        <w:spacing w:line="240" w:lineRule="auto"/>
        <w:ind w:left="398" w:right="0"/>
        <w:jc w:val="left"/>
      </w:pPr>
      <w:r>
        <w:rPr/>
        <w:t>4、报告期内在中国证券报和上海证券报刊登的定期报告、公告的正本及原件。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312" w:lineRule="exact"/>
        <w:ind w:left="7190" w:right="142" w:firstLine="481"/>
        <w:jc w:val="right"/>
        <w:rPr>
          <w:b w:val="0"/>
          <w:bCs w:val="0"/>
        </w:rPr>
      </w:pPr>
      <w:r>
        <w:rPr/>
        <w:t>同方股份有限公司</w:t>
      </w:r>
      <w:r>
        <w:rPr>
          <w:spacing w:val="1"/>
          <w:w w:val="99"/>
        </w:rPr>
        <w:t> </w:t>
      </w:r>
      <w:r>
        <w:rPr>
          <w:w w:val="95"/>
        </w:rPr>
        <w:t>二○○九年四月十八日</w:t>
      </w:r>
      <w:r>
        <w:rPr>
          <w:b w:val="0"/>
          <w:bCs w:val="0"/>
        </w:rPr>
      </w:r>
    </w:p>
    <w:p>
      <w:pPr>
        <w:spacing w:after="0" w:line="312" w:lineRule="exact"/>
        <w:jc w:val="right"/>
        <w:sectPr>
          <w:pgSz w:w="11910" w:h="16840"/>
          <w:pgMar w:header="610" w:footer="784" w:top="1080" w:bottom="980" w:left="1020" w:right="1140"/>
        </w:sectPr>
      </w:pPr>
    </w:p>
    <w:p>
      <w:pPr>
        <w:pStyle w:val="Heading1"/>
        <w:spacing w:line="388" w:lineRule="exact" w:before="29"/>
        <w:ind w:left="2513" w:right="2513" w:firstLine="602"/>
        <w:jc w:val="left"/>
        <w:rPr>
          <w:b w:val="0"/>
          <w:bCs w:val="0"/>
        </w:rPr>
      </w:pPr>
      <w:bookmarkStart w:name="600100_2008_n_01_内部控制自我评估报告2008.pdf" w:id="2"/>
      <w:bookmarkEnd w:id="2"/>
      <w:r>
        <w:rPr>
          <w:b w:val="0"/>
          <w:bCs w:val="0"/>
        </w:rPr>
      </w:r>
      <w:r>
        <w:rPr/>
        <w:t>同方股份有限公司董事会</w:t>
      </w:r>
      <w:r>
        <w:rPr>
          <w:spacing w:val="1"/>
          <w:w w:val="99"/>
        </w:rPr>
        <w:t> </w:t>
      </w:r>
      <w:r>
        <w:rPr/>
        <w:t>关于公司内部控制的自我评估报告</w:t>
      </w:r>
      <w:r>
        <w:rPr>
          <w:b w:val="0"/>
          <w:bCs w:val="0"/>
        </w:rPr>
      </w:r>
    </w:p>
    <w:p>
      <w:pPr>
        <w:spacing w:line="240" w:lineRule="auto" w:before="0"/>
        <w:rPr>
          <w:rFonts w:ascii="宋体" w:hAnsi="宋体" w:cs="宋体" w:eastAsia="宋体" w:hint="default"/>
          <w:b/>
          <w:bCs/>
          <w:sz w:val="30"/>
          <w:szCs w:val="30"/>
        </w:rPr>
      </w:pPr>
    </w:p>
    <w:p>
      <w:pPr>
        <w:pStyle w:val="BodyText"/>
        <w:spacing w:line="312" w:lineRule="exact" w:before="232"/>
        <w:ind w:left="238" w:right="254" w:firstLine="480"/>
        <w:jc w:val="both"/>
        <w:rPr>
          <w:rFonts w:ascii="宋体" w:hAnsi="宋体" w:cs="宋体" w:eastAsia="宋体" w:hint="default"/>
        </w:rPr>
      </w:pPr>
      <w:r>
        <w:rPr>
          <w:rFonts w:ascii="宋体" w:hAnsi="宋体" w:cs="宋体" w:eastAsia="宋体" w:hint="default"/>
          <w:spacing w:val="-2"/>
        </w:rPr>
        <w:t>本公司董事会、监事会及董事、监事、高级管理人员保证本报告所载资料不存在任</w:t>
      </w:r>
      <w:r>
        <w:rPr>
          <w:rFonts w:ascii="宋体" w:hAnsi="宋体" w:cs="宋体" w:eastAsia="宋体" w:hint="default"/>
        </w:rPr>
        <w:t> </w:t>
      </w:r>
      <w:r>
        <w:rPr>
          <w:rFonts w:ascii="宋体" w:hAnsi="宋体" w:cs="宋体" w:eastAsia="宋体" w:hint="default"/>
          <w:spacing w:val="-2"/>
        </w:rPr>
        <w:t>何虚假记载、误导性陈述或者重大遗漏，并对其内容的真实性、准确性和完整性负个别</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及连带责任。</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pStyle w:val="Heading2"/>
        <w:spacing w:line="240" w:lineRule="auto"/>
        <w:ind w:right="213"/>
        <w:jc w:val="left"/>
        <w:rPr>
          <w:rFonts w:ascii="宋体" w:hAnsi="宋体" w:cs="宋体" w:eastAsia="宋体" w:hint="default"/>
          <w:b w:val="0"/>
          <w:bCs w:val="0"/>
        </w:rPr>
      </w:pPr>
      <w:r>
        <w:rPr>
          <w:rFonts w:ascii="宋体" w:hAnsi="宋体" w:cs="宋体" w:eastAsia="宋体" w:hint="default"/>
        </w:rPr>
        <w:t>一、公司基本概况</w:t>
      </w:r>
      <w:r>
        <w:rPr>
          <w:rFonts w:ascii="宋体" w:hAnsi="宋体" w:cs="宋体" w:eastAsia="宋体" w:hint="default"/>
          <w:b w:val="0"/>
          <w:bCs w:val="0"/>
        </w:rPr>
      </w:r>
    </w:p>
    <w:p>
      <w:pPr>
        <w:spacing w:line="240" w:lineRule="auto" w:before="4"/>
        <w:rPr>
          <w:rFonts w:ascii="宋体" w:hAnsi="宋体" w:cs="宋体" w:eastAsia="宋体" w:hint="default"/>
          <w:b/>
          <w:bCs/>
          <w:sz w:val="24"/>
          <w:szCs w:val="24"/>
        </w:rPr>
      </w:pPr>
    </w:p>
    <w:p>
      <w:pPr>
        <w:pStyle w:val="BodyText"/>
        <w:spacing w:line="237" w:lineRule="auto"/>
        <w:ind w:left="238" w:right="118"/>
        <w:jc w:val="left"/>
        <w:rPr>
          <w:rFonts w:ascii="宋体" w:hAnsi="宋体" w:cs="宋体" w:eastAsia="宋体" w:hint="default"/>
        </w:rPr>
      </w:pPr>
      <w:r>
        <w:rPr>
          <w:rFonts w:ascii="宋体" w:hAnsi="宋体" w:cs="宋体" w:eastAsia="宋体" w:hint="default"/>
        </w:rPr>
        <w:t>同方股份有限公司是经国家经济体制改革委员会[体改生(1997)78 号文]和国家教育委</w:t>
      </w:r>
      <w:r>
        <w:rPr>
          <w:rFonts w:ascii="宋体" w:hAnsi="宋体" w:cs="宋体" w:eastAsia="宋体" w:hint="default"/>
          <w:spacing w:val="-55"/>
        </w:rPr>
        <w:t> </w:t>
      </w:r>
      <w:r>
        <w:rPr>
          <w:rFonts w:ascii="宋体" w:hAnsi="宋体" w:cs="宋体" w:eastAsia="宋体" w:hint="default"/>
          <w:spacing w:val="-55"/>
        </w:rPr>
      </w:r>
      <w:r>
        <w:rPr>
          <w:rFonts w:ascii="宋体" w:hAnsi="宋体" w:cs="宋体" w:eastAsia="宋体" w:hint="default"/>
        </w:rPr>
        <w:t>员会[教技发字(1997)4</w:t>
      </w:r>
      <w:r>
        <w:rPr>
          <w:rFonts w:ascii="宋体" w:hAnsi="宋体" w:cs="宋体" w:eastAsia="宋体" w:hint="default"/>
          <w:spacing w:val="-53"/>
        </w:rPr>
        <w:t> </w:t>
      </w:r>
      <w:r>
        <w:rPr>
          <w:rFonts w:ascii="宋体" w:hAnsi="宋体" w:cs="宋体" w:eastAsia="宋体" w:hint="default"/>
          <w:spacing w:val="-4"/>
        </w:rPr>
        <w:t>号文]批准，由清华控股有限公司(原名北京清华大学企业集团)、</w:t>
      </w:r>
      <w:r>
        <w:rPr>
          <w:rFonts w:ascii="宋体" w:hAnsi="宋体" w:cs="宋体" w:eastAsia="宋体" w:hint="default"/>
        </w:rPr>
        <w:t> 泰豪集团有限公司(原名江西清华科技集团有限公司)、北京首都创业集团有限公司(原</w:t>
      </w:r>
      <w:r>
        <w:rPr>
          <w:rFonts w:ascii="宋体" w:hAnsi="宋体" w:cs="宋体" w:eastAsia="宋体" w:hint="default"/>
          <w:spacing w:val="-58"/>
        </w:rPr>
        <w:t> </w:t>
      </w:r>
      <w:r>
        <w:rPr>
          <w:rFonts w:ascii="宋体" w:hAnsi="宋体" w:cs="宋体" w:eastAsia="宋体" w:hint="default"/>
          <w:spacing w:val="-58"/>
        </w:rPr>
      </w:r>
      <w:r>
        <w:rPr>
          <w:rFonts w:ascii="宋体" w:hAnsi="宋体" w:cs="宋体" w:eastAsia="宋体" w:hint="default"/>
        </w:rPr>
        <w:t>名北京首都创业集团)、北京实创高科技发展总公司、北京沃斯太酒店设备安装公司等</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公司发起，以募集方式设立的股份公司。其中，清华控股以所属部分企业的经营性净资</w:t>
      </w:r>
      <w:r>
        <w:rPr>
          <w:rFonts w:ascii="宋体" w:hAnsi="宋体" w:cs="宋体" w:eastAsia="宋体" w:hint="default"/>
        </w:rPr>
        <w:t> </w:t>
      </w:r>
      <w:r>
        <w:rPr>
          <w:rFonts w:ascii="宋体" w:hAnsi="宋体" w:cs="宋体" w:eastAsia="宋体" w:hint="default"/>
          <w:spacing w:val="-3"/>
        </w:rPr>
        <w:t>产折资入股，其他四家发起人以现金折资入股。公司于</w:t>
      </w:r>
      <w:r>
        <w:rPr>
          <w:rFonts w:ascii="宋体" w:hAnsi="宋体" w:cs="宋体" w:eastAsia="宋体" w:hint="default"/>
          <w:spacing w:val="-56"/>
        </w:rPr>
        <w:t> </w:t>
      </w:r>
      <w:r>
        <w:rPr>
          <w:rFonts w:ascii="宋体" w:hAnsi="宋体" w:cs="宋体" w:eastAsia="宋体" w:hint="default"/>
          <w:spacing w:val="25"/>
        </w:rPr>
        <w:t>1997年6月</w:t>
      </w:r>
      <w:r>
        <w:rPr>
          <w:rFonts w:ascii="宋体" w:hAnsi="宋体" w:cs="宋体" w:eastAsia="宋体" w:hint="default"/>
          <w:spacing w:val="-56"/>
        </w:rPr>
        <w:t> </w:t>
      </w:r>
      <w:r>
        <w:rPr>
          <w:rFonts w:ascii="宋体" w:hAnsi="宋体" w:cs="宋体" w:eastAsia="宋体" w:hint="default"/>
        </w:rPr>
        <w:t>12</w:t>
      </w:r>
      <w:r>
        <w:rPr>
          <w:rFonts w:ascii="宋体" w:hAnsi="宋体" w:cs="宋体" w:eastAsia="宋体" w:hint="default"/>
          <w:spacing w:val="-56"/>
        </w:rPr>
        <w:t> </w:t>
      </w:r>
      <w:r>
        <w:rPr>
          <w:rFonts w:ascii="宋体" w:hAnsi="宋体" w:cs="宋体" w:eastAsia="宋体" w:hint="default"/>
        </w:rPr>
        <w:t>日向社会公众发</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行了人民币普通股</w:t>
      </w:r>
      <w:r>
        <w:rPr>
          <w:rFonts w:ascii="宋体" w:hAnsi="宋体" w:cs="宋体" w:eastAsia="宋体" w:hint="default"/>
          <w:spacing w:val="-50"/>
        </w:rPr>
        <w:t> </w:t>
      </w:r>
      <w:r>
        <w:rPr>
          <w:rFonts w:ascii="宋体" w:hAnsi="宋体" w:cs="宋体" w:eastAsia="宋体" w:hint="default"/>
        </w:rPr>
        <w:t>42,000,000</w:t>
      </w:r>
      <w:r>
        <w:rPr>
          <w:rFonts w:ascii="宋体" w:hAnsi="宋体" w:cs="宋体" w:eastAsia="宋体" w:hint="default"/>
          <w:spacing w:val="-50"/>
        </w:rPr>
        <w:t> </w:t>
      </w:r>
      <w:r>
        <w:rPr>
          <w:rFonts w:ascii="宋体" w:hAnsi="宋体" w:cs="宋体" w:eastAsia="宋体" w:hint="default"/>
        </w:rPr>
        <w:t>股(含内部职工股</w:t>
      </w:r>
      <w:r>
        <w:rPr>
          <w:rFonts w:ascii="宋体" w:hAnsi="宋体" w:cs="宋体" w:eastAsia="宋体" w:hint="default"/>
          <w:spacing w:val="-50"/>
        </w:rPr>
        <w:t> </w:t>
      </w:r>
      <w:r>
        <w:rPr>
          <w:rFonts w:ascii="宋体" w:hAnsi="宋体" w:cs="宋体" w:eastAsia="宋体" w:hint="default"/>
        </w:rPr>
        <w:t>4,200,000</w:t>
      </w:r>
      <w:r>
        <w:rPr>
          <w:rFonts w:ascii="宋体" w:hAnsi="宋体" w:cs="宋体" w:eastAsia="宋体" w:hint="default"/>
          <w:spacing w:val="-50"/>
        </w:rPr>
        <w:t> </w:t>
      </w:r>
      <w:r>
        <w:rPr>
          <w:rFonts w:ascii="宋体" w:hAnsi="宋体" w:cs="宋体" w:eastAsia="宋体" w:hint="default"/>
        </w:rPr>
        <w:t>股)。该次发行后，公司总</w:t>
      </w:r>
      <w:r>
        <w:rPr>
          <w:rFonts w:ascii="宋体" w:hAnsi="宋体" w:cs="宋体" w:eastAsia="宋体" w:hint="default"/>
          <w:spacing w:val="-1"/>
        </w:rPr>
        <w:t> </w:t>
      </w:r>
      <w:r>
        <w:rPr>
          <w:rFonts w:ascii="宋体" w:hAnsi="宋体" w:cs="宋体" w:eastAsia="宋体" w:hint="default"/>
        </w:rPr>
        <w:t>股本为</w:t>
      </w:r>
      <w:r>
        <w:rPr>
          <w:rFonts w:ascii="宋体" w:hAnsi="宋体" w:cs="宋体" w:eastAsia="宋体" w:hint="default"/>
          <w:spacing w:val="-54"/>
        </w:rPr>
        <w:t> </w:t>
      </w:r>
      <w:r>
        <w:rPr>
          <w:rFonts w:ascii="宋体" w:hAnsi="宋体" w:cs="宋体" w:eastAsia="宋体" w:hint="default"/>
        </w:rPr>
        <w:t>110,700,000</w:t>
      </w:r>
      <w:r>
        <w:rPr>
          <w:rFonts w:ascii="宋体" w:hAnsi="宋体" w:cs="宋体" w:eastAsia="宋体" w:hint="default"/>
          <w:spacing w:val="-54"/>
        </w:rPr>
        <w:t> </w:t>
      </w:r>
      <w:r>
        <w:rPr>
          <w:rFonts w:ascii="宋体" w:hAnsi="宋体" w:cs="宋体" w:eastAsia="宋体" w:hint="default"/>
          <w:spacing w:val="21"/>
        </w:rPr>
        <w:t>股。1997年6月</w:t>
      </w:r>
      <w:r>
        <w:rPr>
          <w:rFonts w:ascii="宋体" w:hAnsi="宋体" w:cs="宋体" w:eastAsia="宋体" w:hint="default"/>
          <w:spacing w:val="-55"/>
        </w:rPr>
        <w:t> </w:t>
      </w:r>
      <w:r>
        <w:rPr>
          <w:rFonts w:ascii="宋体" w:hAnsi="宋体" w:cs="宋体" w:eastAsia="宋体" w:hint="default"/>
        </w:rPr>
        <w:t>25</w:t>
      </w:r>
      <w:r>
        <w:rPr>
          <w:rFonts w:ascii="宋体" w:hAnsi="宋体" w:cs="宋体" w:eastAsia="宋体" w:hint="default"/>
          <w:spacing w:val="-55"/>
        </w:rPr>
        <w:t> </w:t>
      </w:r>
      <w:r>
        <w:rPr>
          <w:rFonts w:ascii="宋体" w:hAnsi="宋体" w:cs="宋体" w:eastAsia="宋体" w:hint="default"/>
          <w:spacing w:val="11"/>
        </w:rPr>
        <w:t>日，公司完成注册登记。1997年6月</w:t>
      </w:r>
      <w:r>
        <w:rPr>
          <w:rFonts w:ascii="宋体" w:hAnsi="宋体" w:cs="宋体" w:eastAsia="宋体" w:hint="default"/>
          <w:spacing w:val="-54"/>
        </w:rPr>
        <w:t> </w:t>
      </w:r>
      <w:r>
        <w:rPr>
          <w:rFonts w:ascii="宋体" w:hAnsi="宋体" w:cs="宋体" w:eastAsia="宋体" w:hint="default"/>
        </w:rPr>
        <w:t>27</w:t>
      </w:r>
      <w:r>
        <w:rPr>
          <w:rFonts w:ascii="宋体" w:hAnsi="宋体" w:cs="宋体" w:eastAsia="宋体" w:hint="default"/>
          <w:spacing w:val="-54"/>
        </w:rPr>
        <w:t> </w:t>
      </w:r>
      <w:r>
        <w:rPr>
          <w:rFonts w:ascii="宋体" w:hAnsi="宋体" w:cs="宋体" w:eastAsia="宋体" w:hint="default"/>
        </w:rPr>
        <w:t>日，</w:t>
      </w:r>
      <w:r>
        <w:rPr>
          <w:rFonts w:ascii="宋体" w:hAnsi="宋体" w:cs="宋体" w:eastAsia="宋体" w:hint="default"/>
        </w:rPr>
        <w:t> </w:t>
      </w:r>
      <w:r>
        <w:rPr>
          <w:rFonts w:ascii="宋体" w:hAnsi="宋体" w:cs="宋体" w:eastAsia="宋体" w:hint="default"/>
          <w:spacing w:val="-4"/>
        </w:rPr>
        <w:t>公司首次公开发行的股票在上海证券交易所挂牌交易，公司目前总股本</w:t>
      </w:r>
      <w:r>
        <w:rPr>
          <w:rFonts w:ascii="宋体" w:hAnsi="宋体" w:cs="宋体" w:eastAsia="宋体" w:hint="default"/>
          <w:spacing w:val="-84"/>
        </w:rPr>
        <w:t> </w:t>
      </w:r>
      <w:r>
        <w:rPr>
          <w:rFonts w:ascii="宋体" w:hAnsi="宋体" w:cs="宋体" w:eastAsia="宋体" w:hint="default"/>
        </w:rPr>
        <w:t>976,970,554</w:t>
      </w:r>
      <w:r>
        <w:rPr>
          <w:rFonts w:ascii="宋体" w:hAnsi="宋体" w:cs="宋体" w:eastAsia="宋体" w:hint="default"/>
          <w:spacing w:val="-84"/>
        </w:rPr>
        <w:t> </w:t>
      </w:r>
      <w:r>
        <w:rPr>
          <w:rFonts w:ascii="宋体" w:hAnsi="宋体" w:cs="宋体" w:eastAsia="宋体" w:hint="default"/>
        </w:rPr>
        <w:t>股。</w:t>
      </w:r>
    </w:p>
    <w:p>
      <w:pPr>
        <w:spacing w:line="240" w:lineRule="auto" w:before="10"/>
        <w:rPr>
          <w:rFonts w:ascii="宋体" w:hAnsi="宋体" w:cs="宋体" w:eastAsia="宋体" w:hint="default"/>
          <w:sz w:val="23"/>
          <w:szCs w:val="23"/>
        </w:rPr>
      </w:pPr>
    </w:p>
    <w:p>
      <w:pPr>
        <w:pStyle w:val="BodyText"/>
        <w:spacing w:line="237" w:lineRule="auto"/>
        <w:ind w:left="238" w:right="205"/>
        <w:jc w:val="both"/>
        <w:rPr>
          <w:rFonts w:ascii="宋体" w:hAnsi="宋体" w:cs="宋体" w:eastAsia="宋体" w:hint="default"/>
        </w:rPr>
      </w:pPr>
      <w:r>
        <w:rPr>
          <w:rFonts w:ascii="宋体" w:hAnsi="宋体" w:cs="宋体" w:eastAsia="宋体" w:hint="default"/>
          <w:spacing w:val="-2"/>
        </w:rPr>
        <w:t>公司主营业务概括为“两大产业、四大本部、八大领域”，即主要集中在信息和能源环</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3"/>
        </w:rPr>
        <w:t>境两大产业，其中，信息产业分为计算机系统本部、应用信息系统本部、数字电视系统</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本部共三大本部，涉及计算机、数字城市与行业信息化、安防系统、数字电视系统、数</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字通信与装备制造、互联网应用与服务等六大领域；能源环境产业设立能源环境本部， 涉及环保与建筑节能两大领域。</w:t>
      </w:r>
    </w:p>
    <w:p>
      <w:pPr>
        <w:spacing w:line="240" w:lineRule="auto" w:before="8"/>
        <w:rPr>
          <w:rFonts w:ascii="宋体" w:hAnsi="宋体" w:cs="宋体" w:eastAsia="宋体" w:hint="default"/>
          <w:sz w:val="23"/>
          <w:szCs w:val="23"/>
        </w:rPr>
      </w:pPr>
    </w:p>
    <w:p>
      <w:pPr>
        <w:pStyle w:val="BodyText"/>
        <w:spacing w:line="240" w:lineRule="auto"/>
        <w:ind w:left="238" w:right="213"/>
        <w:jc w:val="left"/>
        <w:rPr>
          <w:rFonts w:ascii="宋体" w:hAnsi="宋体" w:cs="宋体" w:eastAsia="宋体" w:hint="default"/>
        </w:rPr>
      </w:pPr>
      <w:r>
        <w:rPr>
          <w:rFonts w:ascii="宋体" w:hAnsi="宋体" w:cs="宋体" w:eastAsia="宋体" w:hint="default"/>
        </w:rPr>
        <w:t>公司八大业务领域的主要产品（或服务）如下：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946"/>
        <w:gridCol w:w="1968"/>
        <w:gridCol w:w="6371"/>
      </w:tblGrid>
      <w:tr>
        <w:trPr>
          <w:trHeight w:val="399" w:hRule="exact"/>
        </w:trPr>
        <w:tc>
          <w:tcPr>
            <w:tcW w:w="2914" w:type="dxa"/>
            <w:gridSpan w:val="2"/>
            <w:tcBorders>
              <w:top w:val="single" w:sz="12" w:space="0" w:color="000000"/>
              <w:left w:val="single" w:sz="12" w:space="0" w:color="000000"/>
              <w:bottom w:val="single" w:sz="6" w:space="0" w:color="000000"/>
              <w:right w:val="single" w:sz="6" w:space="0" w:color="000000"/>
            </w:tcBorders>
          </w:tcPr>
          <w:p>
            <w:pPr>
              <w:pStyle w:val="TableParagraph"/>
              <w:tabs>
                <w:tab w:pos="740" w:val="left" w:leader="none"/>
              </w:tabs>
              <w:spacing w:line="240" w:lineRule="auto" w:before="17"/>
              <w:ind w:right="5"/>
              <w:jc w:val="center"/>
              <w:rPr>
                <w:rFonts w:ascii="黑体" w:hAnsi="黑体" w:cs="黑体" w:eastAsia="黑体" w:hint="default"/>
                <w:sz w:val="21"/>
                <w:szCs w:val="21"/>
              </w:rPr>
            </w:pPr>
            <w:r>
              <w:rPr>
                <w:rFonts w:ascii="黑体" w:hAnsi="黑体" w:cs="黑体" w:eastAsia="黑体" w:hint="default"/>
                <w:b/>
                <w:bCs/>
                <w:w w:val="95"/>
                <w:sz w:val="21"/>
                <w:szCs w:val="21"/>
              </w:rPr>
              <w:t>项</w:t>
              <w:tab/>
            </w:r>
            <w:r>
              <w:rPr>
                <w:rFonts w:ascii="黑体" w:hAnsi="黑体" w:cs="黑体" w:eastAsia="黑体" w:hint="default"/>
                <w:b/>
                <w:bCs/>
                <w:sz w:val="21"/>
                <w:szCs w:val="21"/>
              </w:rPr>
              <w:t>目</w:t>
            </w:r>
            <w:r>
              <w:rPr>
                <w:rFonts w:ascii="黑体" w:hAnsi="黑体" w:cs="黑体" w:eastAsia="黑体" w:hint="default"/>
                <w:sz w:val="21"/>
                <w:szCs w:val="21"/>
              </w:rPr>
            </w:r>
          </w:p>
        </w:tc>
        <w:tc>
          <w:tcPr>
            <w:tcW w:w="637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
              <w:ind w:left="9" w:right="0"/>
              <w:jc w:val="center"/>
              <w:rPr>
                <w:rFonts w:ascii="黑体" w:hAnsi="黑体" w:cs="黑体" w:eastAsia="黑体" w:hint="default"/>
                <w:sz w:val="21"/>
                <w:szCs w:val="21"/>
              </w:rPr>
            </w:pPr>
            <w:r>
              <w:rPr>
                <w:rFonts w:ascii="黑体" w:hAnsi="黑体" w:cs="黑体" w:eastAsia="黑体" w:hint="default"/>
                <w:b/>
                <w:bCs/>
                <w:sz w:val="21"/>
                <w:szCs w:val="21"/>
              </w:rPr>
              <w:t>主要产品（或服务）</w:t>
            </w:r>
            <w:r>
              <w:rPr>
                <w:rFonts w:ascii="黑体" w:hAnsi="黑体" w:cs="黑体" w:eastAsia="黑体" w:hint="default"/>
                <w:sz w:val="21"/>
                <w:szCs w:val="21"/>
              </w:rPr>
            </w:r>
          </w:p>
        </w:tc>
      </w:tr>
      <w:tr>
        <w:trPr>
          <w:trHeight w:val="355" w:hRule="exact"/>
        </w:trPr>
        <w:tc>
          <w:tcPr>
            <w:tcW w:w="946" w:type="dxa"/>
            <w:tcBorders>
              <w:top w:val="single" w:sz="6" w:space="0" w:color="000000"/>
              <w:left w:val="single" w:sz="12" w:space="0" w:color="000000"/>
              <w:bottom w:val="nil" w:sz="6" w:space="0" w:color="auto"/>
              <w:right w:val="single" w:sz="6" w:space="0" w:color="000000"/>
            </w:tcBorders>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一、信</w:t>
            </w:r>
          </w:p>
        </w:tc>
        <w:tc>
          <w:tcPr>
            <w:tcW w:w="19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1.计算机</w:t>
            </w:r>
          </w:p>
        </w:tc>
        <w:tc>
          <w:tcPr>
            <w:tcW w:w="6371" w:type="dxa"/>
            <w:tcBorders>
              <w:top w:val="single" w:sz="6" w:space="0" w:color="000000"/>
              <w:left w:val="single" w:sz="6" w:space="0" w:color="000000"/>
              <w:bottom w:val="nil" w:sz="6" w:space="0" w:color="auto"/>
              <w:right w:val="single" w:sz="12"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家用电脑、商用电脑、笔记本产品系列、服务器</w:t>
            </w:r>
          </w:p>
        </w:tc>
      </w:tr>
      <w:tr>
        <w:trPr>
          <w:trHeight w:val="114" w:hRule="exact"/>
        </w:trPr>
        <w:tc>
          <w:tcPr>
            <w:tcW w:w="946" w:type="dxa"/>
            <w:vMerge w:val="restart"/>
            <w:tcBorders>
              <w:top w:val="nil" w:sz="6" w:space="0" w:color="auto"/>
              <w:left w:val="single" w:sz="12" w:space="0" w:color="000000"/>
              <w:right w:val="single" w:sz="6" w:space="0" w:color="000000"/>
            </w:tcBorders>
          </w:tcPr>
          <w:p>
            <w:pPr>
              <w:pStyle w:val="TableParagraph"/>
              <w:spacing w:line="226" w:lineRule="exact"/>
              <w:ind w:left="142" w:right="0"/>
              <w:jc w:val="left"/>
              <w:rPr>
                <w:rFonts w:ascii="宋体" w:hAnsi="宋体" w:cs="宋体" w:eastAsia="宋体" w:hint="default"/>
                <w:sz w:val="21"/>
                <w:szCs w:val="21"/>
              </w:rPr>
            </w:pPr>
            <w:r>
              <w:rPr>
                <w:rFonts w:ascii="宋体" w:hAnsi="宋体" w:cs="宋体" w:eastAsia="宋体" w:hint="default"/>
                <w:sz w:val="21"/>
                <w:szCs w:val="21"/>
              </w:rPr>
              <w:t>息产业</w:t>
            </w:r>
          </w:p>
        </w:tc>
        <w:tc>
          <w:tcPr>
            <w:tcW w:w="1968" w:type="dxa"/>
            <w:tcBorders>
              <w:top w:val="nil" w:sz="6" w:space="0" w:color="auto"/>
              <w:left w:val="single" w:sz="6" w:space="0" w:color="000000"/>
              <w:bottom w:val="single" w:sz="6" w:space="0" w:color="000000"/>
              <w:right w:val="single" w:sz="6" w:space="0" w:color="000000"/>
            </w:tcBorders>
          </w:tcPr>
          <w:p>
            <w:pPr/>
          </w:p>
        </w:tc>
        <w:tc>
          <w:tcPr>
            <w:tcW w:w="6371"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946" w:type="dxa"/>
            <w:vMerge/>
            <w:tcBorders>
              <w:left w:val="single" w:sz="12" w:space="0" w:color="000000"/>
              <w:bottom w:val="nil" w:sz="6" w:space="0" w:color="auto"/>
              <w:right w:val="single" w:sz="6" w:space="0" w:color="000000"/>
            </w:tcBorders>
          </w:tcPr>
          <w:p>
            <w:pPr/>
          </w:p>
        </w:tc>
        <w:tc>
          <w:tcPr>
            <w:tcW w:w="1968" w:type="dxa"/>
            <w:tcBorders>
              <w:top w:val="single" w:sz="6" w:space="0" w:color="000000"/>
              <w:left w:val="single" w:sz="6" w:space="0" w:color="000000"/>
              <w:bottom w:val="nil" w:sz="6" w:space="0" w:color="auto"/>
              <w:right w:val="single" w:sz="6" w:space="0" w:color="000000"/>
            </w:tcBorders>
          </w:tcPr>
          <w:p>
            <w:pPr/>
          </w:p>
        </w:tc>
        <w:tc>
          <w:tcPr>
            <w:tcW w:w="6371"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3"/>
                <w:sz w:val="21"/>
                <w:szCs w:val="21"/>
              </w:rPr>
              <w:t> </w:t>
            </w:r>
            <w:r>
              <w:rPr>
                <w:rFonts w:ascii="宋体" w:hAnsi="宋体" w:cs="宋体" w:eastAsia="宋体" w:hint="default"/>
                <w:sz w:val="21"/>
                <w:szCs w:val="21"/>
              </w:rPr>
              <w:t>ezONE</w:t>
            </w:r>
            <w:r>
              <w:rPr>
                <w:rFonts w:ascii="宋体" w:hAnsi="宋体" w:cs="宋体" w:eastAsia="宋体" w:hint="default"/>
                <w:spacing w:val="-53"/>
                <w:sz w:val="21"/>
                <w:szCs w:val="21"/>
              </w:rPr>
              <w:t> </w:t>
            </w:r>
            <w:r>
              <w:rPr>
                <w:rFonts w:ascii="宋体" w:hAnsi="宋体" w:cs="宋体" w:eastAsia="宋体" w:hint="default"/>
                <w:sz w:val="21"/>
                <w:szCs w:val="21"/>
              </w:rPr>
              <w:t>基础软件平台的智能建筑；水、燃气、供热、交通、消</w:t>
            </w:r>
          </w:p>
        </w:tc>
      </w:tr>
      <w:tr>
        <w:trPr>
          <w:trHeight w:val="312" w:hRule="exact"/>
        </w:trPr>
        <w:tc>
          <w:tcPr>
            <w:tcW w:w="946" w:type="dxa"/>
            <w:tcBorders>
              <w:top w:val="nil" w:sz="6" w:space="0" w:color="auto"/>
              <w:left w:val="single" w:sz="12" w:space="0" w:color="000000"/>
              <w:bottom w:val="nil" w:sz="6" w:space="0" w:color="auto"/>
              <w:right w:val="single" w:sz="6" w:space="0" w:color="000000"/>
            </w:tcBorders>
          </w:tcPr>
          <w:p>
            <w:pPr/>
          </w:p>
        </w:tc>
        <w:tc>
          <w:tcPr>
            <w:tcW w:w="196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2.数字城市与行业</w:t>
            </w:r>
          </w:p>
        </w:tc>
        <w:tc>
          <w:tcPr>
            <w:tcW w:w="6371" w:type="dxa"/>
            <w:tcBorders>
              <w:top w:val="nil" w:sz="6" w:space="0" w:color="auto"/>
              <w:left w:val="single" w:sz="6" w:space="0" w:color="000000"/>
              <w:bottom w:val="nil" w:sz="6" w:space="0" w:color="auto"/>
              <w:right w:val="single" w:sz="12"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防、安防等城市信息化；工商、税务、公安、社保、统计、政府等</w:t>
            </w:r>
          </w:p>
        </w:tc>
      </w:tr>
      <w:tr>
        <w:trPr>
          <w:trHeight w:val="313" w:hRule="exact"/>
        </w:trPr>
        <w:tc>
          <w:tcPr>
            <w:tcW w:w="946" w:type="dxa"/>
            <w:tcBorders>
              <w:top w:val="nil" w:sz="6" w:space="0" w:color="auto"/>
              <w:left w:val="single" w:sz="12" w:space="0" w:color="000000"/>
              <w:bottom w:val="nil" w:sz="6" w:space="0" w:color="auto"/>
              <w:right w:val="single" w:sz="6" w:space="0" w:color="000000"/>
            </w:tcBorders>
          </w:tcPr>
          <w:p>
            <w:pPr/>
          </w:p>
        </w:tc>
        <w:tc>
          <w:tcPr>
            <w:tcW w:w="196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信息化</w:t>
            </w:r>
          </w:p>
        </w:tc>
        <w:tc>
          <w:tcPr>
            <w:tcW w:w="6371" w:type="dxa"/>
            <w:tcBorders>
              <w:top w:val="nil" w:sz="6" w:space="0" w:color="auto"/>
              <w:left w:val="single" w:sz="6" w:space="0" w:color="000000"/>
              <w:bottom w:val="nil" w:sz="6" w:space="0" w:color="auto"/>
              <w:right w:val="single" w:sz="12"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电子政务、电子商务、企业信息化等数字城市与行业信息化应用的</w:t>
            </w:r>
          </w:p>
        </w:tc>
      </w:tr>
      <w:tr>
        <w:trPr>
          <w:trHeight w:val="319" w:hRule="exact"/>
        </w:trPr>
        <w:tc>
          <w:tcPr>
            <w:tcW w:w="946" w:type="dxa"/>
            <w:tcBorders>
              <w:top w:val="nil" w:sz="6" w:space="0" w:color="auto"/>
              <w:left w:val="single" w:sz="12" w:space="0" w:color="000000"/>
              <w:bottom w:val="nil" w:sz="6" w:space="0" w:color="auto"/>
              <w:right w:val="single" w:sz="6" w:space="0" w:color="000000"/>
            </w:tcBorders>
          </w:tcPr>
          <w:p>
            <w:pPr/>
          </w:p>
        </w:tc>
        <w:tc>
          <w:tcPr>
            <w:tcW w:w="1968" w:type="dxa"/>
            <w:tcBorders>
              <w:top w:val="nil" w:sz="6" w:space="0" w:color="auto"/>
              <w:left w:val="single" w:sz="6" w:space="0" w:color="000000"/>
              <w:bottom w:val="single" w:sz="6" w:space="0" w:color="000000"/>
              <w:right w:val="single" w:sz="6" w:space="0" w:color="000000"/>
            </w:tcBorders>
          </w:tcPr>
          <w:p>
            <w:pPr/>
          </w:p>
        </w:tc>
        <w:tc>
          <w:tcPr>
            <w:tcW w:w="6371" w:type="dxa"/>
            <w:tcBorders>
              <w:top w:val="nil" w:sz="6" w:space="0" w:color="auto"/>
              <w:left w:val="single" w:sz="6" w:space="0" w:color="000000"/>
              <w:bottom w:val="single" w:sz="6" w:space="0" w:color="000000"/>
              <w:right w:val="single" w:sz="12" w:space="0" w:color="000000"/>
            </w:tcBorders>
          </w:tcPr>
          <w:p>
            <w:pPr>
              <w:pStyle w:val="TableParagraph"/>
              <w:spacing w:line="261" w:lineRule="exact"/>
              <w:ind w:left="100" w:right="-12"/>
              <w:jc w:val="left"/>
              <w:rPr>
                <w:rFonts w:ascii="宋体" w:hAnsi="宋体" w:cs="宋体" w:eastAsia="宋体" w:hint="default"/>
                <w:sz w:val="21"/>
                <w:szCs w:val="21"/>
              </w:rPr>
            </w:pPr>
            <w:r>
              <w:rPr>
                <w:rFonts w:ascii="宋体" w:hAnsi="宋体" w:cs="宋体" w:eastAsia="宋体" w:hint="default"/>
                <w:spacing w:val="-2"/>
                <w:sz w:val="21"/>
                <w:szCs w:val="21"/>
              </w:rPr>
              <w:t>大型系统集成业务、技术服务、芯片设计、软硬件产品制造与销售。</w:t>
            </w:r>
          </w:p>
        </w:tc>
      </w:tr>
      <w:tr>
        <w:trPr>
          <w:trHeight w:val="319" w:hRule="exact"/>
        </w:trPr>
        <w:tc>
          <w:tcPr>
            <w:tcW w:w="946" w:type="dxa"/>
            <w:tcBorders>
              <w:top w:val="nil" w:sz="6" w:space="0" w:color="auto"/>
              <w:left w:val="single" w:sz="12" w:space="0" w:color="000000"/>
              <w:bottom w:val="nil" w:sz="6" w:space="0" w:color="auto"/>
              <w:right w:val="single" w:sz="6" w:space="0" w:color="000000"/>
            </w:tcBorders>
          </w:tcPr>
          <w:p>
            <w:pPr/>
          </w:p>
        </w:tc>
        <w:tc>
          <w:tcPr>
            <w:tcW w:w="1968" w:type="dxa"/>
            <w:tcBorders>
              <w:top w:val="single" w:sz="6" w:space="0" w:color="000000"/>
              <w:left w:val="single" w:sz="6" w:space="0" w:color="000000"/>
              <w:bottom w:val="nil" w:sz="6" w:space="0" w:color="auto"/>
              <w:right w:val="single" w:sz="6" w:space="0" w:color="000000"/>
            </w:tcBorders>
          </w:tcPr>
          <w:p>
            <w:pPr/>
          </w:p>
        </w:tc>
        <w:tc>
          <w:tcPr>
            <w:tcW w:w="6371"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集装箱检查系统、铁路多用途货物检查系统、航空集装货物检查系</w:t>
            </w:r>
          </w:p>
        </w:tc>
      </w:tr>
      <w:tr>
        <w:trPr>
          <w:trHeight w:val="313" w:hRule="exact"/>
        </w:trPr>
        <w:tc>
          <w:tcPr>
            <w:tcW w:w="946" w:type="dxa"/>
            <w:tcBorders>
              <w:top w:val="nil" w:sz="6" w:space="0" w:color="auto"/>
              <w:left w:val="single" w:sz="12" w:space="0" w:color="000000"/>
              <w:bottom w:val="nil" w:sz="6" w:space="0" w:color="auto"/>
              <w:right w:val="single" w:sz="6" w:space="0" w:color="000000"/>
            </w:tcBorders>
          </w:tcPr>
          <w:p>
            <w:pPr/>
          </w:p>
        </w:tc>
        <w:tc>
          <w:tcPr>
            <w:tcW w:w="196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3.安防系统</w:t>
            </w:r>
          </w:p>
        </w:tc>
        <w:tc>
          <w:tcPr>
            <w:tcW w:w="6371" w:type="dxa"/>
            <w:tcBorders>
              <w:top w:val="nil" w:sz="6" w:space="0" w:color="auto"/>
              <w:left w:val="single" w:sz="6" w:space="0" w:color="000000"/>
              <w:bottom w:val="nil" w:sz="6" w:space="0" w:color="auto"/>
              <w:right w:val="single" w:sz="12"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统、车辆安全检查系统、放射性物质检测系统、X</w:t>
            </w:r>
            <w:r>
              <w:rPr>
                <w:rFonts w:ascii="宋体" w:hAnsi="宋体" w:cs="宋体" w:eastAsia="宋体" w:hint="default"/>
                <w:spacing w:val="-26"/>
                <w:sz w:val="21"/>
                <w:szCs w:val="21"/>
              </w:rPr>
              <w:t> </w:t>
            </w:r>
            <w:r>
              <w:rPr>
                <w:rFonts w:ascii="宋体" w:hAnsi="宋体" w:cs="宋体" w:eastAsia="宋体" w:hint="default"/>
                <w:spacing w:val="-4"/>
                <w:sz w:val="21"/>
                <w:szCs w:val="21"/>
              </w:rPr>
              <w:t>射线检查系统、易</w:t>
            </w:r>
          </w:p>
        </w:tc>
      </w:tr>
      <w:tr>
        <w:trPr>
          <w:trHeight w:val="320" w:hRule="exact"/>
        </w:trPr>
        <w:tc>
          <w:tcPr>
            <w:tcW w:w="946" w:type="dxa"/>
            <w:tcBorders>
              <w:top w:val="nil" w:sz="6" w:space="0" w:color="auto"/>
              <w:left w:val="single" w:sz="12" w:space="0" w:color="000000"/>
              <w:bottom w:val="nil" w:sz="6" w:space="0" w:color="auto"/>
              <w:right w:val="single" w:sz="6" w:space="0" w:color="000000"/>
            </w:tcBorders>
          </w:tcPr>
          <w:p>
            <w:pPr/>
          </w:p>
        </w:tc>
        <w:tc>
          <w:tcPr>
            <w:tcW w:w="1968" w:type="dxa"/>
            <w:tcBorders>
              <w:top w:val="nil" w:sz="6" w:space="0" w:color="auto"/>
              <w:left w:val="single" w:sz="6" w:space="0" w:color="000000"/>
              <w:bottom w:val="single" w:sz="6" w:space="0" w:color="000000"/>
              <w:right w:val="single" w:sz="6" w:space="0" w:color="000000"/>
            </w:tcBorders>
          </w:tcPr>
          <w:p>
            <w:pPr/>
          </w:p>
        </w:tc>
        <w:tc>
          <w:tcPr>
            <w:tcW w:w="6371" w:type="dxa"/>
            <w:tcBorders>
              <w:top w:val="nil" w:sz="6" w:space="0" w:color="auto"/>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燃易爆及放射性材料检测、武器炸药检测设备</w:t>
            </w:r>
          </w:p>
        </w:tc>
      </w:tr>
      <w:tr>
        <w:trPr>
          <w:trHeight w:val="319" w:hRule="exact"/>
        </w:trPr>
        <w:tc>
          <w:tcPr>
            <w:tcW w:w="946" w:type="dxa"/>
            <w:tcBorders>
              <w:top w:val="nil" w:sz="6" w:space="0" w:color="auto"/>
              <w:left w:val="single" w:sz="12" w:space="0" w:color="000000"/>
              <w:bottom w:val="nil" w:sz="6" w:space="0" w:color="auto"/>
              <w:right w:val="single" w:sz="6" w:space="0" w:color="000000"/>
            </w:tcBorders>
          </w:tcPr>
          <w:p>
            <w:pPr/>
          </w:p>
        </w:tc>
        <w:tc>
          <w:tcPr>
            <w:tcW w:w="1968" w:type="dxa"/>
            <w:tcBorders>
              <w:top w:val="single" w:sz="6" w:space="0" w:color="000000"/>
              <w:left w:val="single" w:sz="6" w:space="0" w:color="000000"/>
              <w:bottom w:val="nil" w:sz="6" w:space="0" w:color="auto"/>
              <w:right w:val="single" w:sz="6" w:space="0" w:color="000000"/>
            </w:tcBorders>
          </w:tcPr>
          <w:p>
            <w:pPr/>
          </w:p>
        </w:tc>
        <w:tc>
          <w:tcPr>
            <w:tcW w:w="6371"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数字广播电视发射、传输/接收系统、多媒体数字终端设备、数字电</w:t>
            </w:r>
          </w:p>
        </w:tc>
      </w:tr>
      <w:tr>
        <w:trPr>
          <w:trHeight w:val="624" w:hRule="exact"/>
        </w:trPr>
        <w:tc>
          <w:tcPr>
            <w:tcW w:w="946" w:type="dxa"/>
            <w:tcBorders>
              <w:top w:val="nil" w:sz="6" w:space="0" w:color="auto"/>
              <w:left w:val="single" w:sz="12" w:space="0" w:color="000000"/>
              <w:bottom w:val="nil" w:sz="6" w:space="0" w:color="auto"/>
              <w:right w:val="single" w:sz="6" w:space="0" w:color="000000"/>
            </w:tcBorders>
          </w:tcPr>
          <w:p>
            <w:pPr/>
          </w:p>
        </w:tc>
        <w:tc>
          <w:tcPr>
            <w:tcW w:w="196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4.数字电视系统</w:t>
            </w:r>
          </w:p>
        </w:tc>
        <w:tc>
          <w:tcPr>
            <w:tcW w:w="6371" w:type="dxa"/>
            <w:tcBorders>
              <w:top w:val="nil" w:sz="6" w:space="0" w:color="auto"/>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视内容服务、网络运营等在内的数字电视整体产业链业务。其中多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媒体数字终端设备包括数字电视机、IPTV、移动终端、数字影院、</w:t>
            </w:r>
          </w:p>
        </w:tc>
      </w:tr>
      <w:tr>
        <w:trPr>
          <w:trHeight w:val="327" w:hRule="exact"/>
        </w:trPr>
        <w:tc>
          <w:tcPr>
            <w:tcW w:w="946" w:type="dxa"/>
            <w:tcBorders>
              <w:top w:val="nil" w:sz="6" w:space="0" w:color="auto"/>
              <w:left w:val="single" w:sz="12" w:space="0" w:color="000000"/>
              <w:bottom w:val="single" w:sz="12" w:space="0" w:color="000000"/>
              <w:right w:val="single" w:sz="6" w:space="0" w:color="000000"/>
            </w:tcBorders>
          </w:tcPr>
          <w:p>
            <w:pPr/>
          </w:p>
        </w:tc>
        <w:tc>
          <w:tcPr>
            <w:tcW w:w="1968" w:type="dxa"/>
            <w:tcBorders>
              <w:top w:val="nil" w:sz="6" w:space="0" w:color="auto"/>
              <w:left w:val="single" w:sz="6" w:space="0" w:color="000000"/>
              <w:bottom w:val="single" w:sz="12" w:space="0" w:color="000000"/>
              <w:right w:val="single" w:sz="6" w:space="0" w:color="000000"/>
            </w:tcBorders>
          </w:tcPr>
          <w:p>
            <w:pPr/>
          </w:p>
        </w:tc>
        <w:tc>
          <w:tcPr>
            <w:tcW w:w="6371" w:type="dxa"/>
            <w:tcBorders>
              <w:top w:val="nil" w:sz="6" w:space="0" w:color="auto"/>
              <w:left w:val="single" w:sz="6" w:space="0" w:color="000000"/>
              <w:bottom w:val="single" w:sz="12"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机顶盒等。</w:t>
            </w:r>
          </w:p>
        </w:tc>
      </w:tr>
    </w:tbl>
    <w:p>
      <w:pPr>
        <w:spacing w:after="0" w:line="261" w:lineRule="exact"/>
        <w:jc w:val="left"/>
        <w:rPr>
          <w:rFonts w:ascii="宋体" w:hAnsi="宋体" w:cs="宋体" w:eastAsia="宋体" w:hint="default"/>
          <w:sz w:val="21"/>
          <w:szCs w:val="21"/>
        </w:rPr>
        <w:sectPr>
          <w:headerReference w:type="default" r:id="rId50"/>
          <w:footerReference w:type="default" r:id="rId51"/>
          <w:pgSz w:w="11910" w:h="16840"/>
          <w:pgMar w:header="0" w:footer="983" w:top="1380" w:bottom="1180" w:left="1180" w:right="1160"/>
          <w:pgNumType w:start="1"/>
        </w:sectPr>
      </w:pPr>
    </w:p>
    <w:p>
      <w:pPr>
        <w:spacing w:line="240" w:lineRule="auto" w:before="13"/>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946"/>
        <w:gridCol w:w="1968"/>
        <w:gridCol w:w="6371"/>
      </w:tblGrid>
      <w:tr>
        <w:trPr>
          <w:trHeight w:val="399" w:hRule="exact"/>
        </w:trPr>
        <w:tc>
          <w:tcPr>
            <w:tcW w:w="2914" w:type="dxa"/>
            <w:gridSpan w:val="2"/>
            <w:tcBorders>
              <w:top w:val="single" w:sz="12" w:space="0" w:color="000000"/>
              <w:left w:val="single" w:sz="12" w:space="0" w:color="000000"/>
              <w:bottom w:val="single" w:sz="6" w:space="0" w:color="000000"/>
              <w:right w:val="single" w:sz="6" w:space="0" w:color="000000"/>
            </w:tcBorders>
          </w:tcPr>
          <w:p>
            <w:pPr>
              <w:pStyle w:val="TableParagraph"/>
              <w:tabs>
                <w:tab w:pos="740" w:val="left" w:leader="none"/>
              </w:tabs>
              <w:spacing w:line="240" w:lineRule="auto" w:before="17"/>
              <w:ind w:right="5"/>
              <w:jc w:val="center"/>
              <w:rPr>
                <w:rFonts w:ascii="黑体" w:hAnsi="黑体" w:cs="黑体" w:eastAsia="黑体" w:hint="default"/>
                <w:sz w:val="21"/>
                <w:szCs w:val="21"/>
              </w:rPr>
            </w:pPr>
            <w:r>
              <w:rPr>
                <w:rFonts w:ascii="黑体" w:hAnsi="黑体" w:cs="黑体" w:eastAsia="黑体" w:hint="default"/>
                <w:b/>
                <w:bCs/>
                <w:w w:val="95"/>
                <w:sz w:val="21"/>
                <w:szCs w:val="21"/>
              </w:rPr>
              <w:t>项</w:t>
              <w:tab/>
            </w:r>
            <w:r>
              <w:rPr>
                <w:rFonts w:ascii="黑体" w:hAnsi="黑体" w:cs="黑体" w:eastAsia="黑体" w:hint="default"/>
                <w:b/>
                <w:bCs/>
                <w:sz w:val="21"/>
                <w:szCs w:val="21"/>
              </w:rPr>
              <w:t>目</w:t>
            </w:r>
            <w:r>
              <w:rPr>
                <w:rFonts w:ascii="黑体" w:hAnsi="黑体" w:cs="黑体" w:eastAsia="黑体" w:hint="default"/>
                <w:sz w:val="21"/>
                <w:szCs w:val="21"/>
              </w:rPr>
            </w:r>
          </w:p>
        </w:tc>
        <w:tc>
          <w:tcPr>
            <w:tcW w:w="637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
              <w:ind w:left="9" w:right="0"/>
              <w:jc w:val="center"/>
              <w:rPr>
                <w:rFonts w:ascii="黑体" w:hAnsi="黑体" w:cs="黑体" w:eastAsia="黑体" w:hint="default"/>
                <w:sz w:val="21"/>
                <w:szCs w:val="21"/>
              </w:rPr>
            </w:pPr>
            <w:r>
              <w:rPr>
                <w:rFonts w:ascii="黑体" w:hAnsi="黑体" w:cs="黑体" w:eastAsia="黑体" w:hint="default"/>
                <w:b/>
                <w:bCs/>
                <w:sz w:val="21"/>
                <w:szCs w:val="21"/>
              </w:rPr>
              <w:t>主要产品（或服务）</w:t>
            </w:r>
            <w:r>
              <w:rPr>
                <w:rFonts w:ascii="黑体" w:hAnsi="黑体" w:cs="黑体" w:eastAsia="黑体" w:hint="default"/>
                <w:sz w:val="21"/>
                <w:szCs w:val="21"/>
              </w:rPr>
            </w:r>
          </w:p>
        </w:tc>
      </w:tr>
      <w:tr>
        <w:trPr>
          <w:trHeight w:val="638" w:hRule="exact"/>
        </w:trPr>
        <w:tc>
          <w:tcPr>
            <w:tcW w:w="946" w:type="dxa"/>
            <w:vMerge w:val="restart"/>
            <w:tcBorders>
              <w:top w:val="single" w:sz="6" w:space="0" w:color="000000"/>
              <w:left w:val="single" w:sz="12"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5.数字通信与装备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制造</w:t>
            </w:r>
          </w:p>
        </w:tc>
        <w:tc>
          <w:tcPr>
            <w:tcW w:w="6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通信系统、电子对抗、卫星导航、专用电子产品、军辅船</w:t>
            </w:r>
          </w:p>
        </w:tc>
      </w:tr>
      <w:tr>
        <w:trPr>
          <w:trHeight w:val="640" w:hRule="exact"/>
        </w:trPr>
        <w:tc>
          <w:tcPr>
            <w:tcW w:w="946" w:type="dxa"/>
            <w:vMerge/>
            <w:tcBorders>
              <w:left w:val="single" w:sz="12"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6.互联网应用与服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6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互联网出版与知识信息服务、网络教育、互联网增值服务等方面</w:t>
            </w:r>
          </w:p>
        </w:tc>
      </w:tr>
      <w:tr>
        <w:trPr>
          <w:trHeight w:val="638" w:hRule="exact"/>
        </w:trPr>
        <w:tc>
          <w:tcPr>
            <w:tcW w:w="946"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42" w:right="149"/>
              <w:jc w:val="left"/>
              <w:rPr>
                <w:rFonts w:ascii="宋体" w:hAnsi="宋体" w:cs="宋体" w:eastAsia="宋体" w:hint="default"/>
                <w:sz w:val="21"/>
                <w:szCs w:val="21"/>
              </w:rPr>
            </w:pPr>
            <w:r>
              <w:rPr>
                <w:rFonts w:ascii="宋体" w:hAnsi="宋体" w:cs="宋体" w:eastAsia="宋体" w:hint="default"/>
                <w:sz w:val="21"/>
                <w:szCs w:val="21"/>
              </w:rPr>
              <w:t>二、能 源环境</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7.环保领域</w:t>
            </w:r>
          </w:p>
        </w:tc>
        <w:tc>
          <w:tcPr>
            <w:tcW w:w="637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水处理与净化、烟气脱硫脱硝、除尘、废弃物处理与资源综合利用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等</w:t>
            </w:r>
          </w:p>
        </w:tc>
      </w:tr>
      <w:tr>
        <w:trPr>
          <w:trHeight w:val="959" w:hRule="exact"/>
        </w:trPr>
        <w:tc>
          <w:tcPr>
            <w:tcW w:w="946" w:type="dxa"/>
            <w:vMerge/>
            <w:tcBorders>
              <w:left w:val="single" w:sz="12" w:space="0" w:color="000000"/>
              <w:bottom w:val="single" w:sz="12" w:space="0" w:color="000000"/>
              <w:right w:val="single" w:sz="6" w:space="0" w:color="000000"/>
            </w:tcBorders>
          </w:tcPr>
          <w:p>
            <w:pPr/>
          </w:p>
        </w:tc>
        <w:tc>
          <w:tcPr>
            <w:tcW w:w="1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8.建筑节能领域</w:t>
            </w:r>
          </w:p>
        </w:tc>
        <w:tc>
          <w:tcPr>
            <w:tcW w:w="6371" w:type="dxa"/>
            <w:tcBorders>
              <w:top w:val="single" w:sz="6" w:space="0" w:color="000000"/>
              <w:left w:val="single" w:sz="6" w:space="0" w:color="000000"/>
              <w:bottom w:val="single" w:sz="12"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中央空调设备与工程、污水/地源/海水水源热泵工程、空气净化产</w:t>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3"/>
                <w:sz w:val="21"/>
                <w:szCs w:val="21"/>
              </w:rPr>
              <w:t>品与工程、蓄冰空调设备与工程、智能电气、LED</w:t>
            </w:r>
            <w:r>
              <w:rPr>
                <w:rFonts w:ascii="宋体" w:hAnsi="宋体" w:cs="宋体" w:eastAsia="宋体" w:hint="default"/>
                <w:spacing w:val="-48"/>
                <w:sz w:val="21"/>
                <w:szCs w:val="21"/>
              </w:rPr>
              <w:t> </w:t>
            </w:r>
            <w:r>
              <w:rPr>
                <w:rFonts w:ascii="宋体" w:hAnsi="宋体" w:cs="宋体" w:eastAsia="宋体" w:hint="default"/>
                <w:spacing w:val="-4"/>
                <w:sz w:val="21"/>
                <w:szCs w:val="21"/>
              </w:rPr>
              <w:t>芯片制造、节能灯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具及照明工程</w:t>
            </w:r>
          </w:p>
        </w:tc>
      </w:tr>
    </w:tbl>
    <w:p>
      <w:pPr>
        <w:spacing w:line="240" w:lineRule="auto" w:before="4"/>
        <w:rPr>
          <w:rFonts w:ascii="宋体" w:hAnsi="宋体" w:cs="宋体" w:eastAsia="宋体" w:hint="default"/>
          <w:sz w:val="19"/>
          <w:szCs w:val="19"/>
        </w:rPr>
      </w:pPr>
    </w:p>
    <w:p>
      <w:pPr>
        <w:pStyle w:val="Heading2"/>
        <w:spacing w:line="240" w:lineRule="auto" w:before="13"/>
        <w:ind w:right="0"/>
        <w:jc w:val="both"/>
        <w:rPr>
          <w:rFonts w:ascii="宋体" w:hAnsi="宋体" w:cs="宋体" w:eastAsia="宋体" w:hint="default"/>
          <w:b w:val="0"/>
          <w:bCs w:val="0"/>
        </w:rPr>
      </w:pPr>
      <w:r>
        <w:rPr>
          <w:rFonts w:ascii="宋体" w:hAnsi="宋体" w:cs="宋体" w:eastAsia="宋体" w:hint="default"/>
        </w:rPr>
        <w:t>二、董事会关于本公司内部控制有关承诺与说明</w:t>
      </w:r>
      <w:r>
        <w:rPr>
          <w:rFonts w:ascii="宋体" w:hAnsi="宋体" w:cs="宋体" w:eastAsia="宋体" w:hint="default"/>
          <w:b w:val="0"/>
          <w:bCs w:val="0"/>
        </w:rPr>
      </w:r>
    </w:p>
    <w:p>
      <w:pPr>
        <w:spacing w:line="240" w:lineRule="auto" w:before="3"/>
        <w:rPr>
          <w:rFonts w:ascii="宋体" w:hAnsi="宋体" w:cs="宋体" w:eastAsia="宋体" w:hint="default"/>
          <w:b/>
          <w:bCs/>
          <w:sz w:val="28"/>
          <w:szCs w:val="28"/>
        </w:rPr>
      </w:pPr>
    </w:p>
    <w:p>
      <w:pPr>
        <w:pStyle w:val="BodyText"/>
        <w:spacing w:line="237" w:lineRule="auto"/>
        <w:ind w:left="238" w:right="254"/>
        <w:jc w:val="both"/>
        <w:rPr>
          <w:rFonts w:ascii="宋体" w:hAnsi="宋体" w:cs="宋体" w:eastAsia="宋体" w:hint="default"/>
        </w:rPr>
      </w:pPr>
      <w:r>
        <w:rPr>
          <w:rFonts w:ascii="宋体" w:hAnsi="宋体" w:cs="宋体" w:eastAsia="宋体" w:hint="default"/>
          <w:spacing w:val="-2"/>
        </w:rPr>
        <w:t>建立健全并有效实施内部控制是本公司董事会及管理层的责任。本公司内部控制的目标</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是：合理保证公司经营管理合法合规、资产安全、财务报告及相关信息真实完整，保护</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投资者合法权益,提高公司经营效率和效果，促进公司实现发展战略。</w:t>
      </w:r>
    </w:p>
    <w:p>
      <w:pPr>
        <w:spacing w:line="240" w:lineRule="auto" w:before="1"/>
        <w:rPr>
          <w:rFonts w:ascii="宋体" w:hAnsi="宋体" w:cs="宋体" w:eastAsia="宋体" w:hint="default"/>
          <w:sz w:val="26"/>
          <w:szCs w:val="26"/>
        </w:rPr>
      </w:pPr>
    </w:p>
    <w:p>
      <w:pPr>
        <w:pStyle w:val="BodyText"/>
        <w:spacing w:line="310" w:lineRule="exact"/>
        <w:ind w:left="238" w:right="254"/>
        <w:jc w:val="both"/>
        <w:rPr>
          <w:rFonts w:ascii="宋体" w:hAnsi="宋体" w:cs="宋体" w:eastAsia="宋体" w:hint="default"/>
        </w:rPr>
      </w:pPr>
      <w:r>
        <w:rPr>
          <w:rFonts w:ascii="宋体" w:hAnsi="宋体" w:cs="宋体" w:eastAsia="宋体" w:hint="default"/>
          <w:spacing w:val="-2"/>
        </w:rPr>
        <w:t>内部控制存在固有局限性，故仅能对达到上述目标提供合理保证；而且，内部控制的有</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效性亦可能随公司内、外部环境及经营情况的改变而改变。本公司内部控制设有检查监</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督机制，内控缺陷一经识别，本公司将立即采取整改措施。</w:t>
      </w:r>
    </w:p>
    <w:p>
      <w:pPr>
        <w:spacing w:line="240" w:lineRule="auto" w:before="12"/>
        <w:rPr>
          <w:rFonts w:ascii="宋体" w:hAnsi="宋体" w:cs="宋体" w:eastAsia="宋体" w:hint="default"/>
          <w:sz w:val="20"/>
          <w:szCs w:val="20"/>
        </w:rPr>
      </w:pP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三、本公司内部控制制度制定的目的和原则</w:t>
      </w:r>
      <w:r>
        <w:rPr>
          <w:rFonts w:ascii="宋体" w:hAnsi="宋体" w:cs="宋体" w:eastAsia="宋体" w:hint="default"/>
          <w:b w:val="0"/>
          <w:bCs w:val="0"/>
        </w:rPr>
      </w:r>
    </w:p>
    <w:p>
      <w:pPr>
        <w:spacing w:line="240" w:lineRule="auto" w:before="2"/>
        <w:rPr>
          <w:rFonts w:ascii="宋体" w:hAnsi="宋体" w:cs="宋体" w:eastAsia="宋体" w:hint="default"/>
          <w:b/>
          <w:bCs/>
          <w:sz w:val="24"/>
          <w:szCs w:val="24"/>
        </w:rPr>
      </w:pPr>
    </w:p>
    <w:p>
      <w:pPr>
        <w:pStyle w:val="Heading3"/>
        <w:spacing w:line="240" w:lineRule="auto"/>
        <w:ind w:left="238" w:right="0"/>
        <w:jc w:val="both"/>
        <w:rPr>
          <w:rFonts w:ascii="宋体" w:hAnsi="宋体" w:cs="宋体" w:eastAsia="宋体" w:hint="default"/>
          <w:b w:val="0"/>
          <w:bCs w:val="0"/>
        </w:rPr>
      </w:pPr>
      <w:r>
        <w:rPr>
          <w:rFonts w:ascii="宋体" w:hAnsi="宋体" w:cs="宋体" w:eastAsia="宋体" w:hint="default"/>
        </w:rPr>
        <w:t>（一）</w:t>
      </w:r>
      <w:r>
        <w:rPr>
          <w:rFonts w:ascii="宋体" w:hAnsi="宋体" w:cs="宋体" w:eastAsia="宋体" w:hint="default"/>
          <w:spacing w:val="-17"/>
        </w:rPr>
        <w:t> </w:t>
      </w:r>
      <w:r>
        <w:rPr>
          <w:rFonts w:ascii="宋体" w:hAnsi="宋体" w:cs="宋体" w:eastAsia="宋体" w:hint="default"/>
        </w:rPr>
        <w:t>内部控制制度制定的目的</w:t>
      </w:r>
      <w:r>
        <w:rPr>
          <w:rFonts w:ascii="宋体" w:hAnsi="宋体" w:cs="宋体" w:eastAsia="宋体" w:hint="default"/>
          <w:b w:val="0"/>
          <w:bCs w:val="0"/>
        </w:rPr>
      </w:r>
    </w:p>
    <w:p>
      <w:pPr>
        <w:spacing w:line="240" w:lineRule="auto" w:before="11"/>
        <w:rPr>
          <w:rFonts w:ascii="宋体" w:hAnsi="宋体" w:cs="宋体" w:eastAsia="宋体" w:hint="default"/>
          <w:b/>
          <w:bCs/>
          <w:sz w:val="25"/>
          <w:szCs w:val="25"/>
        </w:rPr>
      </w:pPr>
    </w:p>
    <w:p>
      <w:pPr>
        <w:pStyle w:val="BodyText"/>
        <w:spacing w:line="312" w:lineRule="exact"/>
        <w:ind w:left="238" w:right="249"/>
        <w:jc w:val="both"/>
        <w:rPr>
          <w:rFonts w:ascii="宋体" w:hAnsi="宋体" w:cs="宋体" w:eastAsia="宋体" w:hint="default"/>
        </w:rPr>
      </w:pPr>
      <w:r>
        <w:rPr>
          <w:rFonts w:ascii="宋体" w:hAnsi="宋体" w:cs="宋体" w:eastAsia="宋体" w:hint="default"/>
        </w:rPr>
        <w:t>1、建立和完善符合现代企业制度要求的公司治理结构及内部组织结构，形成科学的决</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策机制、执行机制和监督机制，保证公司经营管理目标的实现。</w:t>
      </w:r>
    </w:p>
    <w:p>
      <w:pPr>
        <w:spacing w:line="240" w:lineRule="auto" w:before="9"/>
        <w:rPr>
          <w:rFonts w:ascii="宋体" w:hAnsi="宋体" w:cs="宋体" w:eastAsia="宋体" w:hint="default"/>
          <w:sz w:val="23"/>
          <w:szCs w:val="23"/>
        </w:rPr>
      </w:pPr>
    </w:p>
    <w:p>
      <w:pPr>
        <w:pStyle w:val="BodyText"/>
        <w:spacing w:line="312" w:lineRule="exact"/>
        <w:ind w:left="238" w:right="249"/>
        <w:jc w:val="both"/>
        <w:rPr>
          <w:rFonts w:ascii="宋体" w:hAnsi="宋体" w:cs="宋体" w:eastAsia="宋体" w:hint="default"/>
        </w:rPr>
      </w:pPr>
      <w:r>
        <w:rPr>
          <w:rFonts w:ascii="宋体" w:hAnsi="宋体" w:cs="宋体" w:eastAsia="宋体" w:hint="default"/>
        </w:rPr>
        <w:t>2、建立有效的风险控制系统，强化风险管理，保证公司各项经营业务活动的正常有序</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运行。</w:t>
      </w:r>
    </w:p>
    <w:p>
      <w:pPr>
        <w:spacing w:line="240" w:lineRule="auto" w:before="11"/>
        <w:rPr>
          <w:rFonts w:ascii="宋体" w:hAnsi="宋体" w:cs="宋体" w:eastAsia="宋体" w:hint="default"/>
          <w:sz w:val="23"/>
          <w:szCs w:val="23"/>
        </w:rPr>
      </w:pPr>
    </w:p>
    <w:p>
      <w:pPr>
        <w:pStyle w:val="BodyText"/>
        <w:spacing w:line="310" w:lineRule="exact"/>
        <w:ind w:left="238" w:right="249"/>
        <w:jc w:val="both"/>
        <w:rPr>
          <w:rFonts w:ascii="宋体" w:hAnsi="宋体" w:cs="宋体" w:eastAsia="宋体" w:hint="default"/>
        </w:rPr>
      </w:pPr>
      <w:r>
        <w:rPr>
          <w:rFonts w:ascii="宋体" w:hAnsi="宋体" w:cs="宋体" w:eastAsia="宋体" w:hint="default"/>
        </w:rPr>
        <w:t>3、建立良好的公司内部经营环境，防止并及时发现、纠正各种错误、舞弊行为，保护</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公司财产安全、完整，保护投资者合法权益。</w:t>
      </w:r>
    </w:p>
    <w:p>
      <w:pPr>
        <w:spacing w:line="240" w:lineRule="auto" w:before="6"/>
        <w:rPr>
          <w:rFonts w:ascii="宋体" w:hAnsi="宋体" w:cs="宋体" w:eastAsia="宋体" w:hint="default"/>
          <w:sz w:val="21"/>
          <w:szCs w:val="21"/>
        </w:rPr>
      </w:pPr>
    </w:p>
    <w:p>
      <w:pPr>
        <w:pStyle w:val="Heading3"/>
        <w:spacing w:line="240" w:lineRule="auto"/>
        <w:ind w:left="238" w:right="0"/>
        <w:jc w:val="both"/>
        <w:rPr>
          <w:rFonts w:ascii="宋体" w:hAnsi="宋体" w:cs="宋体" w:eastAsia="宋体" w:hint="default"/>
          <w:b w:val="0"/>
          <w:bCs w:val="0"/>
        </w:rPr>
      </w:pPr>
      <w:r>
        <w:rPr>
          <w:rFonts w:ascii="宋体" w:hAnsi="宋体" w:cs="宋体" w:eastAsia="宋体" w:hint="default"/>
        </w:rPr>
        <w:t>（二）</w:t>
      </w:r>
      <w:r>
        <w:rPr>
          <w:rFonts w:ascii="宋体" w:hAnsi="宋体" w:cs="宋体" w:eastAsia="宋体" w:hint="default"/>
          <w:spacing w:val="-17"/>
        </w:rPr>
        <w:t> </w:t>
      </w:r>
      <w:r>
        <w:rPr>
          <w:rFonts w:ascii="宋体" w:hAnsi="宋体" w:cs="宋体" w:eastAsia="宋体" w:hint="default"/>
        </w:rPr>
        <w:t>内部控制制度制定的原则</w:t>
      </w:r>
      <w:r>
        <w:rPr>
          <w:rFonts w:ascii="宋体" w:hAnsi="宋体" w:cs="宋体" w:eastAsia="宋体" w:hint="default"/>
          <w:b w:val="0"/>
          <w:bCs w:val="0"/>
        </w:rPr>
      </w:r>
    </w:p>
    <w:p>
      <w:pPr>
        <w:spacing w:line="240" w:lineRule="auto" w:before="11"/>
        <w:rPr>
          <w:rFonts w:ascii="宋体" w:hAnsi="宋体" w:cs="宋体" w:eastAsia="宋体" w:hint="default"/>
          <w:b/>
          <w:bCs/>
          <w:sz w:val="25"/>
          <w:szCs w:val="25"/>
        </w:rPr>
      </w:pPr>
    </w:p>
    <w:p>
      <w:pPr>
        <w:pStyle w:val="BodyText"/>
        <w:spacing w:line="312" w:lineRule="exact"/>
        <w:ind w:left="238" w:right="86"/>
        <w:jc w:val="left"/>
        <w:rPr>
          <w:rFonts w:ascii="宋体" w:hAnsi="宋体" w:cs="宋体" w:eastAsia="宋体" w:hint="default"/>
        </w:rPr>
      </w:pPr>
      <w:r>
        <w:rPr>
          <w:rFonts w:ascii="宋体" w:hAnsi="宋体" w:cs="宋体" w:eastAsia="宋体" w:hint="default"/>
        </w:rPr>
        <w:t>1、全面性原则。将内部控制贯穿决策、执行和监督全过程，涵盖所有业务、部门、岗</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6"/>
        </w:rPr>
        <w:t>位和人员，渗透到决策、执行、监督、反馈等各个环节，避免内部控制出现空白或漏洞。</w:t>
      </w:r>
      <w:r>
        <w:rPr>
          <w:rFonts w:ascii="宋体" w:hAnsi="宋体" w:cs="宋体" w:eastAsia="宋体" w:hint="default"/>
        </w:rPr>
      </w:r>
    </w:p>
    <w:p>
      <w:pPr>
        <w:spacing w:line="240" w:lineRule="auto" w:before="11"/>
        <w:rPr>
          <w:rFonts w:ascii="宋体" w:hAnsi="宋体" w:cs="宋体" w:eastAsia="宋体" w:hint="default"/>
          <w:sz w:val="23"/>
          <w:szCs w:val="23"/>
        </w:rPr>
      </w:pPr>
    </w:p>
    <w:p>
      <w:pPr>
        <w:pStyle w:val="BodyText"/>
        <w:spacing w:line="310" w:lineRule="exact"/>
        <w:ind w:left="238" w:right="249"/>
        <w:jc w:val="both"/>
        <w:rPr>
          <w:rFonts w:ascii="宋体" w:hAnsi="宋体" w:cs="宋体" w:eastAsia="宋体" w:hint="default"/>
        </w:rPr>
      </w:pPr>
      <w:r>
        <w:rPr>
          <w:rFonts w:ascii="宋体" w:hAnsi="宋体" w:cs="宋体" w:eastAsia="宋体" w:hint="default"/>
        </w:rPr>
        <w:t>2、重要性原则。在全面控制的基础上，关注重要业务和高风险领域。突出重点，针对</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重要业务与事项、高风险领域与环节采取更加严格的措施。</w:t>
      </w:r>
    </w:p>
    <w:p>
      <w:pPr>
        <w:spacing w:line="240" w:lineRule="auto" w:before="6"/>
        <w:rPr>
          <w:rFonts w:ascii="宋体" w:hAnsi="宋体" w:cs="宋体" w:eastAsia="宋体" w:hint="default"/>
          <w:sz w:val="21"/>
          <w:szCs w:val="21"/>
        </w:rPr>
      </w:pPr>
    </w:p>
    <w:p>
      <w:pPr>
        <w:pStyle w:val="BodyText"/>
        <w:spacing w:line="240" w:lineRule="auto"/>
        <w:ind w:left="238" w:right="0"/>
        <w:jc w:val="both"/>
        <w:rPr>
          <w:rFonts w:ascii="宋体" w:hAnsi="宋体" w:cs="宋体" w:eastAsia="宋体" w:hint="default"/>
        </w:rPr>
      </w:pPr>
      <w:r>
        <w:rPr>
          <w:rFonts w:ascii="宋体" w:hAnsi="宋体" w:cs="宋体" w:eastAsia="宋体" w:hint="default"/>
        </w:rPr>
        <w:t>3、制衡性原则。在治理机构、机构设置及权责分配、业务流程等方面形成相互制约、</w:t>
      </w:r>
    </w:p>
    <w:p>
      <w:pPr>
        <w:spacing w:after="0" w:line="240" w:lineRule="auto"/>
        <w:jc w:val="both"/>
        <w:rPr>
          <w:rFonts w:ascii="宋体" w:hAnsi="宋体" w:cs="宋体" w:eastAsia="宋体" w:hint="default"/>
        </w:rPr>
        <w:sectPr>
          <w:headerReference w:type="default" r:id="rId52"/>
          <w:footerReference w:type="default" r:id="rId53"/>
          <w:pgSz w:w="11910" w:h="16840"/>
          <w:pgMar w:header="0" w:footer="983" w:top="1340" w:bottom="1180" w:left="1180" w:right="1160"/>
          <w:pgNumType w:start="2"/>
        </w:sectPr>
      </w:pPr>
    </w:p>
    <w:p>
      <w:pPr>
        <w:pStyle w:val="BodyText"/>
        <w:spacing w:line="313" w:lineRule="exact"/>
        <w:ind w:left="118" w:right="0"/>
        <w:jc w:val="both"/>
        <w:rPr>
          <w:rFonts w:ascii="宋体" w:hAnsi="宋体" w:cs="宋体" w:eastAsia="宋体" w:hint="default"/>
        </w:rPr>
      </w:pPr>
      <w:r>
        <w:rPr>
          <w:rFonts w:ascii="宋体" w:hAnsi="宋体" w:cs="宋体" w:eastAsia="宋体" w:hint="default"/>
        </w:rPr>
        <w:t>相互监督，并同时兼顾运营效率。</w:t>
      </w:r>
    </w:p>
    <w:p>
      <w:pPr>
        <w:spacing w:line="240" w:lineRule="auto" w:before="11"/>
        <w:rPr>
          <w:rFonts w:ascii="宋体" w:hAnsi="宋体" w:cs="宋体" w:eastAsia="宋体" w:hint="default"/>
          <w:sz w:val="25"/>
          <w:szCs w:val="25"/>
        </w:rPr>
      </w:pPr>
    </w:p>
    <w:p>
      <w:pPr>
        <w:pStyle w:val="BodyText"/>
        <w:spacing w:line="312" w:lineRule="exact"/>
        <w:ind w:left="118" w:right="111"/>
        <w:jc w:val="left"/>
        <w:rPr>
          <w:rFonts w:ascii="宋体" w:hAnsi="宋体" w:cs="宋体" w:eastAsia="宋体" w:hint="default"/>
        </w:rPr>
      </w:pPr>
      <w:r>
        <w:rPr>
          <w:rFonts w:ascii="宋体" w:hAnsi="宋体" w:cs="宋体" w:eastAsia="宋体" w:hint="default"/>
          <w:spacing w:val="-3"/>
        </w:rPr>
        <w:t>4、适应性原则。内部控制与公司经营规模、业务范围、竞争状况和风险水平等相适应，</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rPr>
        <w:t>并随着情况的变化及时加以调整。</w:t>
      </w:r>
    </w:p>
    <w:p>
      <w:pPr>
        <w:spacing w:line="240" w:lineRule="auto" w:before="11"/>
        <w:rPr>
          <w:rFonts w:ascii="宋体" w:hAnsi="宋体" w:cs="宋体" w:eastAsia="宋体" w:hint="default"/>
          <w:sz w:val="23"/>
          <w:szCs w:val="23"/>
        </w:rPr>
      </w:pPr>
    </w:p>
    <w:p>
      <w:pPr>
        <w:pStyle w:val="BodyText"/>
        <w:spacing w:line="310" w:lineRule="exact"/>
        <w:ind w:left="118" w:right="111"/>
        <w:jc w:val="left"/>
        <w:rPr>
          <w:rFonts w:ascii="宋体" w:hAnsi="宋体" w:cs="宋体" w:eastAsia="宋体" w:hint="default"/>
        </w:rPr>
      </w:pPr>
      <w:r>
        <w:rPr>
          <w:rFonts w:ascii="宋体" w:hAnsi="宋体" w:cs="宋体" w:eastAsia="宋体" w:hint="default"/>
        </w:rPr>
        <w:t>5、成本效益原则。在内部控制设计和实施过程中权衡实施成本与预期效益，以适当的</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成本实现有效控制。</w:t>
      </w:r>
    </w:p>
    <w:p>
      <w:pPr>
        <w:spacing w:line="240" w:lineRule="auto" w:before="12"/>
        <w:rPr>
          <w:rFonts w:ascii="宋体" w:hAnsi="宋体" w:cs="宋体" w:eastAsia="宋体" w:hint="default"/>
          <w:sz w:val="20"/>
          <w:szCs w:val="20"/>
        </w:rPr>
      </w:pPr>
    </w:p>
    <w:p>
      <w:pPr>
        <w:pStyle w:val="Heading2"/>
        <w:spacing w:line="240" w:lineRule="auto"/>
        <w:ind w:left="118" w:right="0"/>
        <w:jc w:val="both"/>
        <w:rPr>
          <w:rFonts w:ascii="宋体" w:hAnsi="宋体" w:cs="宋体" w:eastAsia="宋体" w:hint="default"/>
          <w:b w:val="0"/>
          <w:bCs w:val="0"/>
        </w:rPr>
      </w:pPr>
      <w:r>
        <w:rPr>
          <w:rFonts w:ascii="宋体" w:hAnsi="宋体" w:cs="宋体" w:eastAsia="宋体" w:hint="default"/>
        </w:rPr>
        <w:t>四、本公司内部控制制度的建立、实施情况</w:t>
      </w:r>
      <w:r>
        <w:rPr>
          <w:rFonts w:ascii="宋体" w:hAnsi="宋体" w:cs="宋体" w:eastAsia="宋体" w:hint="default"/>
          <w:b w:val="0"/>
          <w:bCs w:val="0"/>
        </w:rPr>
      </w:r>
    </w:p>
    <w:p>
      <w:pPr>
        <w:spacing w:line="240" w:lineRule="auto" w:before="4"/>
        <w:rPr>
          <w:rFonts w:ascii="宋体" w:hAnsi="宋体" w:cs="宋体" w:eastAsia="宋体" w:hint="default"/>
          <w:b/>
          <w:bCs/>
          <w:sz w:val="24"/>
          <w:szCs w:val="24"/>
        </w:rPr>
      </w:pPr>
    </w:p>
    <w:p>
      <w:pPr>
        <w:pStyle w:val="BodyText"/>
        <w:spacing w:line="237" w:lineRule="auto"/>
        <w:ind w:left="118" w:right="111"/>
        <w:jc w:val="left"/>
        <w:rPr>
          <w:rFonts w:ascii="宋体" w:hAnsi="宋体" w:cs="宋体" w:eastAsia="宋体" w:hint="default"/>
        </w:rPr>
      </w:pPr>
      <w:r>
        <w:rPr>
          <w:rFonts w:ascii="宋体" w:hAnsi="宋体" w:cs="宋体" w:eastAsia="宋体" w:hint="default"/>
        </w:rPr>
        <w:t>为了保证公司战略目标的实现，对公司的战略制定和经营活动中存在的风险进行管理， </w:t>
      </w:r>
      <w:r>
        <w:rPr>
          <w:rFonts w:ascii="宋体" w:hAnsi="宋体" w:cs="宋体" w:eastAsia="宋体" w:hint="default"/>
          <w:spacing w:val="-5"/>
        </w:rPr>
        <w:t>公司按照财政部《企业内部控制基本规范》和上海证券交易所《上市公司内部控制指引》</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等政策法规制定的目标设定，考虑内部环境、风险评估、控制活动、信息与沟通、内部</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5"/>
        </w:rPr>
        <w:t>监督等五项要素建立和实施内部控制制度，由公司董事会、管理者及全体员工共同参与。</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公司董事会对公司内控制度的建立健全、有效实施及监督负责，董事会及其全体成员保</w:t>
      </w:r>
      <w:r>
        <w:rPr>
          <w:rFonts w:ascii="宋体" w:hAnsi="宋体" w:cs="宋体" w:eastAsia="宋体" w:hint="default"/>
        </w:rPr>
        <w:t> 证内部控制相关信息披露内容的真实、准确、完整。</w:t>
      </w:r>
    </w:p>
    <w:p>
      <w:pPr>
        <w:spacing w:line="240" w:lineRule="auto" w:before="7"/>
        <w:rPr>
          <w:rFonts w:ascii="宋体" w:hAnsi="宋体" w:cs="宋体" w:eastAsia="宋体" w:hint="default"/>
          <w:sz w:val="23"/>
          <w:szCs w:val="23"/>
        </w:rPr>
      </w:pPr>
    </w:p>
    <w:p>
      <w:pPr>
        <w:pStyle w:val="Heading3"/>
        <w:spacing w:line="475" w:lineRule="auto"/>
        <w:ind w:right="7117"/>
        <w:jc w:val="left"/>
        <w:rPr>
          <w:rFonts w:ascii="宋体" w:hAnsi="宋体" w:cs="宋体" w:eastAsia="宋体" w:hint="default"/>
          <w:b w:val="0"/>
          <w:bCs w:val="0"/>
        </w:rPr>
      </w:pPr>
      <w:r>
        <w:rPr>
          <w:rFonts w:ascii="宋体" w:hAnsi="宋体" w:cs="宋体" w:eastAsia="宋体" w:hint="default"/>
        </w:rPr>
        <w:t>（一）公司控制环境</w:t>
      </w:r>
      <w:r>
        <w:rPr>
          <w:rFonts w:ascii="宋体" w:hAnsi="宋体" w:cs="宋体" w:eastAsia="宋体" w:hint="default"/>
          <w:spacing w:val="1"/>
          <w:w w:val="99"/>
        </w:rPr>
        <w:t> </w:t>
      </w:r>
      <w:r>
        <w:rPr>
          <w:rFonts w:ascii="宋体" w:hAnsi="宋体" w:cs="宋体" w:eastAsia="宋体" w:hint="default"/>
        </w:rPr>
        <w:t>1、公司治理架构</w:t>
      </w:r>
      <w:r>
        <w:rPr>
          <w:rFonts w:ascii="宋体" w:hAnsi="宋体" w:cs="宋体" w:eastAsia="宋体" w:hint="default"/>
          <w:b w:val="0"/>
          <w:bCs w:val="0"/>
        </w:rPr>
      </w:r>
    </w:p>
    <w:p>
      <w:pPr>
        <w:pStyle w:val="BodyText"/>
        <w:spacing w:line="310" w:lineRule="exact" w:before="106"/>
        <w:ind w:left="118" w:right="111"/>
        <w:jc w:val="left"/>
        <w:rPr>
          <w:rFonts w:ascii="宋体" w:hAnsi="宋体" w:cs="宋体" w:eastAsia="宋体" w:hint="default"/>
        </w:rPr>
      </w:pPr>
      <w:r>
        <w:rPr>
          <w:rFonts w:ascii="宋体" w:hAnsi="宋体" w:cs="宋体" w:eastAsia="宋体" w:hint="default"/>
          <w:spacing w:val="-2"/>
        </w:rPr>
        <w:t>公司制定了完善的相关公司治理文件，并严格按照公司章程等治理文件的要求开展董事</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会工作，充分发挥了董事会工作的有效性。</w:t>
      </w:r>
    </w:p>
    <w:p>
      <w:pPr>
        <w:spacing w:line="240" w:lineRule="auto" w:before="8"/>
        <w:rPr>
          <w:rFonts w:ascii="宋体" w:hAnsi="宋体" w:cs="宋体" w:eastAsia="宋体" w:hint="default"/>
          <w:sz w:val="21"/>
          <w:szCs w:val="21"/>
        </w:rPr>
      </w:pPr>
    </w:p>
    <w:p>
      <w:pPr>
        <w:pStyle w:val="BodyText"/>
        <w:spacing w:line="237" w:lineRule="auto"/>
        <w:ind w:left="118" w:right="232"/>
        <w:jc w:val="both"/>
        <w:rPr>
          <w:rFonts w:ascii="宋体" w:hAnsi="宋体" w:cs="宋体" w:eastAsia="宋体" w:hint="default"/>
        </w:rPr>
      </w:pPr>
      <w:r>
        <w:rPr>
          <w:rFonts w:ascii="宋体" w:hAnsi="宋体" w:cs="宋体" w:eastAsia="宋体" w:hint="default"/>
          <w:spacing w:val="-3"/>
        </w:rPr>
        <w:t>在实践过程中，董事会是公司整个决策体系的核心，战略、审计、提名、薪酬与考核等</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2"/>
        </w:rPr>
        <w:t>专门委员会是根据公司实际情况和需要，以常设或者非常设的方式组建的，各委员会的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职责尽管不同，但目的是一致的，即细化董事责任和加强诚信勤勉义务。此外，需要补</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2"/>
        </w:rPr>
        <w:t>充说明的是，为保证董事履行职责，在制度建设上，公司在各委员会的议事和会议程序</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等议事规则方面尽可能地制定了统一的标准条款。公司总裁是董事会的执行者，在董事</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会授权范围内经营，总裁聘任副总裁作为助手，组成以总裁为核心的经营层。根据逐级</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授权的原则，由经营层聘任公司内部各经营和管理部门的经理，同时建立相应地授权和</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考核规则，由此形成公司内部管理体系。</w:t>
      </w:r>
    </w:p>
    <w:p>
      <w:pPr>
        <w:spacing w:line="240" w:lineRule="auto" w:before="11"/>
        <w:rPr>
          <w:rFonts w:ascii="宋体" w:hAnsi="宋体" w:cs="宋体" w:eastAsia="宋体" w:hint="default"/>
          <w:sz w:val="23"/>
          <w:szCs w:val="23"/>
        </w:rPr>
      </w:pPr>
    </w:p>
    <w:p>
      <w:pPr>
        <w:pStyle w:val="BodyText"/>
        <w:spacing w:line="237" w:lineRule="auto"/>
        <w:ind w:left="118" w:right="233"/>
        <w:jc w:val="both"/>
        <w:rPr>
          <w:rFonts w:ascii="宋体" w:hAnsi="宋体" w:cs="宋体" w:eastAsia="宋体" w:hint="default"/>
        </w:rPr>
      </w:pPr>
      <w:r>
        <w:rPr>
          <w:rFonts w:ascii="宋体" w:hAnsi="宋体" w:cs="宋体" w:eastAsia="宋体" w:hint="default"/>
          <w:spacing w:val="-2"/>
        </w:rPr>
        <w:t>在公司章程的基础上，公司逐步建立并完善了各项治理细则，陆续制定并施行了《公司</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5"/>
        </w:rPr>
        <w:t>治理细则》、《股东大会议事规则》、《董事会议事规则》、《监事会议事规则》、《募集资金</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25"/>
        </w:rPr>
        <w:t>管理办法》、《信息披露管理办法》、《总裁工作细则》、《关联交易管理办法》、《投资者关</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19"/>
        </w:rPr>
        <w:t>系管理实施细则》、《对外担保管理办法》、《独立董事工作制度》、《重大信息内部报告制</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spacing w:val="-14"/>
        </w:rPr>
        <w:t>度》、《薪酬与考核委员会议事规则》、《审计委员会议事规则》及《董事、监事和高级管</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理人员所持本公司股份及其变动管理办法》等一系列治理文件。</w:t>
      </w:r>
    </w:p>
    <w:p>
      <w:pPr>
        <w:spacing w:line="240" w:lineRule="auto" w:before="8"/>
        <w:rPr>
          <w:rFonts w:ascii="宋体" w:hAnsi="宋体" w:cs="宋体" w:eastAsia="宋体" w:hint="default"/>
          <w:sz w:val="23"/>
          <w:szCs w:val="23"/>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2、企业文化</w:t>
      </w:r>
      <w:r>
        <w:rPr>
          <w:rFonts w:ascii="宋体" w:hAnsi="宋体" w:cs="宋体" w:eastAsia="宋体" w:hint="default"/>
          <w:b w:val="0"/>
          <w:bCs w:val="0"/>
        </w:rPr>
      </w:r>
    </w:p>
    <w:p>
      <w:pPr>
        <w:spacing w:line="240" w:lineRule="auto" w:before="11"/>
        <w:rPr>
          <w:rFonts w:ascii="宋体" w:hAnsi="宋体" w:cs="宋体" w:eastAsia="宋体" w:hint="default"/>
          <w:b/>
          <w:bCs/>
          <w:sz w:val="25"/>
          <w:szCs w:val="25"/>
        </w:rPr>
      </w:pPr>
    </w:p>
    <w:p>
      <w:pPr>
        <w:pStyle w:val="BodyText"/>
        <w:spacing w:line="312" w:lineRule="exact"/>
        <w:ind w:left="118" w:right="185"/>
        <w:jc w:val="both"/>
        <w:rPr>
          <w:rFonts w:ascii="宋体" w:hAnsi="宋体" w:cs="宋体" w:eastAsia="宋体" w:hint="default"/>
        </w:rPr>
      </w:pPr>
      <w:r>
        <w:rPr>
          <w:rFonts w:ascii="宋体" w:hAnsi="宋体" w:cs="宋体" w:eastAsia="宋体" w:hint="default"/>
        </w:rPr>
        <w:t>公司把企业文化作为与企业高科技发展并存的一项系统工程来建设。秉承“自强不息、 </w:t>
      </w:r>
      <w:r>
        <w:rPr>
          <w:rFonts w:ascii="宋体" w:hAnsi="宋体" w:cs="宋体" w:eastAsia="宋体" w:hint="default"/>
          <w:spacing w:val="-3"/>
        </w:rPr>
        <w:t>厚德载物”的清华文化精髓和勤奋、务实的作风，将企业文化和校园文化相结合，形成</w:t>
      </w:r>
      <w:r>
        <w:rPr>
          <w:rFonts w:ascii="宋体" w:hAnsi="宋体" w:cs="宋体" w:eastAsia="宋体" w:hint="default"/>
        </w:rPr>
      </w:r>
    </w:p>
    <w:p>
      <w:pPr>
        <w:spacing w:after="0" w:line="312" w:lineRule="exact"/>
        <w:jc w:val="both"/>
        <w:rPr>
          <w:rFonts w:ascii="宋体" w:hAnsi="宋体" w:cs="宋体" w:eastAsia="宋体" w:hint="default"/>
        </w:rPr>
        <w:sectPr>
          <w:headerReference w:type="default" r:id="rId54"/>
          <w:footerReference w:type="default" r:id="rId55"/>
          <w:pgSz w:w="11910" w:h="16840"/>
          <w:pgMar w:header="0" w:footer="983" w:top="1380" w:bottom="1180" w:left="1300" w:right="1180"/>
          <w:pgNumType w:start="3"/>
        </w:sectPr>
      </w:pPr>
    </w:p>
    <w:p>
      <w:pPr>
        <w:pStyle w:val="BodyText"/>
        <w:spacing w:line="310" w:lineRule="exact" w:before="31"/>
        <w:ind w:left="118" w:right="112"/>
        <w:jc w:val="both"/>
        <w:rPr>
          <w:rFonts w:ascii="宋体" w:hAnsi="宋体" w:cs="宋体" w:eastAsia="宋体" w:hint="default"/>
        </w:rPr>
      </w:pPr>
      <w:r>
        <w:rPr>
          <w:rFonts w:ascii="宋体" w:hAnsi="宋体" w:cs="宋体" w:eastAsia="宋体" w:hint="default"/>
        </w:rPr>
        <w:t>了自己独特的文化氛围和企业的核心价值观，这种核心价值观映射到企业的经营宗旨、 </w:t>
      </w:r>
      <w:r>
        <w:rPr>
          <w:rFonts w:ascii="宋体" w:hAnsi="宋体" w:cs="宋体" w:eastAsia="宋体" w:hint="default"/>
          <w:spacing w:val="-6"/>
        </w:rPr>
        <w:t>管理模式、发展模式、员工意识甚至企业标识、建筑风格上，造就了新型现代企业文化：</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4"/>
        </w:rPr>
        <w:t>“承担、探索、超越”的做事准则；“忠诚、责任和价值等同”的做人准则。</w:t>
      </w:r>
    </w:p>
    <w:p>
      <w:pPr>
        <w:spacing w:line="240" w:lineRule="auto" w:before="6"/>
        <w:rPr>
          <w:rFonts w:ascii="宋体" w:hAnsi="宋体" w:cs="宋体" w:eastAsia="宋体" w:hint="default"/>
          <w:sz w:val="21"/>
          <w:szCs w:val="21"/>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3、公司组织结构</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pStyle w:val="BodyText"/>
        <w:spacing w:line="312" w:lineRule="exact"/>
        <w:ind w:left="118" w:right="234"/>
        <w:jc w:val="both"/>
        <w:rPr>
          <w:rFonts w:ascii="宋体" w:hAnsi="宋体" w:cs="宋体" w:eastAsia="宋体" w:hint="default"/>
        </w:rPr>
      </w:pPr>
      <w:r>
        <w:rPr>
          <w:rFonts w:ascii="宋体" w:hAnsi="宋体" w:cs="宋体" w:eastAsia="宋体" w:hint="default"/>
          <w:spacing w:val="-2"/>
        </w:rPr>
        <w:t>公司自开始成立，就着手解决体制创新和组织结构调整问题。公司内部形成适应经营特</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点的体制框架，下属企业也按《公司法》进行产权规范，建立了母公司与子公司、子公</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司和子公司之间交叉持股、参股的多元投资主体的产权关系。</w:t>
      </w:r>
    </w:p>
    <w:p>
      <w:pPr>
        <w:spacing w:line="240" w:lineRule="auto" w:before="11"/>
        <w:rPr>
          <w:rFonts w:ascii="宋体" w:hAnsi="宋体" w:cs="宋体" w:eastAsia="宋体" w:hint="default"/>
          <w:sz w:val="23"/>
          <w:szCs w:val="23"/>
        </w:rPr>
      </w:pPr>
    </w:p>
    <w:p>
      <w:pPr>
        <w:pStyle w:val="BodyText"/>
        <w:spacing w:line="312" w:lineRule="exact"/>
        <w:ind w:left="118" w:right="233"/>
        <w:jc w:val="both"/>
        <w:rPr>
          <w:rFonts w:ascii="宋体" w:hAnsi="宋体" w:cs="宋体" w:eastAsia="宋体" w:hint="default"/>
        </w:rPr>
      </w:pPr>
      <w:r>
        <w:rPr>
          <w:rFonts w:ascii="宋体" w:hAnsi="宋体" w:cs="宋体" w:eastAsia="宋体" w:hint="default"/>
          <w:spacing w:val="-3"/>
        </w:rPr>
        <w:t>公司现已建立计算机系统、应用信息系统、数字电视系统、能源与环境四大本部，直接</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投资的全资以及控、参股公司 50</w:t>
      </w:r>
      <w:r>
        <w:rPr>
          <w:rFonts w:ascii="宋体" w:hAnsi="宋体" w:cs="宋体" w:eastAsia="宋体" w:hint="default"/>
          <w:spacing w:val="-52"/>
        </w:rPr>
        <w:t> </w:t>
      </w:r>
      <w:r>
        <w:rPr>
          <w:rFonts w:ascii="宋体" w:hAnsi="宋体" w:cs="宋体" w:eastAsia="宋体" w:hint="default"/>
        </w:rPr>
        <w:t>家。包括泰豪科技股份有限公司、同方威视技术股份</w:t>
      </w:r>
      <w:r>
        <w:rPr>
          <w:rFonts w:ascii="宋体" w:hAnsi="宋体" w:cs="宋体" w:eastAsia="宋体" w:hint="default"/>
        </w:rPr>
        <w:t> </w:t>
      </w:r>
      <w:r>
        <w:rPr>
          <w:rFonts w:ascii="宋体" w:hAnsi="宋体" w:cs="宋体" w:eastAsia="宋体" w:hint="default"/>
          <w:spacing w:val="-2"/>
        </w:rPr>
        <w:t>有限公司、同方工业公司、同方人工环境有限公司、同方知网(北京)技术有限公司、北</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京同方微电子公司、山东同方鲁颖电子有限公司等。</w:t>
      </w:r>
    </w:p>
    <w:p>
      <w:pPr>
        <w:spacing w:line="240" w:lineRule="auto" w:before="10"/>
        <w:rPr>
          <w:rFonts w:ascii="宋体" w:hAnsi="宋体" w:cs="宋体" w:eastAsia="宋体" w:hint="default"/>
          <w:sz w:val="23"/>
          <w:szCs w:val="23"/>
        </w:rPr>
      </w:pPr>
    </w:p>
    <w:p>
      <w:pPr>
        <w:pStyle w:val="BodyText"/>
        <w:spacing w:line="312" w:lineRule="exact"/>
        <w:ind w:left="118" w:right="185"/>
        <w:jc w:val="both"/>
        <w:rPr>
          <w:rFonts w:ascii="宋体" w:hAnsi="宋体" w:cs="宋体" w:eastAsia="宋体" w:hint="default"/>
        </w:rPr>
      </w:pPr>
      <w:r>
        <w:rPr>
          <w:rFonts w:ascii="宋体" w:hAnsi="宋体" w:cs="宋体" w:eastAsia="宋体" w:hint="default"/>
          <w:spacing w:val="-2"/>
        </w:rPr>
        <w:t>为了对各事业部和子公司进行更好的管理，公司建立了分工合理、职责明确、报告关系</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清晰地组织结构，明确了所有与风险和内部控制有关部门、岗位、人员的职责和权限， 并以程序控制文件形式以支持和传达。主要表现在以下几个方面：</w:t>
      </w:r>
    </w:p>
    <w:p>
      <w:pPr>
        <w:spacing w:line="240" w:lineRule="auto" w:before="6"/>
        <w:rPr>
          <w:rFonts w:ascii="宋体" w:hAnsi="宋体" w:cs="宋体" w:eastAsia="宋体" w:hint="default"/>
          <w:sz w:val="21"/>
          <w:szCs w:val="21"/>
        </w:rPr>
      </w:pPr>
    </w:p>
    <w:p>
      <w:pPr>
        <w:pStyle w:val="BodyText"/>
        <w:spacing w:line="321" w:lineRule="exact"/>
        <w:ind w:left="118" w:right="0"/>
        <w:jc w:val="both"/>
        <w:rPr>
          <w:rFonts w:ascii="宋体" w:hAnsi="宋体" w:cs="宋体" w:eastAsia="宋体" w:hint="default"/>
        </w:rPr>
      </w:pPr>
      <w:r>
        <w:rPr>
          <w:rFonts w:ascii="Wingdings" w:hAnsi="Wingdings" w:cs="Wingdings" w:eastAsia="Wingdings" w:hint="default"/>
          <w:w w:val="105"/>
        </w:rPr>
        <w:t></w:t>
      </w:r>
      <w:r>
        <w:rPr>
          <w:rFonts w:ascii="Wingdings" w:hAnsi="Wingdings" w:cs="Wingdings" w:eastAsia="Wingdings" w:hint="default"/>
          <w:spacing w:val="-129"/>
          <w:w w:val="105"/>
        </w:rPr>
        <w:t></w:t>
      </w:r>
      <w:r>
        <w:rPr>
          <w:rFonts w:ascii="Times New Roman" w:hAnsi="Times New Roman" w:cs="Times New Roman" w:eastAsia="Times New Roman" w:hint="default"/>
          <w:spacing w:val="-129"/>
          <w:w w:val="105"/>
        </w:rPr>
      </w:r>
      <w:r>
        <w:rPr>
          <w:rFonts w:ascii="宋体" w:hAnsi="宋体" w:cs="宋体" w:eastAsia="宋体" w:hint="default"/>
          <w:w w:val="105"/>
        </w:rPr>
        <w:t>建立了必要的横向与纵向相互监督制约的职责分离关系。</w:t>
      </w:r>
    </w:p>
    <w:p>
      <w:pPr>
        <w:pStyle w:val="BodyText"/>
        <w:tabs>
          <w:tab w:pos="658" w:val="left" w:leader="none"/>
        </w:tabs>
        <w:spacing w:line="312" w:lineRule="exact" w:before="21"/>
        <w:ind w:left="658" w:right="234" w:hanging="540"/>
        <w:jc w:val="left"/>
        <w:rPr>
          <w:rFonts w:ascii="宋体" w:hAnsi="宋体" w:cs="宋体" w:eastAsia="宋体" w:hint="default"/>
        </w:rPr>
      </w:pPr>
      <w:r>
        <w:rPr>
          <w:rFonts w:ascii="Wingdings" w:hAnsi="Wingdings" w:cs="Wingdings" w:eastAsia="Wingdings" w:hint="default"/>
          <w:w w:val="135"/>
        </w:rPr>
        <w:t></w:t>
      </w:r>
      <w:r>
        <w:rPr>
          <w:rFonts w:ascii="Times New Roman" w:hAnsi="Times New Roman" w:cs="Times New Roman" w:eastAsia="Times New Roman" w:hint="default"/>
          <w:w w:val="135"/>
        </w:rPr>
        <w:tab/>
      </w:r>
      <w:r>
        <w:rPr>
          <w:rFonts w:ascii="宋体" w:hAnsi="宋体" w:cs="宋体" w:eastAsia="宋体" w:hint="default"/>
          <w:spacing w:val="-4"/>
        </w:rPr>
        <w:t>公司董事会管理，公司董事会是公司最高的权力机构，凡是涉及到资产、负债、财</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w w:val="110"/>
        </w:rPr>
        <w:t>务和人员等重大事项的变动均由公司董事会决定。</w:t>
      </w:r>
    </w:p>
    <w:p>
      <w:pPr>
        <w:pStyle w:val="BodyText"/>
        <w:spacing w:line="291" w:lineRule="exact"/>
        <w:ind w:left="118" w:right="0"/>
        <w:jc w:val="both"/>
        <w:rPr>
          <w:rFonts w:ascii="宋体" w:hAnsi="宋体" w:cs="宋体" w:eastAsia="宋体" w:hint="default"/>
        </w:rPr>
      </w:pPr>
      <w:r>
        <w:rPr>
          <w:rFonts w:ascii="Wingdings" w:hAnsi="Wingdings" w:cs="Wingdings" w:eastAsia="Wingdings" w:hint="default"/>
          <w:w w:val="105"/>
        </w:rPr>
        <w:t></w:t>
      </w:r>
      <w:r>
        <w:rPr>
          <w:rFonts w:ascii="Wingdings" w:hAnsi="Wingdings" w:cs="Wingdings" w:eastAsia="Wingdings" w:hint="default"/>
          <w:spacing w:val="-117"/>
          <w:w w:val="105"/>
        </w:rPr>
        <w:t></w:t>
      </w:r>
      <w:r>
        <w:rPr>
          <w:rFonts w:ascii="Times New Roman" w:hAnsi="Times New Roman" w:cs="Times New Roman" w:eastAsia="Times New Roman" w:hint="default"/>
          <w:spacing w:val="-117"/>
          <w:w w:val="105"/>
        </w:rPr>
      </w:r>
      <w:r>
        <w:rPr>
          <w:rFonts w:ascii="宋体" w:hAnsi="宋体" w:cs="宋体" w:eastAsia="宋体" w:hint="default"/>
          <w:w w:val="105"/>
        </w:rPr>
        <w:t>明确关键岗位、特殊岗位、不相容岗位及其控制要求。</w:t>
      </w:r>
    </w:p>
    <w:p>
      <w:pPr>
        <w:pStyle w:val="BodyText"/>
        <w:spacing w:line="312" w:lineRule="exact"/>
        <w:ind w:left="118" w:right="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189"/>
        </w:rPr>
        <w:t></w:t>
      </w:r>
      <w:r>
        <w:rPr>
          <w:rFonts w:ascii="Times New Roman" w:hAnsi="Times New Roman" w:cs="Times New Roman" w:eastAsia="Times New Roman" w:hint="default"/>
          <w:spacing w:val="189"/>
        </w:rPr>
      </w:r>
      <w:r>
        <w:rPr>
          <w:rFonts w:ascii="宋体" w:hAnsi="宋体" w:cs="宋体" w:eastAsia="宋体" w:hint="default"/>
        </w:rPr>
        <w:t>公司对重要岗位人员或不定期的人员等实行了定期轮换制度和强制休假制度。</w:t>
      </w:r>
    </w:p>
    <w:p>
      <w:pPr>
        <w:tabs>
          <w:tab w:pos="658" w:val="left" w:leader="none"/>
        </w:tabs>
        <w:spacing w:line="453" w:lineRule="auto" w:before="0"/>
        <w:ind w:left="118" w:right="5645" w:firstLine="0"/>
        <w:jc w:val="left"/>
        <w:rPr>
          <w:rFonts w:ascii="宋体" w:hAnsi="宋体" w:cs="宋体" w:eastAsia="宋体" w:hint="default"/>
          <w:sz w:val="24"/>
          <w:szCs w:val="24"/>
        </w:rPr>
      </w:pPr>
      <w:r>
        <w:rPr>
          <w:rFonts w:ascii="Wingdings" w:hAnsi="Wingdings" w:cs="Wingdings" w:eastAsia="Wingdings" w:hint="default"/>
          <w:w w:val="135"/>
          <w:sz w:val="24"/>
          <w:szCs w:val="24"/>
        </w:rPr>
        <w:t></w:t>
      </w:r>
      <w:r>
        <w:rPr>
          <w:rFonts w:ascii="Times New Roman" w:hAnsi="Times New Roman" w:cs="Times New Roman" w:eastAsia="Times New Roman" w:hint="default"/>
          <w:w w:val="135"/>
          <w:sz w:val="24"/>
          <w:szCs w:val="24"/>
        </w:rPr>
        <w:tab/>
      </w:r>
      <w:r>
        <w:rPr>
          <w:rFonts w:ascii="宋体" w:hAnsi="宋体" w:cs="宋体" w:eastAsia="宋体" w:hint="default"/>
          <w:sz w:val="24"/>
          <w:szCs w:val="24"/>
        </w:rPr>
        <w:t>建立了独立的内部审计机构。 </w:t>
      </w:r>
      <w:r>
        <w:rPr>
          <w:rFonts w:ascii="宋体" w:hAnsi="宋体" w:cs="宋体" w:eastAsia="宋体" w:hint="default"/>
          <w:b/>
          <w:bCs/>
          <w:w w:val="110"/>
          <w:sz w:val="24"/>
          <w:szCs w:val="24"/>
        </w:rPr>
        <w:t>4、公司内部控制制度</w:t>
      </w:r>
      <w:r>
        <w:rPr>
          <w:rFonts w:ascii="宋体" w:hAnsi="宋体" w:cs="宋体" w:eastAsia="宋体" w:hint="default"/>
          <w:sz w:val="24"/>
          <w:szCs w:val="24"/>
        </w:rPr>
      </w:r>
    </w:p>
    <w:p>
      <w:pPr>
        <w:pStyle w:val="BodyText"/>
        <w:spacing w:line="312" w:lineRule="exact" w:before="124"/>
        <w:ind w:left="118" w:right="111"/>
        <w:jc w:val="left"/>
        <w:rPr>
          <w:rFonts w:ascii="宋体" w:hAnsi="宋体" w:cs="宋体" w:eastAsia="宋体" w:hint="default"/>
        </w:rPr>
      </w:pPr>
      <w:r>
        <w:rPr>
          <w:rFonts w:ascii="宋体" w:hAnsi="宋体" w:cs="宋体" w:eastAsia="宋体" w:hint="default"/>
        </w:rPr>
        <w:t>为达到确保资产安全完整、运营效率效果、经营合法合规和财务报告真实可靠的最终目 </w:t>
      </w:r>
      <w:r>
        <w:rPr>
          <w:rFonts w:ascii="宋体" w:hAnsi="宋体" w:cs="宋体" w:eastAsia="宋体" w:hint="default"/>
          <w:spacing w:val="-6"/>
        </w:rPr>
        <w:t>标，公司依法建立健全了财务管理制度、会计核算制度、资产管理制度、预算管理制度、</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内部审计制度、人力资源制度、计算机系统管理制度等一系列内控制度，并通过优化企</w:t>
      </w:r>
      <w:r>
        <w:rPr>
          <w:rFonts w:ascii="宋体" w:hAnsi="宋体" w:cs="宋体" w:eastAsia="宋体" w:hint="default"/>
        </w:rPr>
        <w:t> </w:t>
      </w:r>
      <w:r>
        <w:rPr>
          <w:rFonts w:ascii="宋体" w:hAnsi="宋体" w:cs="宋体" w:eastAsia="宋体" w:hint="default"/>
          <w:spacing w:val="-3"/>
        </w:rPr>
        <w:t>业控制环境、建立风险评估机制、开展良性控制活动、形成顺畅信息沟通、施加有效控</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制监督等手段保证内控制度得到切实贯彻。</w:t>
      </w:r>
    </w:p>
    <w:p>
      <w:pPr>
        <w:spacing w:line="240" w:lineRule="auto" w:before="9"/>
        <w:rPr>
          <w:rFonts w:ascii="宋体" w:hAnsi="宋体" w:cs="宋体" w:eastAsia="宋体" w:hint="default"/>
          <w:sz w:val="21"/>
          <w:szCs w:val="21"/>
        </w:rPr>
      </w:pPr>
    </w:p>
    <w:p>
      <w:pPr>
        <w:pStyle w:val="BodyText"/>
        <w:spacing w:line="237" w:lineRule="auto"/>
        <w:ind w:left="118" w:right="111"/>
        <w:jc w:val="left"/>
        <w:rPr>
          <w:rFonts w:ascii="宋体" w:hAnsi="宋体" w:cs="宋体" w:eastAsia="宋体" w:hint="default"/>
        </w:rPr>
      </w:pPr>
      <w:r>
        <w:rPr>
          <w:rFonts w:ascii="宋体" w:hAnsi="宋体" w:cs="宋体" w:eastAsia="宋体" w:hint="default"/>
        </w:rPr>
        <w:t>针对与财务风险相关的控制环节，公司早在 2003</w:t>
      </w:r>
      <w:r>
        <w:rPr>
          <w:rFonts w:ascii="宋体" w:hAnsi="宋体" w:cs="宋体" w:eastAsia="宋体" w:hint="default"/>
          <w:spacing w:val="-52"/>
        </w:rPr>
        <w:t> </w:t>
      </w:r>
      <w:r>
        <w:rPr>
          <w:rFonts w:ascii="宋体" w:hAnsi="宋体" w:cs="宋体" w:eastAsia="宋体" w:hint="default"/>
        </w:rPr>
        <w:t>年就依据《会计法》和财政部《内部</w:t>
      </w:r>
      <w:r>
        <w:rPr>
          <w:rFonts w:ascii="宋体" w:hAnsi="宋体" w:cs="宋体" w:eastAsia="宋体" w:hint="default"/>
        </w:rPr>
        <w:t> </w:t>
      </w:r>
      <w:r>
        <w:rPr>
          <w:rFonts w:ascii="宋体" w:hAnsi="宋体" w:cs="宋体" w:eastAsia="宋体" w:hint="default"/>
          <w:spacing w:val="-8"/>
        </w:rPr>
        <w:t>会计控制规范—基本规范》制定并施行了一整套《内部会计控制制度》。《内部会计控制</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6"/>
        </w:rPr>
        <w:t>制度》是由基本规范和货币资金管理、存货管理、固定资产管理、对外投资、对外融资、</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spacing w:val="-3"/>
        </w:rPr>
        <w:t>对外担保、资产减值准备、财务支出审批、成本费用、销售与收款、控股子公司管理和</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会计人员岗位责任制度共 12</w:t>
      </w:r>
      <w:r>
        <w:rPr>
          <w:rFonts w:ascii="宋体" w:hAnsi="宋体" w:cs="宋体" w:eastAsia="宋体" w:hint="default"/>
          <w:spacing w:val="-52"/>
        </w:rPr>
        <w:t> </w:t>
      </w:r>
      <w:r>
        <w:rPr>
          <w:rFonts w:ascii="宋体" w:hAnsi="宋体" w:cs="宋体" w:eastAsia="宋体" w:hint="default"/>
        </w:rPr>
        <w:t>项具体规范构成的财务内控体系，涵盖了企业经营与财务</w:t>
      </w:r>
      <w:r>
        <w:rPr>
          <w:rFonts w:ascii="宋体" w:hAnsi="宋体" w:cs="宋体" w:eastAsia="宋体" w:hint="default"/>
        </w:rPr>
        <w:t> 风险控制的主要方面，力求通过不相容职务相互分离控制、授权审批控制、会计系统控 </w:t>
      </w:r>
      <w:r>
        <w:rPr>
          <w:rFonts w:ascii="宋体" w:hAnsi="宋体" w:cs="宋体" w:eastAsia="宋体" w:hint="default"/>
          <w:spacing w:val="-3"/>
        </w:rPr>
        <w:t>制、预算控制、财产保全控制、风险控制、内部报告控制、电子信息技术控制等控制方</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法，并充分发挥内审部门的监督检查职能，实现内部控制的最终目标</w:t>
      </w:r>
    </w:p>
    <w:p>
      <w:pPr>
        <w:spacing w:line="240" w:lineRule="auto" w:before="8"/>
        <w:rPr>
          <w:rFonts w:ascii="宋体" w:hAnsi="宋体" w:cs="宋体" w:eastAsia="宋体" w:hint="default"/>
          <w:sz w:val="23"/>
          <w:szCs w:val="23"/>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公司已建立了相关控制流程、决策与问责机制和执行机制。</w:t>
      </w:r>
    </w:p>
    <w:p>
      <w:pPr>
        <w:spacing w:after="0" w:line="240" w:lineRule="auto"/>
        <w:jc w:val="both"/>
        <w:rPr>
          <w:rFonts w:ascii="宋体" w:hAnsi="宋体" w:cs="宋体" w:eastAsia="宋体" w:hint="default"/>
        </w:rPr>
        <w:sectPr>
          <w:headerReference w:type="default" r:id="rId56"/>
          <w:footerReference w:type="default" r:id="rId57"/>
          <w:pgSz w:w="11910" w:h="16840"/>
          <w:pgMar w:header="0" w:footer="983" w:top="1380" w:bottom="1180" w:left="1300" w:right="1180"/>
          <w:pgNumType w:start="4"/>
        </w:sectPr>
      </w:pPr>
    </w:p>
    <w:p>
      <w:pPr>
        <w:pStyle w:val="BodyText"/>
        <w:spacing w:line="240" w:lineRule="auto" w:before="90"/>
        <w:ind w:left="118" w:right="0"/>
        <w:jc w:val="both"/>
        <w:rPr>
          <w:rFonts w:ascii="宋体" w:hAnsi="宋体" w:cs="宋体" w:eastAsia="宋体" w:hint="default"/>
        </w:rPr>
      </w:pPr>
      <w:r>
        <w:rPr>
          <w:rFonts w:ascii="宋体" w:hAnsi="宋体" w:cs="宋体" w:eastAsia="宋体" w:hint="default"/>
        </w:rPr>
        <w:t>（1）资金流出内部流程和决策机制</w:t>
      </w:r>
    </w:p>
    <w:p>
      <w:pPr>
        <w:spacing w:line="240" w:lineRule="auto" w:before="11"/>
        <w:rPr>
          <w:rFonts w:ascii="宋体" w:hAnsi="宋体" w:cs="宋体" w:eastAsia="宋体" w:hint="default"/>
          <w:sz w:val="23"/>
          <w:szCs w:val="23"/>
        </w:rPr>
      </w:pPr>
    </w:p>
    <w:p>
      <w:pPr>
        <w:pStyle w:val="BodyText"/>
        <w:spacing w:line="237" w:lineRule="auto"/>
        <w:ind w:left="118" w:right="152"/>
        <w:jc w:val="both"/>
        <w:rPr>
          <w:rFonts w:ascii="宋体" w:hAnsi="宋体" w:cs="宋体" w:eastAsia="宋体" w:hint="default"/>
        </w:rPr>
      </w:pPr>
      <w:r>
        <w:rPr>
          <w:rFonts w:ascii="宋体" w:hAnsi="宋体" w:cs="宋体" w:eastAsia="宋体" w:hint="default"/>
          <w:spacing w:val="-3"/>
        </w:rPr>
        <w:t>《内部会计控制制度》之财务支出审批、货币资金管理、成本费用、对外担保和控股子</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公司管理</w:t>
      </w:r>
      <w:r>
        <w:rPr>
          <w:rFonts w:ascii="宋体" w:hAnsi="宋体" w:cs="宋体" w:eastAsia="宋体" w:hint="default"/>
          <w:spacing w:val="-84"/>
        </w:rPr>
        <w:t> </w:t>
      </w:r>
      <w:r>
        <w:rPr>
          <w:rFonts w:ascii="宋体" w:hAnsi="宋体" w:cs="宋体" w:eastAsia="宋体" w:hint="default"/>
        </w:rPr>
        <w:t>5</w:t>
      </w:r>
      <w:r>
        <w:rPr>
          <w:rFonts w:ascii="宋体" w:hAnsi="宋体" w:cs="宋体" w:eastAsia="宋体" w:hint="default"/>
          <w:spacing w:val="-84"/>
        </w:rPr>
        <w:t> </w:t>
      </w:r>
      <w:r>
        <w:rPr>
          <w:rFonts w:ascii="宋体" w:hAnsi="宋体" w:cs="宋体" w:eastAsia="宋体" w:hint="default"/>
        </w:rPr>
        <w:t>项具体规范均对公司合并报表范围内会计主体的资金流出审批办法、审批权</w:t>
      </w:r>
      <w:r>
        <w:rPr>
          <w:rFonts w:ascii="宋体" w:hAnsi="宋体" w:cs="宋体" w:eastAsia="宋体" w:hint="default"/>
        </w:rPr>
        <w:t> </w:t>
      </w:r>
      <w:r>
        <w:rPr>
          <w:rFonts w:ascii="宋体" w:hAnsi="宋体" w:cs="宋体" w:eastAsia="宋体" w:hint="default"/>
          <w:spacing w:val="-3"/>
        </w:rPr>
        <w:t>限、授权体系、预算/计划控制、重大/异常事项决策机制做出了明确规定，公司其他治</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spacing w:val="-2"/>
        </w:rPr>
        <w:t>理文件亦有相关体现。多年管理实践表明，上述控制制度兼顾了公司经营效率与合法合</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规两方面需要。</w:t>
      </w:r>
    </w:p>
    <w:p>
      <w:pPr>
        <w:spacing w:line="240" w:lineRule="auto" w:before="8"/>
        <w:rPr>
          <w:rFonts w:ascii="宋体" w:hAnsi="宋体" w:cs="宋体" w:eastAsia="宋体" w:hint="default"/>
          <w:sz w:val="23"/>
          <w:szCs w:val="23"/>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（2）内控执行情况核查制度与执行机构</w:t>
      </w:r>
    </w:p>
    <w:p>
      <w:pPr>
        <w:spacing w:line="240" w:lineRule="auto" w:before="11"/>
        <w:rPr>
          <w:rFonts w:ascii="宋体" w:hAnsi="宋体" w:cs="宋体" w:eastAsia="宋体" w:hint="default"/>
          <w:sz w:val="23"/>
          <w:szCs w:val="23"/>
        </w:rPr>
      </w:pPr>
    </w:p>
    <w:p>
      <w:pPr>
        <w:pStyle w:val="BodyText"/>
        <w:spacing w:line="237" w:lineRule="auto"/>
        <w:ind w:left="118" w:right="105"/>
        <w:jc w:val="both"/>
        <w:rPr>
          <w:rFonts w:ascii="宋体" w:hAnsi="宋体" w:cs="宋体" w:eastAsia="宋体" w:hint="default"/>
        </w:rPr>
      </w:pPr>
      <w:r>
        <w:rPr>
          <w:rFonts w:ascii="宋体" w:hAnsi="宋体" w:cs="宋体" w:eastAsia="宋体" w:hint="default"/>
          <w:spacing w:val="-3"/>
        </w:rPr>
        <w:t>《内部会计控制制度》之基本规范和财务支出审批、货币资金管理、成本费用、对外担</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3"/>
        </w:rPr>
        <w:t>保、控股子公司管理</w:t>
      </w:r>
      <w:r>
        <w:rPr>
          <w:rFonts w:ascii="宋体" w:hAnsi="宋体" w:cs="宋体" w:eastAsia="宋体" w:hint="default"/>
          <w:spacing w:val="-69"/>
        </w:rPr>
        <w:t> </w:t>
      </w:r>
      <w:r>
        <w:rPr>
          <w:rFonts w:ascii="宋体" w:hAnsi="宋体" w:cs="宋体" w:eastAsia="宋体" w:hint="default"/>
        </w:rPr>
        <w:t>5</w:t>
      </w:r>
      <w:r>
        <w:rPr>
          <w:rFonts w:ascii="宋体" w:hAnsi="宋体" w:cs="宋体" w:eastAsia="宋体" w:hint="default"/>
          <w:spacing w:val="-69"/>
        </w:rPr>
        <w:t> </w:t>
      </w:r>
      <w:r>
        <w:rPr>
          <w:rFonts w:ascii="宋体" w:hAnsi="宋体" w:cs="宋体" w:eastAsia="宋体" w:hint="default"/>
        </w:rPr>
        <w:t>项具体规范以及公司其他治理文件明确规定，公司内控执行情况</w:t>
      </w:r>
      <w:r>
        <w:rPr>
          <w:rFonts w:ascii="宋体" w:hAnsi="宋体" w:cs="宋体" w:eastAsia="宋体" w:hint="default"/>
        </w:rPr>
        <w:t> 的核查主要由合并报表范围内会计主体的日常自查和公司内审部门的不定期抽查组成； </w:t>
      </w:r>
      <w:r>
        <w:rPr>
          <w:rFonts w:ascii="宋体" w:hAnsi="宋体" w:cs="宋体" w:eastAsia="宋体" w:hint="default"/>
          <w:spacing w:val="-2"/>
        </w:rPr>
        <w:t>在必要情况下，公司董事会可责成内审部门或聘请中介机构对内控建立与执行情况进行</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专项审核评估。</w:t>
      </w:r>
    </w:p>
    <w:p>
      <w:pPr>
        <w:spacing w:line="240" w:lineRule="auto" w:before="8"/>
        <w:rPr>
          <w:rFonts w:ascii="宋体" w:hAnsi="宋体" w:cs="宋体" w:eastAsia="宋体" w:hint="default"/>
          <w:sz w:val="23"/>
          <w:szCs w:val="23"/>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（3）责任追究机制</w:t>
      </w:r>
    </w:p>
    <w:p>
      <w:pPr>
        <w:spacing w:line="240" w:lineRule="auto" w:before="11"/>
        <w:rPr>
          <w:rFonts w:ascii="宋体" w:hAnsi="宋体" w:cs="宋体" w:eastAsia="宋体" w:hint="default"/>
          <w:sz w:val="23"/>
          <w:szCs w:val="23"/>
        </w:rPr>
      </w:pPr>
    </w:p>
    <w:p>
      <w:pPr>
        <w:pStyle w:val="BodyText"/>
        <w:spacing w:line="237" w:lineRule="auto"/>
        <w:ind w:left="118" w:right="152"/>
        <w:jc w:val="both"/>
        <w:rPr>
          <w:rFonts w:ascii="宋体" w:hAnsi="宋体" w:cs="宋体" w:eastAsia="宋体" w:hint="default"/>
        </w:rPr>
      </w:pPr>
      <w:r>
        <w:rPr>
          <w:rFonts w:ascii="宋体" w:hAnsi="宋体" w:cs="宋体" w:eastAsia="宋体" w:hint="default"/>
          <w:spacing w:val="-3"/>
        </w:rPr>
        <w:t>《内部会计控制制度》之基本规范和财务支出审批、货币资金管理、成本费用、对外担</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3"/>
        </w:rPr>
        <w:t>保、控股子公司管理</w:t>
      </w:r>
      <w:r>
        <w:rPr>
          <w:rFonts w:ascii="宋体" w:hAnsi="宋体" w:cs="宋体" w:eastAsia="宋体" w:hint="default"/>
          <w:spacing w:val="-72"/>
        </w:rPr>
        <w:t> </w:t>
      </w:r>
      <w:r>
        <w:rPr>
          <w:rFonts w:ascii="宋体" w:hAnsi="宋体" w:cs="宋体" w:eastAsia="宋体" w:hint="default"/>
        </w:rPr>
        <w:t>5</w:t>
      </w:r>
      <w:r>
        <w:rPr>
          <w:rFonts w:ascii="宋体" w:hAnsi="宋体" w:cs="宋体" w:eastAsia="宋体" w:hint="default"/>
          <w:spacing w:val="-72"/>
        </w:rPr>
        <w:t> </w:t>
      </w:r>
      <w:r>
        <w:rPr>
          <w:rFonts w:ascii="宋体" w:hAnsi="宋体" w:cs="宋体" w:eastAsia="宋体" w:hint="default"/>
        </w:rPr>
        <w:t>项具体规范以及公司其他治理文件均明确了违规支付资金、开展</w:t>
      </w:r>
      <w:r>
        <w:rPr>
          <w:rFonts w:ascii="宋体" w:hAnsi="宋体" w:cs="宋体" w:eastAsia="宋体" w:hint="default"/>
        </w:rPr>
        <w:t> 交易或提供担保所应追究行政、经济、法律责任的对象和办法。</w:t>
      </w:r>
    </w:p>
    <w:p>
      <w:pPr>
        <w:spacing w:line="240" w:lineRule="auto" w:before="7"/>
        <w:rPr>
          <w:rFonts w:ascii="宋体" w:hAnsi="宋体" w:cs="宋体" w:eastAsia="宋体" w:hint="default"/>
          <w:sz w:val="23"/>
          <w:szCs w:val="23"/>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5、人力资源政策</w:t>
      </w:r>
      <w:r>
        <w:rPr>
          <w:rFonts w:ascii="宋体" w:hAnsi="宋体" w:cs="宋体" w:eastAsia="宋体" w:hint="default"/>
          <w:b w:val="0"/>
          <w:bCs w:val="0"/>
        </w:rPr>
      </w:r>
    </w:p>
    <w:p>
      <w:pPr>
        <w:spacing w:line="240" w:lineRule="auto" w:before="11"/>
        <w:rPr>
          <w:rFonts w:ascii="宋体" w:hAnsi="宋体" w:cs="宋体" w:eastAsia="宋体" w:hint="default"/>
          <w:b/>
          <w:bCs/>
          <w:sz w:val="23"/>
          <w:szCs w:val="23"/>
        </w:rPr>
      </w:pPr>
    </w:p>
    <w:p>
      <w:pPr>
        <w:pStyle w:val="BodyText"/>
        <w:spacing w:line="237" w:lineRule="auto"/>
        <w:ind w:left="118" w:right="152"/>
        <w:jc w:val="both"/>
        <w:rPr>
          <w:rFonts w:ascii="宋体" w:hAnsi="宋体" w:cs="宋体" w:eastAsia="宋体" w:hint="default"/>
        </w:rPr>
      </w:pPr>
      <w:r>
        <w:rPr>
          <w:rFonts w:ascii="宋体" w:hAnsi="宋体" w:cs="宋体" w:eastAsia="宋体" w:hint="default"/>
          <w:spacing w:val="-2"/>
        </w:rPr>
        <w:t>公司在长期的生产经营实践中，逐步形成和制定了岗位责任制度，严格的操作程序和合</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理的工作标准，达到有岗位、有标准、有考核、有奖惩。在员工录用、调配、选拔任用</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3"/>
        </w:rPr>
        <w:t>中，严格执行国家及公司内部的有关政策和规定，制定员工教育、培训计划，建立完善</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的员工考评激励奖惩制度，达到行之有效。公司目前人力资源政策包括岗位职责和人力</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资源计划、招聘、培训、离职、考核、薪酬等一系列有关人事的活动和程序。</w:t>
      </w:r>
    </w:p>
    <w:p>
      <w:pPr>
        <w:spacing w:line="240" w:lineRule="auto" w:before="7"/>
        <w:rPr>
          <w:rFonts w:ascii="宋体" w:hAnsi="宋体" w:cs="宋体" w:eastAsia="宋体" w:hint="default"/>
          <w:sz w:val="23"/>
          <w:szCs w:val="23"/>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（二）建立风险评估机制</w:t>
      </w:r>
      <w:r>
        <w:rPr>
          <w:rFonts w:ascii="宋体" w:hAnsi="宋体" w:cs="宋体" w:eastAsia="宋体" w:hint="default"/>
          <w:b w:val="0"/>
          <w:bCs w:val="0"/>
        </w:rPr>
      </w:r>
    </w:p>
    <w:p>
      <w:pPr>
        <w:spacing w:line="240" w:lineRule="auto" w:before="0"/>
        <w:rPr>
          <w:rFonts w:ascii="宋体" w:hAnsi="宋体" w:cs="宋体" w:eastAsia="宋体" w:hint="default"/>
          <w:b/>
          <w:bCs/>
          <w:sz w:val="26"/>
          <w:szCs w:val="26"/>
        </w:rPr>
      </w:pPr>
    </w:p>
    <w:p>
      <w:pPr>
        <w:pStyle w:val="BodyText"/>
        <w:spacing w:line="312" w:lineRule="exact"/>
        <w:ind w:left="118" w:right="152"/>
        <w:jc w:val="both"/>
        <w:rPr>
          <w:rFonts w:ascii="宋体" w:hAnsi="宋体" w:cs="宋体" w:eastAsia="宋体" w:hint="default"/>
        </w:rPr>
      </w:pPr>
      <w:r>
        <w:rPr>
          <w:rFonts w:ascii="宋体" w:hAnsi="宋体" w:cs="宋体" w:eastAsia="宋体" w:hint="default"/>
          <w:spacing w:val="-2"/>
        </w:rPr>
        <w:t>公司管理层充分认识到：风险评估是识别及分析影响公司目标实现的风险过程，是风险</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管理的基础。由于受到经济、行业、监管环境和运营状况不断变化，应当采用必要的机</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制使之能对导致上述变化的特殊风险进行识别和处理。因此，公司在风险评估中，充分</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识别和分析对实现目标具有阻碍作用的风险，明确在重要会计科目、披露事项和相关财</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务报表认定中产生重大错报的风险。</w:t>
      </w:r>
    </w:p>
    <w:p>
      <w:pPr>
        <w:spacing w:line="240" w:lineRule="auto" w:before="11"/>
        <w:rPr>
          <w:rFonts w:ascii="宋体" w:hAnsi="宋体" w:cs="宋体" w:eastAsia="宋体" w:hint="default"/>
          <w:sz w:val="23"/>
          <w:szCs w:val="23"/>
        </w:rPr>
      </w:pPr>
    </w:p>
    <w:p>
      <w:pPr>
        <w:pStyle w:val="BodyText"/>
        <w:spacing w:line="312" w:lineRule="exact"/>
        <w:ind w:left="538" w:right="15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描述业务流程：以财务报告为切入点对公司业务进行梳理，确定内部控制体系建设</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涉及的主要业务；建立流程编制标准，利用流程目录和流程图对主要业务进行直观</w:t>
      </w:r>
      <w:r>
        <w:rPr>
          <w:rFonts w:ascii="宋体" w:hAnsi="宋体" w:cs="宋体" w:eastAsia="宋体" w:hint="default"/>
        </w:rPr>
        <w:t> </w:t>
      </w:r>
      <w:r>
        <w:rPr>
          <w:rFonts w:ascii="宋体" w:hAnsi="宋体" w:cs="宋体" w:eastAsia="宋体" w:hint="default"/>
          <w:w w:val="110"/>
        </w:rPr>
        <w:t>描述。</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70"/>
        </w:rPr>
        <w:t></w:t>
      </w:r>
      <w:r>
        <w:rPr>
          <w:rFonts w:ascii="Times New Roman" w:hAnsi="Times New Roman" w:cs="Times New Roman" w:eastAsia="Times New Roman" w:hint="default"/>
          <w:spacing w:val="70"/>
        </w:rPr>
      </w:r>
      <w:r>
        <w:rPr>
          <w:rFonts w:ascii="宋体" w:hAnsi="宋体" w:cs="宋体" w:eastAsia="宋体" w:hint="default"/>
        </w:rPr>
        <w:t>确定重要会计科目和披露事项：通过定性和定量两种标准，确定重要会计科目和披</w:t>
      </w:r>
    </w:p>
    <w:p>
      <w:pPr>
        <w:spacing w:after="0" w:line="240" w:lineRule="auto"/>
        <w:jc w:val="both"/>
        <w:rPr>
          <w:rFonts w:ascii="宋体" w:hAnsi="宋体" w:cs="宋体" w:eastAsia="宋体" w:hint="default"/>
        </w:rPr>
        <w:sectPr>
          <w:headerReference w:type="default" r:id="rId58"/>
          <w:footerReference w:type="default" r:id="rId59"/>
          <w:pgSz w:w="11910" w:h="16840"/>
          <w:pgMar w:header="0" w:footer="983" w:top="1600" w:bottom="1180" w:left="1300" w:right="1260"/>
          <w:pgNumType w:start="5"/>
        </w:sectPr>
      </w:pPr>
    </w:p>
    <w:p>
      <w:pPr>
        <w:pStyle w:val="BodyText"/>
        <w:spacing w:line="313" w:lineRule="exact"/>
        <w:ind w:left="538" w:right="111"/>
        <w:jc w:val="left"/>
        <w:rPr>
          <w:rFonts w:ascii="宋体" w:hAnsi="宋体" w:cs="宋体" w:eastAsia="宋体" w:hint="default"/>
        </w:rPr>
      </w:pPr>
      <w:r>
        <w:rPr>
          <w:rFonts w:ascii="宋体" w:hAnsi="宋体" w:cs="宋体" w:eastAsia="宋体" w:hint="default"/>
        </w:rPr>
        <w:t>露事项及这些重要会计科目和披露事项可能出现重大错报的原因。</w:t>
      </w:r>
    </w:p>
    <w:p>
      <w:pPr>
        <w:spacing w:line="240" w:lineRule="auto" w:before="0"/>
        <w:rPr>
          <w:rFonts w:ascii="宋体" w:hAnsi="宋体" w:cs="宋体" w:eastAsia="宋体" w:hint="default"/>
          <w:sz w:val="26"/>
          <w:szCs w:val="26"/>
        </w:rPr>
      </w:pPr>
    </w:p>
    <w:p>
      <w:pPr>
        <w:pStyle w:val="BodyText"/>
        <w:tabs>
          <w:tab w:pos="538" w:val="left" w:leader="none"/>
        </w:tabs>
        <w:spacing w:line="312" w:lineRule="exact"/>
        <w:ind w:left="538" w:right="235" w:hanging="420"/>
        <w:jc w:val="left"/>
        <w:rPr>
          <w:rFonts w:ascii="宋体" w:hAnsi="宋体" w:cs="宋体" w:eastAsia="宋体" w:hint="default"/>
        </w:rPr>
      </w:pPr>
      <w:r>
        <w:rPr>
          <w:rFonts w:ascii="Wingdings" w:hAnsi="Wingdings" w:cs="Wingdings" w:eastAsia="Wingdings" w:hint="default"/>
          <w:w w:val="135"/>
        </w:rPr>
        <w:t></w:t>
      </w:r>
      <w:r>
        <w:rPr>
          <w:rFonts w:ascii="Times New Roman" w:hAnsi="Times New Roman" w:cs="Times New Roman" w:eastAsia="Times New Roman" w:hint="default"/>
          <w:w w:val="135"/>
        </w:rPr>
        <w:tab/>
      </w:r>
      <w:r>
        <w:rPr>
          <w:rFonts w:ascii="宋体" w:hAnsi="宋体" w:cs="宋体" w:eastAsia="宋体" w:hint="default"/>
        </w:rPr>
        <w:t>财务报表认定：确认和与重要会计科目、披露事项相关的财务报表认定，包括存在 </w:t>
      </w:r>
      <w:r>
        <w:rPr>
          <w:rFonts w:ascii="宋体" w:hAnsi="宋体" w:cs="宋体" w:eastAsia="宋体" w:hint="default"/>
          <w:w w:val="110"/>
        </w:rPr>
        <w:t>与发生、完整性、估价与分摊、权利与义务以及表达与披露五个方面。</w:t>
      </w:r>
    </w:p>
    <w:p>
      <w:pPr>
        <w:spacing w:line="240" w:lineRule="auto" w:before="11"/>
        <w:rPr>
          <w:rFonts w:ascii="宋体" w:hAnsi="宋体" w:cs="宋体" w:eastAsia="宋体" w:hint="default"/>
          <w:sz w:val="23"/>
          <w:szCs w:val="23"/>
        </w:rPr>
      </w:pPr>
    </w:p>
    <w:p>
      <w:pPr>
        <w:pStyle w:val="BodyText"/>
        <w:tabs>
          <w:tab w:pos="538" w:val="left" w:leader="none"/>
        </w:tabs>
        <w:spacing w:line="312" w:lineRule="exact"/>
        <w:ind w:left="538" w:right="125" w:hanging="420"/>
        <w:jc w:val="left"/>
        <w:rPr>
          <w:rFonts w:ascii="宋体" w:hAnsi="宋体" w:cs="宋体" w:eastAsia="宋体" w:hint="default"/>
        </w:rPr>
      </w:pPr>
      <w:r>
        <w:rPr>
          <w:rFonts w:ascii="Wingdings" w:hAnsi="Wingdings" w:cs="Wingdings" w:eastAsia="Wingdings" w:hint="default"/>
          <w:w w:val="135"/>
        </w:rPr>
        <w:t></w:t>
      </w:r>
      <w:r>
        <w:rPr>
          <w:rFonts w:ascii="Times New Roman" w:hAnsi="Times New Roman" w:cs="Times New Roman" w:eastAsia="Times New Roman" w:hint="default"/>
          <w:w w:val="135"/>
        </w:rPr>
        <w:tab/>
      </w:r>
      <w:r>
        <w:rPr>
          <w:rFonts w:ascii="宋体" w:hAnsi="宋体" w:cs="宋体" w:eastAsia="宋体" w:hint="default"/>
        </w:rPr>
        <w:t>确定重要经营场所/业务单位：以每年度财务报表数据为基础，以划分重要、特殊、 </w:t>
      </w:r>
      <w:r>
        <w:rPr>
          <w:rFonts w:ascii="宋体" w:hAnsi="宋体" w:cs="宋体" w:eastAsia="宋体" w:hint="default"/>
          <w:w w:val="110"/>
        </w:rPr>
        <w:t>其他和一般风险经营场所/业务单位。</w:t>
      </w:r>
    </w:p>
    <w:p>
      <w:pPr>
        <w:spacing w:line="240" w:lineRule="auto" w:before="11"/>
        <w:rPr>
          <w:rFonts w:ascii="宋体" w:hAnsi="宋体" w:cs="宋体" w:eastAsia="宋体" w:hint="default"/>
          <w:sz w:val="23"/>
          <w:szCs w:val="23"/>
        </w:rPr>
      </w:pPr>
    </w:p>
    <w:p>
      <w:pPr>
        <w:pStyle w:val="BodyText"/>
        <w:tabs>
          <w:tab w:pos="538" w:val="left" w:leader="none"/>
        </w:tabs>
        <w:spacing w:line="312" w:lineRule="exact"/>
        <w:ind w:left="538" w:right="235" w:hanging="420"/>
        <w:jc w:val="left"/>
        <w:rPr>
          <w:rFonts w:ascii="宋体" w:hAnsi="宋体" w:cs="宋体" w:eastAsia="宋体" w:hint="default"/>
        </w:rPr>
      </w:pPr>
      <w:r>
        <w:rPr>
          <w:rFonts w:ascii="Wingdings" w:hAnsi="Wingdings" w:cs="Wingdings" w:eastAsia="Wingdings" w:hint="default"/>
          <w:w w:val="135"/>
        </w:rPr>
        <w:t></w:t>
      </w:r>
      <w:r>
        <w:rPr>
          <w:rFonts w:ascii="Times New Roman" w:hAnsi="Times New Roman" w:cs="Times New Roman" w:eastAsia="Times New Roman" w:hint="default"/>
          <w:w w:val="135"/>
        </w:rPr>
        <w:tab/>
      </w:r>
      <w:r>
        <w:rPr>
          <w:rFonts w:ascii="宋体" w:hAnsi="宋体" w:cs="宋体" w:eastAsia="宋体" w:hint="default"/>
        </w:rPr>
        <w:t>确定重要业务流程：将重要会计科目和披露事项与产生相关会计信息的业务流程进 </w:t>
      </w:r>
      <w:r>
        <w:rPr>
          <w:rFonts w:ascii="宋体" w:hAnsi="宋体" w:cs="宋体" w:eastAsia="宋体" w:hint="default"/>
          <w:w w:val="110"/>
        </w:rPr>
        <w:t>行对应，确定与重要会计科目和披露事项相关的重要业务流程。</w:t>
      </w:r>
    </w:p>
    <w:p>
      <w:pPr>
        <w:spacing w:line="240" w:lineRule="auto" w:before="11"/>
        <w:rPr>
          <w:rFonts w:ascii="宋体" w:hAnsi="宋体" w:cs="宋体" w:eastAsia="宋体" w:hint="default"/>
          <w:sz w:val="23"/>
          <w:szCs w:val="23"/>
        </w:rPr>
      </w:pPr>
    </w:p>
    <w:p>
      <w:pPr>
        <w:pStyle w:val="BodyText"/>
        <w:spacing w:line="312" w:lineRule="exact"/>
        <w:ind w:left="538" w:right="23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对重要业务流程进行风险评估：明确在重要业务流程中可能造成财务报表重大错报</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的风险，对业务风险、固有风险和舞弊风险等进行评估，建立公司重要业务流程风</w:t>
      </w:r>
      <w:r>
        <w:rPr>
          <w:rFonts w:ascii="宋体" w:hAnsi="宋体" w:cs="宋体" w:eastAsia="宋体" w:hint="default"/>
        </w:rPr>
        <w:t> </w:t>
      </w:r>
      <w:r>
        <w:rPr>
          <w:rFonts w:ascii="宋体" w:hAnsi="宋体" w:cs="宋体" w:eastAsia="宋体" w:hint="default"/>
          <w:w w:val="110"/>
        </w:rPr>
        <w:t>险数据库。</w:t>
      </w:r>
    </w:p>
    <w:p>
      <w:pPr>
        <w:spacing w:line="240" w:lineRule="auto" w:before="11"/>
        <w:rPr>
          <w:rFonts w:ascii="宋体" w:hAnsi="宋体" w:cs="宋体" w:eastAsia="宋体" w:hint="default"/>
          <w:sz w:val="23"/>
          <w:szCs w:val="23"/>
        </w:rPr>
      </w:pPr>
    </w:p>
    <w:p>
      <w:pPr>
        <w:pStyle w:val="BodyText"/>
        <w:tabs>
          <w:tab w:pos="538" w:val="left" w:leader="none"/>
        </w:tabs>
        <w:spacing w:line="312" w:lineRule="exact"/>
        <w:ind w:left="538" w:right="235" w:hanging="420"/>
        <w:jc w:val="left"/>
        <w:rPr>
          <w:rFonts w:ascii="宋体" w:hAnsi="宋体" w:cs="宋体" w:eastAsia="宋体" w:hint="default"/>
        </w:rPr>
      </w:pPr>
      <w:r>
        <w:rPr>
          <w:rFonts w:ascii="Wingdings" w:hAnsi="Wingdings" w:cs="Wingdings" w:eastAsia="Wingdings" w:hint="default"/>
          <w:w w:val="135"/>
        </w:rPr>
        <w:t></w:t>
      </w:r>
      <w:r>
        <w:rPr>
          <w:rFonts w:ascii="Times New Roman" w:hAnsi="Times New Roman" w:cs="Times New Roman" w:eastAsia="Times New Roman" w:hint="default"/>
          <w:w w:val="135"/>
        </w:rPr>
        <w:tab/>
      </w:r>
      <w:r>
        <w:rPr>
          <w:rFonts w:ascii="宋体" w:hAnsi="宋体" w:cs="宋体" w:eastAsia="宋体" w:hint="default"/>
        </w:rPr>
        <w:t>建立风险评估制度体系：通过确定风险类别、风险评估方法和不断更新风险，建立 </w:t>
      </w:r>
      <w:r>
        <w:rPr>
          <w:rFonts w:ascii="宋体" w:hAnsi="宋体" w:cs="宋体" w:eastAsia="宋体" w:hint="default"/>
          <w:w w:val="110"/>
        </w:rPr>
        <w:t>公司风险评估制度体系。</w:t>
      </w:r>
    </w:p>
    <w:p>
      <w:pPr>
        <w:spacing w:line="240" w:lineRule="auto" w:before="6"/>
        <w:rPr>
          <w:rFonts w:ascii="宋体" w:hAnsi="宋体" w:cs="宋体" w:eastAsia="宋体" w:hint="default"/>
          <w:sz w:val="21"/>
          <w:szCs w:val="21"/>
        </w:rPr>
      </w:pPr>
    </w:p>
    <w:p>
      <w:pPr>
        <w:spacing w:line="477" w:lineRule="auto" w:before="0"/>
        <w:ind w:left="118" w:right="4006" w:firstLine="0"/>
        <w:jc w:val="left"/>
        <w:rPr>
          <w:rFonts w:ascii="宋体" w:hAnsi="宋体" w:cs="宋体" w:eastAsia="宋体" w:hint="default"/>
          <w:sz w:val="24"/>
          <w:szCs w:val="24"/>
        </w:rPr>
      </w:pPr>
      <w:r>
        <w:rPr>
          <w:rFonts w:ascii="宋体" w:hAnsi="宋体" w:cs="宋体" w:eastAsia="宋体" w:hint="default"/>
          <w:sz w:val="24"/>
          <w:szCs w:val="24"/>
        </w:rPr>
        <w:t>公司为防范规避风险，建立了如下风险评估机制。 </w:t>
      </w:r>
      <w:r>
        <w:rPr>
          <w:rFonts w:ascii="宋体" w:hAnsi="宋体" w:cs="宋体" w:eastAsia="宋体" w:hint="default"/>
          <w:b/>
          <w:bCs/>
          <w:sz w:val="24"/>
          <w:szCs w:val="24"/>
        </w:rPr>
        <w:t>1、对外投资方面</w:t>
      </w:r>
      <w:r>
        <w:rPr>
          <w:rFonts w:ascii="宋体" w:hAnsi="宋体" w:cs="宋体" w:eastAsia="宋体" w:hint="default"/>
          <w:sz w:val="24"/>
          <w:szCs w:val="24"/>
        </w:rPr>
      </w:r>
    </w:p>
    <w:p>
      <w:pPr>
        <w:pStyle w:val="BodyText"/>
        <w:spacing w:line="312" w:lineRule="exact" w:before="103"/>
        <w:ind w:left="118" w:right="185"/>
        <w:jc w:val="both"/>
        <w:rPr>
          <w:rFonts w:ascii="宋体" w:hAnsi="宋体" w:cs="宋体" w:eastAsia="宋体" w:hint="default"/>
        </w:rPr>
      </w:pPr>
      <w:r>
        <w:rPr>
          <w:rFonts w:ascii="宋体" w:hAnsi="宋体" w:cs="宋体" w:eastAsia="宋体" w:hint="default"/>
          <w:spacing w:val="-2"/>
        </w:rPr>
        <w:t>根据公司章程及对外投资制度的规定，公司对外投资涉及金额或资产价值未超过公司最</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近一期经审计的财务报告中净资产的 10%（含</w:t>
      </w:r>
      <w:r>
        <w:rPr>
          <w:rFonts w:ascii="宋体" w:hAnsi="宋体" w:cs="宋体" w:eastAsia="宋体" w:hint="default"/>
          <w:spacing w:val="-52"/>
        </w:rPr>
        <w:t> </w:t>
      </w:r>
      <w:r>
        <w:rPr>
          <w:rFonts w:ascii="宋体" w:hAnsi="宋体" w:cs="宋体" w:eastAsia="宋体" w:hint="default"/>
        </w:rPr>
        <w:t>10%）的，由董事会审批；超过上述审批</w:t>
      </w:r>
      <w:r>
        <w:rPr>
          <w:rFonts w:ascii="宋体" w:hAnsi="宋体" w:cs="宋体" w:eastAsia="宋体" w:hint="default"/>
        </w:rPr>
        <w:t> </w:t>
      </w:r>
      <w:r>
        <w:rPr>
          <w:rFonts w:ascii="宋体" w:hAnsi="宋体" w:cs="宋体" w:eastAsia="宋体" w:hint="default"/>
          <w:spacing w:val="-2"/>
        </w:rPr>
        <w:t>权限的，应提请股东大会批准。对于投资额度在董事会审批权限内，但拟投资项目涉及</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关联方交易的，且根据国家证券监管部门的规定，应由股东大会审议批准的投资项目， 需报请股东大会批准。</w:t>
      </w:r>
    </w:p>
    <w:p>
      <w:pPr>
        <w:spacing w:line="240" w:lineRule="auto" w:before="11"/>
        <w:rPr>
          <w:rFonts w:ascii="宋体" w:hAnsi="宋体" w:cs="宋体" w:eastAsia="宋体" w:hint="default"/>
          <w:sz w:val="23"/>
          <w:szCs w:val="23"/>
        </w:rPr>
      </w:pPr>
    </w:p>
    <w:p>
      <w:pPr>
        <w:pStyle w:val="BodyText"/>
        <w:spacing w:line="312" w:lineRule="exact"/>
        <w:ind w:left="118" w:right="111"/>
        <w:jc w:val="left"/>
        <w:rPr>
          <w:rFonts w:ascii="宋体" w:hAnsi="宋体" w:cs="宋体" w:eastAsia="宋体" w:hint="default"/>
        </w:rPr>
      </w:pPr>
      <w:r>
        <w:rPr>
          <w:rFonts w:ascii="宋体" w:hAnsi="宋体" w:cs="宋体" w:eastAsia="宋体" w:hint="default"/>
        </w:rPr>
        <w:t>公司下属控/参股公司的对外投资行为，应按控/参股公司的公司章程的规定由控/参股</w:t>
      </w:r>
      <w:r>
        <w:rPr>
          <w:rFonts w:ascii="宋体" w:hAnsi="宋体" w:cs="宋体" w:eastAsia="宋体" w:hint="default"/>
          <w:spacing w:val="-58"/>
        </w:rPr>
        <w:t> </w:t>
      </w:r>
      <w:r>
        <w:rPr>
          <w:rFonts w:ascii="宋体" w:hAnsi="宋体" w:cs="宋体" w:eastAsia="宋体" w:hint="default"/>
          <w:spacing w:val="-58"/>
        </w:rPr>
      </w:r>
      <w:r>
        <w:rPr>
          <w:rFonts w:ascii="宋体" w:hAnsi="宋体" w:cs="宋体" w:eastAsia="宋体" w:hint="default"/>
          <w:spacing w:val="-2"/>
        </w:rPr>
        <w:t>公司董事会或股东大会审批。公司委派的董事或股东代表，在下属控/参股公司董事会、</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股东会上代表公司的利益对其有关重大投资事项发表意见前，应向公司相关职能部门征</w:t>
      </w:r>
      <w:r>
        <w:rPr>
          <w:rFonts w:ascii="宋体" w:hAnsi="宋体" w:cs="宋体" w:eastAsia="宋体" w:hint="default"/>
        </w:rPr>
        <w:t> 询意见。</w:t>
      </w:r>
    </w:p>
    <w:p>
      <w:pPr>
        <w:spacing w:line="240" w:lineRule="auto" w:before="6"/>
        <w:rPr>
          <w:rFonts w:ascii="宋体" w:hAnsi="宋体" w:cs="宋体" w:eastAsia="宋体" w:hint="default"/>
          <w:sz w:val="21"/>
          <w:szCs w:val="21"/>
        </w:rPr>
      </w:pPr>
    </w:p>
    <w:p>
      <w:pPr>
        <w:pStyle w:val="Heading3"/>
        <w:spacing w:line="240" w:lineRule="auto"/>
        <w:ind w:right="111"/>
        <w:jc w:val="left"/>
        <w:rPr>
          <w:rFonts w:ascii="宋体" w:hAnsi="宋体" w:cs="宋体" w:eastAsia="宋体" w:hint="default"/>
          <w:b w:val="0"/>
          <w:bCs w:val="0"/>
        </w:rPr>
      </w:pPr>
      <w:r>
        <w:rPr>
          <w:rFonts w:ascii="宋体" w:hAnsi="宋体" w:cs="宋体" w:eastAsia="宋体" w:hint="default"/>
        </w:rPr>
        <w:t>2、对外筹资方面</w:t>
      </w:r>
      <w:r>
        <w:rPr>
          <w:rFonts w:ascii="宋体" w:hAnsi="宋体" w:cs="宋体" w:eastAsia="宋体" w:hint="default"/>
          <w:b w:val="0"/>
          <w:bCs w:val="0"/>
        </w:rPr>
      </w:r>
    </w:p>
    <w:p>
      <w:pPr>
        <w:spacing w:line="240" w:lineRule="auto" w:before="0"/>
        <w:rPr>
          <w:rFonts w:ascii="宋体" w:hAnsi="宋体" w:cs="宋体" w:eastAsia="宋体" w:hint="default"/>
          <w:b/>
          <w:bCs/>
          <w:sz w:val="26"/>
          <w:szCs w:val="26"/>
        </w:rPr>
      </w:pPr>
    </w:p>
    <w:p>
      <w:pPr>
        <w:pStyle w:val="BodyText"/>
        <w:spacing w:line="312" w:lineRule="exact"/>
        <w:ind w:left="118" w:right="229"/>
        <w:jc w:val="both"/>
        <w:rPr>
          <w:rFonts w:ascii="宋体" w:hAnsi="宋体" w:cs="宋体" w:eastAsia="宋体" w:hint="default"/>
        </w:rPr>
      </w:pPr>
      <w:r>
        <w:rPr>
          <w:rFonts w:ascii="宋体" w:hAnsi="宋体" w:cs="宋体" w:eastAsia="宋体" w:hint="default"/>
          <w:spacing w:val="5"/>
        </w:rPr>
        <w:t>公司的对外融资行为包括了公司依法定程序提出申请，经中国证券监督管理委员会核 </w:t>
      </w:r>
      <w:r>
        <w:rPr>
          <w:rFonts w:ascii="宋体" w:hAnsi="宋体" w:cs="宋体" w:eastAsia="宋体" w:hint="default"/>
          <w:spacing w:val="-2"/>
        </w:rPr>
        <w:t>准，以配股、增发、发行债券等形式通过证券市场进行的社会公开筹资以及向银行筹措</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资金。</w:t>
      </w:r>
    </w:p>
    <w:p>
      <w:pPr>
        <w:spacing w:line="240" w:lineRule="auto" w:before="11"/>
        <w:rPr>
          <w:rFonts w:ascii="宋体" w:hAnsi="宋体" w:cs="宋体" w:eastAsia="宋体" w:hint="default"/>
          <w:sz w:val="23"/>
          <w:szCs w:val="23"/>
        </w:rPr>
      </w:pPr>
    </w:p>
    <w:p>
      <w:pPr>
        <w:pStyle w:val="BodyText"/>
        <w:spacing w:line="312" w:lineRule="exact"/>
        <w:ind w:left="118" w:right="234"/>
        <w:jc w:val="both"/>
        <w:rPr>
          <w:rFonts w:ascii="宋体" w:hAnsi="宋体" w:cs="宋体" w:eastAsia="宋体" w:hint="default"/>
        </w:rPr>
      </w:pPr>
      <w:r>
        <w:rPr>
          <w:rFonts w:ascii="宋体" w:hAnsi="宋体" w:cs="宋体" w:eastAsia="宋体" w:hint="default"/>
          <w:spacing w:val="-2"/>
        </w:rPr>
        <w:t>在对外筹资方面，公司本着选择最佳筹资方式，降低资金成本，有效发挥财务杠杆作用</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和保持稳健的资本结构，把握负债筹资限度，降低筹资风险的原则进行。公司对外筹资</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以资金投向、需要量和投放时间作为筹资依据，事先做好计划，以提高资金综合利用效</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率；公司将筹集资金与投资效果相结合，筹资前做好投资方案可行性预测分析工作。公</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司对外筹集资金实行集中型筹资方式，由公司总部统一对外筹资，然后以内部调拨方式</w:t>
      </w:r>
    </w:p>
    <w:p>
      <w:pPr>
        <w:spacing w:after="0" w:line="312" w:lineRule="exact"/>
        <w:jc w:val="both"/>
        <w:rPr>
          <w:rFonts w:ascii="宋体" w:hAnsi="宋体" w:cs="宋体" w:eastAsia="宋体" w:hint="default"/>
        </w:rPr>
        <w:sectPr>
          <w:headerReference w:type="default" r:id="rId60"/>
          <w:footerReference w:type="default" r:id="rId61"/>
          <w:pgSz w:w="11910" w:h="16840"/>
          <w:pgMar w:header="0" w:footer="983" w:top="1380" w:bottom="1180" w:left="1300" w:right="1180"/>
          <w:pgNumType w:start="6"/>
        </w:sectPr>
      </w:pPr>
    </w:p>
    <w:p>
      <w:pPr>
        <w:pStyle w:val="BodyText"/>
        <w:spacing w:line="312" w:lineRule="exact" w:before="30"/>
        <w:ind w:left="118" w:right="111"/>
        <w:jc w:val="left"/>
        <w:rPr>
          <w:rFonts w:ascii="宋体" w:hAnsi="宋体" w:cs="宋体" w:eastAsia="宋体" w:hint="default"/>
        </w:rPr>
      </w:pPr>
      <w:r>
        <w:rPr>
          <w:rFonts w:ascii="宋体" w:hAnsi="宋体" w:cs="宋体" w:eastAsia="宋体" w:hint="default"/>
        </w:rPr>
        <w:t>投入到各事业本部或通过股权投资方式投入控/参股公司，下属各事业本部一律不得进</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5"/>
        </w:rPr>
        <w:t>行对外筹资活动。公司还充分发挥整体资金优势，优先在公司系统内安排调剂资金余缺，</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以促进资金合理流动，减少不合理的资金占用。</w:t>
      </w:r>
    </w:p>
    <w:p>
      <w:pPr>
        <w:spacing w:line="240" w:lineRule="auto" w:before="6"/>
        <w:rPr>
          <w:rFonts w:ascii="宋体" w:hAnsi="宋体" w:cs="宋体" w:eastAsia="宋体" w:hint="default"/>
          <w:sz w:val="21"/>
          <w:szCs w:val="21"/>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3、对外担保方面</w:t>
      </w:r>
      <w:r>
        <w:rPr>
          <w:rFonts w:ascii="宋体" w:hAnsi="宋体" w:cs="宋体" w:eastAsia="宋体" w:hint="default"/>
          <w:b w:val="0"/>
          <w:bCs w:val="0"/>
        </w:rPr>
      </w:r>
    </w:p>
    <w:p>
      <w:pPr>
        <w:spacing w:line="240" w:lineRule="auto" w:before="0"/>
        <w:rPr>
          <w:rFonts w:ascii="宋体" w:hAnsi="宋体" w:cs="宋体" w:eastAsia="宋体" w:hint="default"/>
          <w:b/>
          <w:bCs/>
          <w:sz w:val="26"/>
          <w:szCs w:val="26"/>
        </w:rPr>
      </w:pPr>
    </w:p>
    <w:p>
      <w:pPr>
        <w:pStyle w:val="BodyText"/>
        <w:spacing w:line="312" w:lineRule="exact"/>
        <w:ind w:left="118" w:right="185"/>
        <w:jc w:val="both"/>
        <w:rPr>
          <w:rFonts w:ascii="宋体" w:hAnsi="宋体" w:cs="宋体" w:eastAsia="宋体" w:hint="default"/>
        </w:rPr>
      </w:pPr>
      <w:r>
        <w:rPr>
          <w:rFonts w:ascii="宋体" w:hAnsi="宋体" w:cs="宋体" w:eastAsia="宋体" w:hint="default"/>
          <w:spacing w:val="-2"/>
        </w:rPr>
        <w:t>公司根据中国证监会的有关规定，修改了公司章程，并制定了《对外担保管理办法》和</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2"/>
        </w:rPr>
        <w:t>对外担保内部控制制度。公司原则上只为控股子公司提供担保，不为控股股东及本公司</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持股</w:t>
      </w:r>
      <w:r>
        <w:rPr>
          <w:rFonts w:ascii="宋体" w:hAnsi="宋体" w:cs="宋体" w:eastAsia="宋体" w:hint="default"/>
          <w:spacing w:val="-51"/>
        </w:rPr>
        <w:t> </w:t>
      </w:r>
      <w:r>
        <w:rPr>
          <w:rFonts w:ascii="宋体" w:hAnsi="宋体" w:cs="宋体" w:eastAsia="宋体" w:hint="default"/>
        </w:rPr>
        <w:t>50%以下的其他关联方、任何非法人单位或个人提供担保。公司如因具体情况确需</w:t>
      </w:r>
      <w:r>
        <w:rPr>
          <w:rFonts w:ascii="宋体" w:hAnsi="宋体" w:cs="宋体" w:eastAsia="宋体" w:hint="default"/>
        </w:rPr>
        <w:t> </w:t>
      </w:r>
      <w:r>
        <w:rPr>
          <w:rFonts w:ascii="宋体" w:hAnsi="宋体" w:cs="宋体" w:eastAsia="宋体" w:hint="default"/>
          <w:spacing w:val="-2"/>
        </w:rPr>
        <w:t>为其他公司提供担保，应严格执行国家相关制度的规定，按相应程序经公司董事会或股</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东大会批准，并采取反担保等必要的防范措施。申请公司提供担保的单位应具有良好的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经营状况和相应的偿债能力。</w:t>
      </w:r>
    </w:p>
    <w:p>
      <w:pPr>
        <w:spacing w:line="240" w:lineRule="auto" w:before="11"/>
        <w:rPr>
          <w:rFonts w:ascii="宋体" w:hAnsi="宋体" w:cs="宋体" w:eastAsia="宋体" w:hint="default"/>
          <w:sz w:val="23"/>
          <w:szCs w:val="23"/>
        </w:rPr>
      </w:pPr>
    </w:p>
    <w:p>
      <w:pPr>
        <w:pStyle w:val="BodyText"/>
        <w:spacing w:line="312" w:lineRule="exact"/>
        <w:ind w:left="118" w:right="185"/>
        <w:jc w:val="both"/>
        <w:rPr>
          <w:rFonts w:ascii="宋体" w:hAnsi="宋体" w:cs="宋体" w:eastAsia="宋体" w:hint="default"/>
        </w:rPr>
      </w:pPr>
      <w:r>
        <w:rPr>
          <w:rFonts w:ascii="宋体" w:hAnsi="宋体" w:cs="宋体" w:eastAsia="宋体" w:hint="default"/>
        </w:rPr>
        <w:t>公司对外担保由公司总部统一管理，下属事业本部不得对外提供担保、相互提供担保， </w:t>
      </w:r>
      <w:r>
        <w:rPr>
          <w:rFonts w:ascii="宋体" w:hAnsi="宋体" w:cs="宋体" w:eastAsia="宋体" w:hint="default"/>
          <w:spacing w:val="-2"/>
        </w:rPr>
        <w:t>也不得请外单位为其提供担保。公司做出的任何担保行为，须按程序经股东大会或董事</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会同意或经其授权。</w:t>
      </w:r>
    </w:p>
    <w:p>
      <w:pPr>
        <w:spacing w:line="240" w:lineRule="auto" w:before="11"/>
        <w:rPr>
          <w:rFonts w:ascii="宋体" w:hAnsi="宋体" w:cs="宋体" w:eastAsia="宋体" w:hint="default"/>
          <w:sz w:val="23"/>
          <w:szCs w:val="23"/>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spacing w:val="-2"/>
        </w:rPr>
        <w:t>另外，公司还以财务预警指标为起点，不断分选优化关键财务指标进行风险预警，定期</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对“销售利润率、销售增长率、应收账款及存货周转率、净资产收益率、经营现金净流</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量”等财务指标进行分析跟踪，并采取积极应对方案。</w:t>
      </w:r>
    </w:p>
    <w:p>
      <w:pPr>
        <w:spacing w:line="240" w:lineRule="auto" w:before="5"/>
        <w:rPr>
          <w:rFonts w:ascii="宋体" w:hAnsi="宋体" w:cs="宋体" w:eastAsia="宋体" w:hint="default"/>
          <w:sz w:val="21"/>
          <w:szCs w:val="21"/>
        </w:rPr>
      </w:pPr>
    </w:p>
    <w:p>
      <w:pPr>
        <w:pStyle w:val="Heading3"/>
        <w:spacing w:line="475" w:lineRule="auto"/>
        <w:ind w:right="6278"/>
        <w:jc w:val="left"/>
        <w:rPr>
          <w:rFonts w:ascii="宋体" w:hAnsi="宋体" w:cs="宋体" w:eastAsia="宋体" w:hint="default"/>
          <w:b w:val="0"/>
          <w:bCs w:val="0"/>
        </w:rPr>
      </w:pPr>
      <w:r>
        <w:rPr>
          <w:rFonts w:ascii="宋体" w:hAnsi="宋体" w:cs="宋体" w:eastAsia="宋体" w:hint="default"/>
        </w:rPr>
        <w:t>（三）</w:t>
      </w:r>
      <w:r>
        <w:rPr>
          <w:rFonts w:ascii="宋体" w:hAnsi="宋体" w:cs="宋体" w:eastAsia="宋体" w:hint="default"/>
          <w:spacing w:val="-4"/>
        </w:rPr>
        <w:t> </w:t>
      </w:r>
      <w:r>
        <w:rPr>
          <w:rFonts w:ascii="宋体" w:hAnsi="宋体" w:cs="宋体" w:eastAsia="宋体" w:hint="default"/>
        </w:rPr>
        <w:t>建立良好的控制活动</w:t>
      </w:r>
      <w:r>
        <w:rPr>
          <w:rFonts w:ascii="宋体" w:hAnsi="宋体" w:cs="宋体" w:eastAsia="宋体" w:hint="default"/>
          <w:spacing w:val="1"/>
          <w:w w:val="99"/>
        </w:rPr>
        <w:t> </w:t>
      </w:r>
      <w:r>
        <w:rPr>
          <w:rFonts w:ascii="宋体" w:hAnsi="宋体" w:cs="宋体" w:eastAsia="宋体" w:hint="default"/>
        </w:rPr>
        <w:t>1、交易授权控制</w:t>
      </w:r>
      <w:r>
        <w:rPr>
          <w:rFonts w:ascii="宋体" w:hAnsi="宋体" w:cs="宋体" w:eastAsia="宋体" w:hint="default"/>
          <w:b w:val="0"/>
          <w:bCs w:val="0"/>
        </w:rPr>
      </w:r>
    </w:p>
    <w:p>
      <w:pPr>
        <w:pStyle w:val="BodyText"/>
        <w:spacing w:line="312" w:lineRule="exact" w:before="105"/>
        <w:ind w:left="118" w:right="111"/>
        <w:jc w:val="left"/>
        <w:rPr>
          <w:rFonts w:ascii="宋体" w:hAnsi="宋体" w:cs="宋体" w:eastAsia="宋体" w:hint="default"/>
        </w:rPr>
      </w:pPr>
      <w:r>
        <w:rPr>
          <w:rFonts w:ascii="宋体" w:hAnsi="宋体" w:cs="宋体" w:eastAsia="宋体" w:hint="default"/>
        </w:rPr>
        <w:t>公司管理层根据经营管理水平、风险管理能力、地区经济环境以及业务发展需要，建立 </w:t>
      </w:r>
      <w:r>
        <w:rPr>
          <w:rFonts w:ascii="宋体" w:hAnsi="宋体" w:cs="宋体" w:eastAsia="宋体" w:hint="default"/>
          <w:spacing w:val="-6"/>
        </w:rPr>
        <w:t>恰当授权体系。公司审批实行分级授权管理，明确各级审批人的授权方式、权限、程序、</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责任及相关控制措施，并规定经办人的职责范围和工作要求。各级授权人是按其职责、</w:t>
      </w:r>
      <w:r>
        <w:rPr>
          <w:rFonts w:ascii="宋体" w:hAnsi="宋体" w:cs="宋体" w:eastAsia="宋体" w:hint="default"/>
        </w:rPr>
        <w:t> </w:t>
      </w:r>
      <w:r>
        <w:rPr>
          <w:rFonts w:ascii="宋体" w:hAnsi="宋体" w:cs="宋体" w:eastAsia="宋体" w:hint="default"/>
          <w:spacing w:val="-3"/>
        </w:rPr>
        <w:t>权限、管辖范围对下级进行相应授权，如：总裁对副总裁进行授权，副总裁对其主管职</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能部门或事业本部的负责人进行相应授权；依此类推，总部职能部和各本部可根据本单</w:t>
      </w:r>
      <w:r>
        <w:rPr>
          <w:rFonts w:ascii="宋体" w:hAnsi="宋体" w:cs="宋体" w:eastAsia="宋体" w:hint="default"/>
        </w:rPr>
        <w:t> 位机构设置和隶属关系进行逐级授权。</w:t>
      </w:r>
    </w:p>
    <w:p>
      <w:pPr>
        <w:spacing w:line="240" w:lineRule="auto" w:before="6"/>
        <w:rPr>
          <w:rFonts w:ascii="宋体" w:hAnsi="宋体" w:cs="宋体" w:eastAsia="宋体" w:hint="default"/>
          <w:sz w:val="21"/>
          <w:szCs w:val="21"/>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2、预算管理控制</w:t>
      </w:r>
      <w:r>
        <w:rPr>
          <w:rFonts w:ascii="宋体" w:hAnsi="宋体" w:cs="宋体" w:eastAsia="宋体" w:hint="default"/>
          <w:b w:val="0"/>
          <w:bCs w:val="0"/>
        </w:rPr>
      </w:r>
    </w:p>
    <w:p>
      <w:pPr>
        <w:spacing w:line="240" w:lineRule="auto" w:before="0"/>
        <w:rPr>
          <w:rFonts w:ascii="宋体" w:hAnsi="宋体" w:cs="宋体" w:eastAsia="宋体" w:hint="default"/>
          <w:b/>
          <w:bCs/>
          <w:sz w:val="26"/>
          <w:szCs w:val="26"/>
        </w:rPr>
      </w:pPr>
    </w:p>
    <w:p>
      <w:pPr>
        <w:pStyle w:val="BodyText"/>
        <w:spacing w:line="312" w:lineRule="exact"/>
        <w:ind w:left="118" w:right="185"/>
        <w:jc w:val="both"/>
        <w:rPr>
          <w:rFonts w:ascii="宋体" w:hAnsi="宋体" w:cs="宋体" w:eastAsia="宋体" w:hint="default"/>
        </w:rPr>
      </w:pPr>
      <w:r>
        <w:rPr>
          <w:rFonts w:ascii="宋体" w:hAnsi="宋体" w:cs="宋体" w:eastAsia="宋体" w:hint="default"/>
          <w:spacing w:val="-2"/>
        </w:rPr>
        <w:t>为明确公司目标和业务层面的目标，并督促目标的实现，公司建立了预算管理制度，加</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强预算编制、执行、分析、考核等环节的管理，明确预算项目，建立预算标准，规范预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算的编制、审定、下达和执行程序，及时分析和控制预算差异，采取改进措施，确保预</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2"/>
        </w:rPr>
        <w:t>算的执行。在计划预算制定的过程中，公司采取了由各个本部以及下属子公司分别制定</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计划预算，并详细分解至各季度、月，公司汇总后再确定公司整体的经营目标的方法， </w:t>
      </w:r>
      <w:r>
        <w:rPr>
          <w:rFonts w:ascii="宋体" w:hAnsi="宋体" w:cs="宋体" w:eastAsia="宋体" w:hint="default"/>
          <w:spacing w:val="-2"/>
        </w:rPr>
        <w:t>计划预算制定的过程中，各单位充分考虑其所处的行业环境和以往年度的经营情况，以</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制定切实可行的计划目标。在计划目标实施的过程中，公司通过企管部、财务部、审计</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部等部门月计划预算统计会议的方式，联合监督执行，并根据市场变化情况，适当调整</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计划目标，以确保计划目标的顺利实现。</w:t>
      </w:r>
    </w:p>
    <w:p>
      <w:pPr>
        <w:spacing w:after="0" w:line="312" w:lineRule="exact"/>
        <w:jc w:val="both"/>
        <w:rPr>
          <w:rFonts w:ascii="宋体" w:hAnsi="宋体" w:cs="宋体" w:eastAsia="宋体" w:hint="default"/>
        </w:rPr>
        <w:sectPr>
          <w:headerReference w:type="default" r:id="rId62"/>
          <w:footerReference w:type="default" r:id="rId63"/>
          <w:pgSz w:w="11910" w:h="16840"/>
          <w:pgMar w:header="0" w:footer="983" w:top="1380" w:bottom="1180" w:left="1300" w:right="1180"/>
          <w:pgNumType w:start="7"/>
        </w:sectPr>
      </w:pPr>
    </w:p>
    <w:p>
      <w:pPr>
        <w:pStyle w:val="Heading3"/>
        <w:spacing w:line="313" w:lineRule="exact"/>
        <w:ind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94"/>
        </w:rPr>
        <w:t> </w:t>
      </w:r>
      <w:r>
        <w:rPr>
          <w:rFonts w:ascii="宋体" w:hAnsi="宋体" w:cs="宋体" w:eastAsia="宋体" w:hint="default"/>
        </w:rPr>
        <w:t>会计系统控制</w:t>
      </w:r>
      <w:r>
        <w:rPr>
          <w:rFonts w:ascii="宋体" w:hAnsi="宋体" w:cs="宋体" w:eastAsia="宋体" w:hint="default"/>
          <w:b w:val="0"/>
          <w:bCs w:val="0"/>
        </w:rPr>
      </w:r>
    </w:p>
    <w:p>
      <w:pPr>
        <w:spacing w:line="240" w:lineRule="auto" w:before="9"/>
        <w:rPr>
          <w:rFonts w:ascii="宋体" w:hAnsi="宋体" w:cs="宋体" w:eastAsia="宋体" w:hint="default"/>
          <w:b/>
          <w:bCs/>
          <w:sz w:val="23"/>
          <w:szCs w:val="23"/>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（1）会计机构的职能</w:t>
      </w:r>
    </w:p>
    <w:p>
      <w:pPr>
        <w:spacing w:line="240" w:lineRule="auto" w:before="0"/>
        <w:rPr>
          <w:rFonts w:ascii="宋体" w:hAnsi="宋体" w:cs="宋体" w:eastAsia="宋体" w:hint="default"/>
          <w:sz w:val="26"/>
          <w:szCs w:val="26"/>
        </w:rPr>
      </w:pPr>
    </w:p>
    <w:p>
      <w:pPr>
        <w:pStyle w:val="BodyText"/>
        <w:spacing w:line="312" w:lineRule="exact"/>
        <w:ind w:left="118" w:right="185"/>
        <w:jc w:val="both"/>
        <w:rPr>
          <w:rFonts w:ascii="宋体" w:hAnsi="宋体" w:cs="宋体" w:eastAsia="宋体" w:hint="default"/>
        </w:rPr>
      </w:pPr>
      <w:r>
        <w:rPr>
          <w:rFonts w:ascii="宋体" w:hAnsi="宋体" w:cs="宋体" w:eastAsia="宋体" w:hint="default"/>
          <w:spacing w:val="-2"/>
        </w:rPr>
        <w:t>公司是按会计控制要求，完善了会计岗位管理制度，建立不相容职务分离制度、财务审</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批制度、岗位轮换制度。一般会计人员和会计主管实行定期轮换，并制定了《会计工作</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交接管理办法》严格遵守交接规则，以减少会计人员舞弊的风险和分清会计工作责任。</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（2）会计核算及管理</w:t>
      </w:r>
    </w:p>
    <w:p>
      <w:pPr>
        <w:spacing w:line="240" w:lineRule="auto" w:before="0"/>
        <w:rPr>
          <w:rFonts w:ascii="宋体" w:hAnsi="宋体" w:cs="宋体" w:eastAsia="宋体" w:hint="default"/>
          <w:sz w:val="26"/>
          <w:szCs w:val="26"/>
        </w:rPr>
      </w:pPr>
    </w:p>
    <w:p>
      <w:pPr>
        <w:pStyle w:val="BodyText"/>
        <w:spacing w:line="312" w:lineRule="exact"/>
        <w:ind w:left="118" w:right="233"/>
        <w:jc w:val="both"/>
        <w:rPr>
          <w:rFonts w:ascii="宋体" w:hAnsi="宋体" w:cs="宋体" w:eastAsia="宋体" w:hint="default"/>
        </w:rPr>
      </w:pPr>
      <w:r>
        <w:rPr>
          <w:rFonts w:ascii="宋体" w:hAnsi="宋体" w:cs="宋体" w:eastAsia="宋体" w:hint="default"/>
          <w:spacing w:val="-19"/>
        </w:rPr>
        <w:t>针对公司经营管理中的难点和重点，建立了《会计核算办法》、《成本费用管理制度》、《存</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spacing w:val="-8"/>
        </w:rPr>
        <w:t>货盘点和资产清查制度》、《资金支付管理办法》等会计管理制度，使以会计控制为重点</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的内部控制管理有章可循。</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（3）推行统一的会计核算制度</w:t>
      </w:r>
    </w:p>
    <w:p>
      <w:pPr>
        <w:spacing w:line="240" w:lineRule="auto" w:before="0"/>
        <w:rPr>
          <w:rFonts w:ascii="宋体" w:hAnsi="宋体" w:cs="宋体" w:eastAsia="宋体" w:hint="default"/>
          <w:sz w:val="26"/>
          <w:szCs w:val="26"/>
        </w:rPr>
      </w:pPr>
    </w:p>
    <w:p>
      <w:pPr>
        <w:pStyle w:val="BodyText"/>
        <w:spacing w:line="312" w:lineRule="exact"/>
        <w:ind w:left="118" w:right="111"/>
        <w:jc w:val="left"/>
        <w:rPr>
          <w:rFonts w:ascii="宋体" w:hAnsi="宋体" w:cs="宋体" w:eastAsia="宋体" w:hint="default"/>
        </w:rPr>
      </w:pPr>
      <w:r>
        <w:rPr>
          <w:rFonts w:ascii="宋体" w:hAnsi="宋体" w:cs="宋体" w:eastAsia="宋体" w:hint="default"/>
          <w:spacing w:val="-6"/>
        </w:rPr>
        <w:t>根据《会计法》和国家各项会计制度、准则的要求，结合不断深化的公司内部改组改制，</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11"/>
        </w:rPr>
        <w:t>制定了《公司会计制度》、《做好会计核算与财务报告编制》，统一会计政策、会计科目、</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会计核算办法、会计报表和财务报表。对各本部和下属子公司会计信息的生成、加工、</w:t>
      </w:r>
      <w:r>
        <w:rPr>
          <w:rFonts w:ascii="宋体" w:hAnsi="宋体" w:cs="宋体" w:eastAsia="宋体" w:hint="default"/>
        </w:rPr>
        <w:t> 整理和披露作了严格的规定，规范了公司的会计核算和财务管理，真实完整地提供公司 的会计信息，保证了定期报告中财务数据的真实可靠。</w:t>
      </w:r>
    </w:p>
    <w:p>
      <w:pPr>
        <w:spacing w:line="240" w:lineRule="auto" w:before="6"/>
        <w:rPr>
          <w:rFonts w:ascii="宋体" w:hAnsi="宋体" w:cs="宋体" w:eastAsia="宋体" w:hint="default"/>
          <w:sz w:val="21"/>
          <w:szCs w:val="21"/>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4、资产管理控制</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pStyle w:val="BodyText"/>
        <w:spacing w:line="312" w:lineRule="exact"/>
        <w:ind w:left="118" w:right="229"/>
        <w:jc w:val="both"/>
        <w:rPr>
          <w:rFonts w:ascii="宋体" w:hAnsi="宋体" w:cs="宋体" w:eastAsia="宋体" w:hint="default"/>
        </w:rPr>
      </w:pPr>
      <w:r>
        <w:rPr>
          <w:rFonts w:ascii="宋体" w:hAnsi="宋体" w:cs="宋体" w:eastAsia="宋体" w:hint="default"/>
          <w:spacing w:val="-2"/>
        </w:rPr>
        <w:t>为加强对公司资产的监督管理，巩固和发展已有的经营成果，促进公司的持续发展，公</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司制订了《资产管理办法》，对公司各本部以及公司下属子公司以各种形式对公司投资</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和投资收益形成的财产进行管理。</w:t>
      </w:r>
    </w:p>
    <w:p>
      <w:pPr>
        <w:spacing w:line="240" w:lineRule="auto" w:before="11"/>
        <w:rPr>
          <w:rFonts w:ascii="宋体" w:hAnsi="宋体" w:cs="宋体" w:eastAsia="宋体" w:hint="default"/>
          <w:sz w:val="23"/>
          <w:szCs w:val="23"/>
        </w:rPr>
      </w:pPr>
    </w:p>
    <w:p>
      <w:pPr>
        <w:pStyle w:val="BodyText"/>
        <w:spacing w:line="312" w:lineRule="exact"/>
        <w:ind w:left="118" w:right="234"/>
        <w:jc w:val="both"/>
        <w:rPr>
          <w:rFonts w:ascii="宋体" w:hAnsi="宋体" w:cs="宋体" w:eastAsia="宋体" w:hint="default"/>
        </w:rPr>
      </w:pPr>
      <w:r>
        <w:rPr>
          <w:rFonts w:ascii="宋体" w:hAnsi="宋体" w:cs="宋体" w:eastAsia="宋体" w:hint="default"/>
          <w:spacing w:val="-2"/>
        </w:rPr>
        <w:t>公司建立了定期财产清查制度。公司对各本部以及下属子公司资产负债情况进行定期清</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查，并且在公司各本部以及下属子公司独立核算单位都设置了固定资产会计岗位，从购</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建审批到入账、维护、盘点、报废清查等全过程实施记录、汇总、上报。</w:t>
      </w:r>
    </w:p>
    <w:p>
      <w:pPr>
        <w:spacing w:line="240" w:lineRule="auto" w:before="6"/>
        <w:rPr>
          <w:rFonts w:ascii="宋体" w:hAnsi="宋体" w:cs="宋体" w:eastAsia="宋体" w:hint="default"/>
          <w:sz w:val="21"/>
          <w:szCs w:val="21"/>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5、会计稽核控制</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spacing w:val="-2"/>
        </w:rPr>
        <w:t>为了加强会计核算和会计监督，提高会计工作质量，保证会计信息的真实性、完整性和</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合法性，公司根据自身的实际情况，制定了会计稽核制度，稽核的内容为：审查各种财</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务计划、各项财务收支、复核会计凭证；审查各种账薄是否符合记账要求。</w:t>
      </w:r>
    </w:p>
    <w:p>
      <w:pPr>
        <w:spacing w:line="240" w:lineRule="auto" w:before="6"/>
        <w:rPr>
          <w:rFonts w:ascii="宋体" w:hAnsi="宋体" w:cs="宋体" w:eastAsia="宋体" w:hint="default"/>
          <w:sz w:val="21"/>
          <w:szCs w:val="21"/>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6、内部报告控制</w:t>
      </w:r>
      <w:r>
        <w:rPr>
          <w:rFonts w:ascii="宋体" w:hAnsi="宋体" w:cs="宋体" w:eastAsia="宋体" w:hint="default"/>
          <w:b w:val="0"/>
          <w:bCs w:val="0"/>
        </w:rPr>
      </w:r>
    </w:p>
    <w:p>
      <w:pPr>
        <w:spacing w:line="240" w:lineRule="auto" w:before="0"/>
        <w:rPr>
          <w:rFonts w:ascii="宋体" w:hAnsi="宋体" w:cs="宋体" w:eastAsia="宋体" w:hint="default"/>
          <w:b/>
          <w:bCs/>
          <w:sz w:val="26"/>
          <w:szCs w:val="26"/>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spacing w:val="-2"/>
        </w:rPr>
        <w:t>公司建立和完善内部报告制度，全面反映经济活动情况，及时提供业务活动中的重要信</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息，增强内部管理的时效性和针对性。</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spacing w:val="-3"/>
        </w:rPr>
        <w:t>公司常用的内部报告有：资金分析报告，包括资金日报、借款还款进度表、贷款担保抵</w:t>
      </w:r>
      <w:r>
        <w:rPr>
          <w:rFonts w:ascii="宋体" w:hAnsi="宋体" w:cs="宋体" w:eastAsia="宋体" w:hint="default"/>
        </w:rPr>
      </w:r>
    </w:p>
    <w:p>
      <w:pPr>
        <w:spacing w:after="0" w:line="240" w:lineRule="auto"/>
        <w:jc w:val="both"/>
        <w:rPr>
          <w:rFonts w:ascii="宋体" w:hAnsi="宋体" w:cs="宋体" w:eastAsia="宋体" w:hint="default"/>
        </w:rPr>
        <w:sectPr>
          <w:headerReference w:type="default" r:id="rId64"/>
          <w:footerReference w:type="default" r:id="rId65"/>
          <w:pgSz w:w="11910" w:h="16840"/>
          <w:pgMar w:header="0" w:footer="983" w:top="1380" w:bottom="1180" w:left="1300" w:right="1180"/>
          <w:pgNumType w:start="8"/>
        </w:sectPr>
      </w:pPr>
    </w:p>
    <w:p>
      <w:pPr>
        <w:pStyle w:val="BodyText"/>
        <w:spacing w:line="312" w:lineRule="exact" w:before="30"/>
        <w:ind w:left="118" w:right="111"/>
        <w:jc w:val="left"/>
        <w:rPr>
          <w:rFonts w:ascii="宋体" w:hAnsi="宋体" w:cs="宋体" w:eastAsia="宋体" w:hint="default"/>
        </w:rPr>
      </w:pPr>
      <w:r>
        <w:rPr>
          <w:rFonts w:ascii="宋体" w:hAnsi="宋体" w:cs="宋体" w:eastAsia="宋体" w:hint="default"/>
          <w:spacing w:val="-3"/>
        </w:rPr>
        <w:t>押表、银行账户及印鉴管理表、资金调度表；经营分析报告；费用分析报告；资产分析</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报告；投资分析报告以及财务分析报告等。</w:t>
      </w:r>
    </w:p>
    <w:p>
      <w:pPr>
        <w:spacing w:line="240" w:lineRule="auto" w:before="6"/>
        <w:rPr>
          <w:rFonts w:ascii="宋体" w:hAnsi="宋体" w:cs="宋体" w:eastAsia="宋体" w:hint="default"/>
          <w:sz w:val="21"/>
          <w:szCs w:val="21"/>
        </w:rPr>
      </w:pPr>
    </w:p>
    <w:p>
      <w:pPr>
        <w:pStyle w:val="Heading3"/>
        <w:spacing w:line="240" w:lineRule="auto"/>
        <w:ind w:right="111"/>
        <w:jc w:val="left"/>
        <w:rPr>
          <w:rFonts w:ascii="宋体" w:hAnsi="宋体" w:cs="宋体" w:eastAsia="宋体" w:hint="default"/>
          <w:b w:val="0"/>
          <w:bCs w:val="0"/>
        </w:rPr>
      </w:pPr>
      <w:r>
        <w:rPr>
          <w:rFonts w:ascii="宋体" w:hAnsi="宋体" w:cs="宋体" w:eastAsia="宋体" w:hint="default"/>
        </w:rPr>
        <w:t>7、计算机系统管理控制</w:t>
      </w:r>
      <w:r>
        <w:rPr>
          <w:rFonts w:ascii="宋体" w:hAnsi="宋体" w:cs="宋体" w:eastAsia="宋体" w:hint="default"/>
          <w:b w:val="0"/>
          <w:bCs w:val="0"/>
        </w:rPr>
      </w:r>
    </w:p>
    <w:p>
      <w:pPr>
        <w:spacing w:line="240" w:lineRule="auto" w:before="12"/>
        <w:rPr>
          <w:rFonts w:ascii="宋体" w:hAnsi="宋体" w:cs="宋体" w:eastAsia="宋体" w:hint="default"/>
          <w:b/>
          <w:bCs/>
          <w:sz w:val="25"/>
          <w:szCs w:val="25"/>
        </w:rPr>
      </w:pPr>
    </w:p>
    <w:p>
      <w:pPr>
        <w:pStyle w:val="BodyText"/>
        <w:spacing w:line="312" w:lineRule="exact"/>
        <w:ind w:left="118" w:right="111"/>
        <w:jc w:val="left"/>
        <w:rPr>
          <w:rFonts w:ascii="宋体" w:hAnsi="宋体" w:cs="宋体" w:eastAsia="宋体" w:hint="default"/>
        </w:rPr>
      </w:pPr>
      <w:r>
        <w:rPr>
          <w:rFonts w:ascii="宋体" w:hAnsi="宋体" w:cs="宋体" w:eastAsia="宋体" w:hint="default"/>
        </w:rPr>
        <w:t>公司建立了信息化建设规划目标，在生产制度、客户渠道、技术服务等关键业务领域全 </w:t>
      </w:r>
      <w:r>
        <w:rPr>
          <w:rFonts w:ascii="宋体" w:hAnsi="宋体" w:cs="宋体" w:eastAsia="宋体" w:hint="default"/>
          <w:spacing w:val="-5"/>
        </w:rPr>
        <w:t>面实施了计算机系统管理。公司建立了信息安全管理组织，负责管理企业信息安全建设，</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建立了风险安全保障体系，落实到岗位专人负责，公司定期对计算机系统进行安全检查</w:t>
      </w:r>
      <w:r>
        <w:rPr>
          <w:rFonts w:ascii="宋体" w:hAnsi="宋体" w:cs="宋体" w:eastAsia="宋体" w:hint="default"/>
        </w:rPr>
        <w:t> 和风险防范，严格考核制度，保障有效执行。</w:t>
      </w:r>
    </w:p>
    <w:p>
      <w:pPr>
        <w:spacing w:line="240" w:lineRule="auto" w:before="5"/>
        <w:rPr>
          <w:rFonts w:ascii="宋体" w:hAnsi="宋体" w:cs="宋体" w:eastAsia="宋体" w:hint="default"/>
          <w:sz w:val="21"/>
          <w:szCs w:val="21"/>
        </w:rPr>
      </w:pPr>
    </w:p>
    <w:p>
      <w:pPr>
        <w:pStyle w:val="Heading3"/>
        <w:spacing w:line="240" w:lineRule="auto"/>
        <w:ind w:right="111"/>
        <w:jc w:val="left"/>
        <w:rPr>
          <w:rFonts w:ascii="宋体" w:hAnsi="宋体" w:cs="宋体" w:eastAsia="宋体" w:hint="default"/>
          <w:b w:val="0"/>
          <w:bCs w:val="0"/>
        </w:rPr>
      </w:pPr>
      <w:r>
        <w:rPr>
          <w:rFonts w:ascii="宋体" w:hAnsi="宋体" w:cs="宋体" w:eastAsia="宋体" w:hint="default"/>
        </w:rPr>
        <w:t>8、销售与收款控制</w:t>
      </w:r>
      <w:r>
        <w:rPr>
          <w:rFonts w:ascii="宋体" w:hAnsi="宋体" w:cs="宋体" w:eastAsia="宋体" w:hint="default"/>
          <w:b w:val="0"/>
          <w:bCs w:val="0"/>
        </w:rPr>
      </w:r>
    </w:p>
    <w:p>
      <w:pPr>
        <w:spacing w:line="240" w:lineRule="auto" w:before="0"/>
        <w:rPr>
          <w:rFonts w:ascii="宋体" w:hAnsi="宋体" w:cs="宋体" w:eastAsia="宋体" w:hint="default"/>
          <w:b/>
          <w:bCs/>
          <w:sz w:val="26"/>
          <w:szCs w:val="26"/>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spacing w:val="-3"/>
        </w:rPr>
        <w:t>公司按照“以销定产”原则，对销售业务建立严格的预算管理制度，并对销售与收款业</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务的不相容岗位相互分离、制约和监督，建立销售与收款业务的授权审批制度，对于超</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出既定销售政策和信用政策规定范围的特殊销售业务，实行集体决策，建立应收账款账</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龄分析和逾期应收账款催收制度以保证对应收账款的控制。</w:t>
      </w:r>
    </w:p>
    <w:p>
      <w:pPr>
        <w:spacing w:line="240" w:lineRule="auto" w:before="5"/>
        <w:rPr>
          <w:rFonts w:ascii="宋体" w:hAnsi="宋体" w:cs="宋体" w:eastAsia="宋体" w:hint="default"/>
          <w:sz w:val="21"/>
          <w:szCs w:val="21"/>
        </w:rPr>
      </w:pPr>
    </w:p>
    <w:p>
      <w:pPr>
        <w:pStyle w:val="Heading3"/>
        <w:spacing w:line="477" w:lineRule="auto"/>
        <w:ind w:right="5551"/>
        <w:jc w:val="left"/>
        <w:rPr>
          <w:rFonts w:ascii="宋体" w:hAnsi="宋体" w:cs="宋体" w:eastAsia="宋体" w:hint="default"/>
          <w:b w:val="0"/>
          <w:bCs w:val="0"/>
        </w:rPr>
      </w:pPr>
      <w:r>
        <w:rPr>
          <w:rFonts w:ascii="宋体" w:hAnsi="宋体" w:cs="宋体" w:eastAsia="宋体" w:hint="default"/>
        </w:rPr>
        <w:t>（四）建立有效信息与沟通</w:t>
      </w:r>
      <w:r>
        <w:rPr>
          <w:rFonts w:ascii="宋体" w:hAnsi="宋体" w:cs="宋体" w:eastAsia="宋体" w:hint="default"/>
          <w:spacing w:val="1"/>
          <w:w w:val="99"/>
        </w:rPr>
        <w:t> </w:t>
      </w:r>
      <w:r>
        <w:rPr>
          <w:rFonts w:ascii="宋体" w:hAnsi="宋体" w:cs="宋体" w:eastAsia="宋体" w:hint="default"/>
        </w:rPr>
        <w:t>1、建立有效的信息交流和反馈机制</w:t>
      </w:r>
      <w:r>
        <w:rPr>
          <w:rFonts w:ascii="宋体" w:hAnsi="宋体" w:cs="宋体" w:eastAsia="宋体" w:hint="default"/>
          <w:b w:val="0"/>
          <w:bCs w:val="0"/>
        </w:rPr>
      </w:r>
    </w:p>
    <w:p>
      <w:pPr>
        <w:pStyle w:val="BodyText"/>
        <w:spacing w:line="237" w:lineRule="auto" w:before="75"/>
        <w:ind w:left="118" w:right="229"/>
        <w:jc w:val="both"/>
        <w:rPr>
          <w:rFonts w:ascii="宋体" w:hAnsi="宋体" w:cs="宋体" w:eastAsia="宋体" w:hint="default"/>
        </w:rPr>
      </w:pPr>
      <w:r>
        <w:rPr>
          <w:rFonts w:ascii="宋体" w:hAnsi="宋体" w:cs="宋体" w:eastAsia="宋体" w:hint="default"/>
          <w:spacing w:val="-2"/>
        </w:rPr>
        <w:t>为确保信息沟通渠道的顺畅，公司建立的《重大信息内部报告制度》，以约束公司与下</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2"/>
        </w:rPr>
        <w:t>属控股子公司之间重大信息的交流。同时，在对于下属公司的管理上，公司的管理原则</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包括严格按照控股子公司合资合同及公司章程进行管理；充分行使合同和章程中规定的</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股东、董事和监事的权利。公司总部各职能部门，行使业务指导职能，不能直接对控股</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子公司发布管理指令；以不影响控股子公司日常经营为前提，通过董事会加强对控股子</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公司管理层的监督；母公司与控股子公司之间是整体与局部的关系，管理既要明确各自</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的权责，又要精诚合作，相互支持与配合，以充分发挥双方的协同效应。</w:t>
      </w:r>
    </w:p>
    <w:p>
      <w:pPr>
        <w:spacing w:line="240" w:lineRule="auto" w:before="9"/>
        <w:rPr>
          <w:rFonts w:ascii="宋体" w:hAnsi="宋体" w:cs="宋体" w:eastAsia="宋体" w:hint="default"/>
          <w:sz w:val="23"/>
          <w:szCs w:val="23"/>
        </w:rPr>
      </w:pPr>
    </w:p>
    <w:p>
      <w:pPr>
        <w:pStyle w:val="Heading3"/>
        <w:spacing w:line="240" w:lineRule="auto"/>
        <w:ind w:right="111"/>
        <w:jc w:val="left"/>
        <w:rPr>
          <w:rFonts w:ascii="宋体" w:hAnsi="宋体" w:cs="宋体" w:eastAsia="宋体" w:hint="default"/>
          <w:b w:val="0"/>
          <w:bCs w:val="0"/>
        </w:rPr>
      </w:pPr>
      <w:r>
        <w:rPr>
          <w:rFonts w:ascii="宋体" w:hAnsi="宋体" w:cs="宋体" w:eastAsia="宋体" w:hint="default"/>
        </w:rPr>
        <w:t>2、发挥会计电算化在会计系统控制中的信息集成作用</w:t>
      </w:r>
      <w:r>
        <w:rPr>
          <w:rFonts w:ascii="宋体" w:hAnsi="宋体" w:cs="宋体" w:eastAsia="宋体" w:hint="default"/>
          <w:b w:val="0"/>
          <w:bCs w:val="0"/>
        </w:rPr>
      </w:r>
    </w:p>
    <w:p>
      <w:pPr>
        <w:spacing w:line="240" w:lineRule="auto" w:before="0"/>
        <w:rPr>
          <w:rFonts w:ascii="宋体" w:hAnsi="宋体" w:cs="宋体" w:eastAsia="宋体" w:hint="default"/>
          <w:b/>
          <w:bCs/>
          <w:sz w:val="26"/>
          <w:szCs w:val="26"/>
        </w:rPr>
      </w:pPr>
    </w:p>
    <w:p>
      <w:pPr>
        <w:pStyle w:val="BodyText"/>
        <w:spacing w:line="312" w:lineRule="exact"/>
        <w:ind w:left="118" w:right="111"/>
        <w:jc w:val="left"/>
        <w:rPr>
          <w:rFonts w:ascii="宋体" w:hAnsi="宋体" w:cs="宋体" w:eastAsia="宋体" w:hint="default"/>
        </w:rPr>
      </w:pPr>
      <w:r>
        <w:rPr>
          <w:rFonts w:ascii="宋体" w:hAnsi="宋体" w:cs="宋体" w:eastAsia="宋体" w:hint="default"/>
        </w:rPr>
        <w:t>公司从 1999</w:t>
      </w:r>
      <w:r>
        <w:rPr>
          <w:rFonts w:ascii="宋体" w:hAnsi="宋体" w:cs="宋体" w:eastAsia="宋体" w:hint="default"/>
          <w:spacing w:val="-52"/>
        </w:rPr>
        <w:t> </w:t>
      </w:r>
      <w:r>
        <w:rPr>
          <w:rFonts w:ascii="宋体" w:hAnsi="宋体" w:cs="宋体" w:eastAsia="宋体" w:hint="default"/>
        </w:rPr>
        <w:t>年起开始推行会计电算化工作，经历了选型、试用、并行、甩账、推广、</w:t>
      </w:r>
      <w:r>
        <w:rPr>
          <w:rFonts w:ascii="宋体" w:hAnsi="宋体" w:cs="宋体" w:eastAsia="宋体" w:hint="default"/>
        </w:rPr>
        <w:t> 完善等阶段。在做好会计电算化工作的基础上，推广实施了各本部以及下属子公司统一 </w:t>
      </w:r>
      <w:r>
        <w:rPr>
          <w:rFonts w:ascii="宋体" w:hAnsi="宋体" w:cs="宋体" w:eastAsia="宋体" w:hint="default"/>
          <w:spacing w:val="-5"/>
        </w:rPr>
        <w:t>会计核算软件，统一制定电算化软件中的一级会计科目、会计报表，规范账表取数关系，</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将会计账、证、表的平衡勾稽关系通过软件设置，固化在会计电算化系统中，通过会计</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核算系统数据录入控制、账表自动取数、报表自动汇总，极大提高会计信息的及时性和</w:t>
      </w:r>
      <w:r>
        <w:rPr>
          <w:rFonts w:ascii="宋体" w:hAnsi="宋体" w:cs="宋体" w:eastAsia="宋体" w:hint="default"/>
        </w:rPr>
        <w:t> 准确性。同时，部分单位已完成以会计信息为中心的整体产销资讯系统，通过会计信息 系统及时收集市场、生产、材料、设备、资金、人力等生产经营活动信息，达到物流、 价值流和信息流的统一。</w:t>
      </w:r>
    </w:p>
    <w:p>
      <w:pPr>
        <w:spacing w:line="240" w:lineRule="auto" w:before="6"/>
        <w:rPr>
          <w:rFonts w:ascii="宋体" w:hAnsi="宋体" w:cs="宋体" w:eastAsia="宋体" w:hint="default"/>
          <w:sz w:val="21"/>
          <w:szCs w:val="21"/>
        </w:rPr>
      </w:pPr>
    </w:p>
    <w:p>
      <w:pPr>
        <w:pStyle w:val="Heading3"/>
        <w:spacing w:line="475" w:lineRule="auto"/>
        <w:ind w:right="6395"/>
        <w:jc w:val="left"/>
        <w:rPr>
          <w:rFonts w:ascii="宋体" w:hAnsi="宋体" w:cs="宋体" w:eastAsia="宋体" w:hint="default"/>
          <w:b w:val="0"/>
          <w:bCs w:val="0"/>
        </w:rPr>
      </w:pPr>
      <w:r>
        <w:rPr>
          <w:rFonts w:ascii="宋体" w:hAnsi="宋体" w:cs="宋体" w:eastAsia="宋体" w:hint="default"/>
        </w:rPr>
        <w:t>（五）建立有效的控制监督</w:t>
      </w:r>
      <w:r>
        <w:rPr>
          <w:rFonts w:ascii="宋体" w:hAnsi="宋体" w:cs="宋体" w:eastAsia="宋体" w:hint="default"/>
          <w:spacing w:val="1"/>
          <w:w w:val="99"/>
        </w:rPr>
        <w:t> </w:t>
      </w:r>
      <w:r>
        <w:rPr>
          <w:rFonts w:ascii="宋体" w:hAnsi="宋体" w:cs="宋体" w:eastAsia="宋体" w:hint="default"/>
        </w:rPr>
        <w:t>1、建立健全公司内部审计</w:t>
      </w:r>
      <w:r>
        <w:rPr>
          <w:rFonts w:ascii="宋体" w:hAnsi="宋体" w:cs="宋体" w:eastAsia="宋体" w:hint="default"/>
          <w:b w:val="0"/>
          <w:bCs w:val="0"/>
        </w:rPr>
      </w:r>
    </w:p>
    <w:p>
      <w:pPr>
        <w:spacing w:after="0" w:line="475" w:lineRule="auto"/>
        <w:jc w:val="left"/>
        <w:rPr>
          <w:rFonts w:ascii="宋体" w:hAnsi="宋体" w:cs="宋体" w:eastAsia="宋体" w:hint="default"/>
        </w:rPr>
        <w:sectPr>
          <w:headerReference w:type="default" r:id="rId66"/>
          <w:footerReference w:type="default" r:id="rId67"/>
          <w:pgSz w:w="11910" w:h="16840"/>
          <w:pgMar w:header="0" w:footer="983" w:top="1380" w:bottom="1180" w:left="1300" w:right="1180"/>
          <w:pgNumType w:start="9"/>
        </w:sectPr>
      </w:pPr>
    </w:p>
    <w:p>
      <w:pPr>
        <w:pStyle w:val="BodyText"/>
        <w:spacing w:line="312" w:lineRule="exact" w:before="30"/>
        <w:ind w:left="118" w:right="114"/>
        <w:jc w:val="both"/>
        <w:rPr>
          <w:rFonts w:ascii="宋体" w:hAnsi="宋体" w:cs="宋体" w:eastAsia="宋体" w:hint="default"/>
        </w:rPr>
      </w:pPr>
      <w:r>
        <w:rPr>
          <w:rFonts w:ascii="宋体" w:hAnsi="宋体" w:cs="宋体" w:eastAsia="宋体" w:hint="default"/>
          <w:spacing w:val="-2"/>
        </w:rPr>
        <w:t>在内部控制制度的运作过程中，内部审计监督发挥着重要的作用。内部审计是内部控制</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得以健立健全并有效实施的重要保障，更是发现内部控制的缺陷或薄弱环节，不断改进</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和完善的重要保障。</w:t>
      </w:r>
    </w:p>
    <w:p>
      <w:pPr>
        <w:spacing w:line="240" w:lineRule="auto" w:before="11"/>
        <w:rPr>
          <w:rFonts w:ascii="宋体" w:hAnsi="宋体" w:cs="宋体" w:eastAsia="宋体" w:hint="default"/>
          <w:sz w:val="23"/>
          <w:szCs w:val="23"/>
        </w:rPr>
      </w:pPr>
    </w:p>
    <w:p>
      <w:pPr>
        <w:pStyle w:val="BodyText"/>
        <w:spacing w:line="312" w:lineRule="exact"/>
        <w:ind w:left="118" w:right="109"/>
        <w:jc w:val="both"/>
        <w:rPr>
          <w:rFonts w:ascii="宋体" w:hAnsi="宋体" w:cs="宋体" w:eastAsia="宋体" w:hint="default"/>
        </w:rPr>
      </w:pPr>
      <w:r>
        <w:rPr>
          <w:rFonts w:ascii="宋体" w:hAnsi="宋体" w:cs="宋体" w:eastAsia="宋体" w:hint="default"/>
        </w:rPr>
        <w:t>公司 2003</w:t>
      </w:r>
      <w:r>
        <w:rPr>
          <w:rFonts w:ascii="宋体" w:hAnsi="宋体" w:cs="宋体" w:eastAsia="宋体" w:hint="default"/>
          <w:spacing w:val="-52"/>
        </w:rPr>
        <w:t> </w:t>
      </w:r>
      <w:r>
        <w:rPr>
          <w:rFonts w:ascii="宋体" w:hAnsi="宋体" w:cs="宋体" w:eastAsia="宋体" w:hint="default"/>
        </w:rPr>
        <w:t>年就设立了具有充分独立性的内部审计部门—审计部，审计部直接对董事会</w:t>
      </w:r>
      <w:r>
        <w:rPr>
          <w:rFonts w:ascii="宋体" w:hAnsi="宋体" w:cs="宋体" w:eastAsia="宋体" w:hint="default"/>
        </w:rPr>
        <w:t> </w:t>
      </w:r>
      <w:r>
        <w:rPr>
          <w:rFonts w:ascii="宋体" w:hAnsi="宋体" w:cs="宋体" w:eastAsia="宋体" w:hint="default"/>
          <w:spacing w:val="-2"/>
        </w:rPr>
        <w:t>负责，独立性得到了保障，确保出具客观、真实的审计报告；其次，为审计部配备具有</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相应资质和能力的审计人员，并加强审计队伍建设，重视包括专业在内的各相关知识等</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方面的培训；再次，《内部审计程序与方法规范指南》明确规定审计部有权获得公司内</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2"/>
        </w:rPr>
        <w:t>部所有的经营、管理信息，有责任定期对公司内部控制的健全性和有效性实施检查、评</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价。</w:t>
      </w:r>
    </w:p>
    <w:p>
      <w:pPr>
        <w:spacing w:line="240" w:lineRule="auto" w:before="11"/>
        <w:rPr>
          <w:rFonts w:ascii="宋体" w:hAnsi="宋体" w:cs="宋体" w:eastAsia="宋体" w:hint="default"/>
          <w:sz w:val="23"/>
          <w:szCs w:val="23"/>
        </w:rPr>
      </w:pPr>
    </w:p>
    <w:p>
      <w:pPr>
        <w:pStyle w:val="BodyText"/>
        <w:spacing w:line="312" w:lineRule="exact"/>
        <w:ind w:left="118" w:right="114"/>
        <w:jc w:val="both"/>
        <w:rPr>
          <w:rFonts w:ascii="宋体" w:hAnsi="宋体" w:cs="宋体" w:eastAsia="宋体" w:hint="default"/>
        </w:rPr>
      </w:pPr>
      <w:r>
        <w:rPr>
          <w:rFonts w:ascii="宋体" w:hAnsi="宋体" w:cs="宋体" w:eastAsia="宋体" w:hint="default"/>
          <w:spacing w:val="-2"/>
        </w:rPr>
        <w:t>按照公司对审计部门的定位，审计部所从事的主要工作之一是定期对内部控制的执行情</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况进厅检查和评价，审查内部控制措施的执行情况是否符合制度规定和要求，有无发挥</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积极作用，从而判断内部控制制度的可信赖程度。内部审计人员与单位负责人一起研究</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与编写内部控制评价报告，主要说明内部控制的程序是否符合国家有关规定，是否简明</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有效；内部控制是否符合单位管理方针与政策；是否能满足单位经营管理的需要；内部</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控制在运行中是否存在漏洞或不完善的地方，今后应当如何进行改进和完善；对内部控</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制中存在的问题进行改进的具体计划和进度安排。</w:t>
      </w:r>
    </w:p>
    <w:p>
      <w:pPr>
        <w:spacing w:line="240" w:lineRule="auto" w:before="6"/>
        <w:rPr>
          <w:rFonts w:ascii="宋体" w:hAnsi="宋体" w:cs="宋体" w:eastAsia="宋体" w:hint="default"/>
          <w:sz w:val="21"/>
          <w:szCs w:val="21"/>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2、强化外部监督</w:t>
      </w:r>
      <w:r>
        <w:rPr>
          <w:rFonts w:ascii="宋体" w:hAnsi="宋体" w:cs="宋体" w:eastAsia="宋体" w:hint="default"/>
          <w:b w:val="0"/>
          <w:bCs w:val="0"/>
        </w:rPr>
      </w:r>
    </w:p>
    <w:p>
      <w:pPr>
        <w:spacing w:line="240" w:lineRule="auto" w:before="0"/>
        <w:rPr>
          <w:rFonts w:ascii="宋体" w:hAnsi="宋体" w:cs="宋体" w:eastAsia="宋体" w:hint="default"/>
          <w:b/>
          <w:bCs/>
          <w:sz w:val="26"/>
          <w:szCs w:val="26"/>
        </w:rPr>
      </w:pPr>
    </w:p>
    <w:p>
      <w:pPr>
        <w:pStyle w:val="BodyText"/>
        <w:spacing w:line="312" w:lineRule="exact"/>
        <w:ind w:left="118" w:right="113"/>
        <w:jc w:val="both"/>
        <w:rPr>
          <w:rFonts w:ascii="宋体" w:hAnsi="宋体" w:cs="宋体" w:eastAsia="宋体" w:hint="default"/>
        </w:rPr>
      </w:pPr>
      <w:r>
        <w:rPr>
          <w:rFonts w:ascii="宋体" w:hAnsi="宋体" w:cs="宋体" w:eastAsia="宋体" w:hint="default"/>
          <w:spacing w:val="-2"/>
        </w:rPr>
        <w:t>公司在加强内部审计的作用，提高内部审计地位的同时，还借助政府监督和社会监督的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力量。统一协调财政、税务、审计等部门，合理分工，加强彼此间的信息交流，形成有</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效的监督合力，通过这些部门对公司内部控制的了解、检查和监督，加大执法力度，增</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强威慑力。同时充分发挥注册会计师的作用，及时发现内部控制的疏漏和薄弱环节。</w:t>
      </w:r>
    </w:p>
    <w:p>
      <w:pPr>
        <w:spacing w:line="240" w:lineRule="auto" w:before="12"/>
        <w:rPr>
          <w:rFonts w:ascii="宋体" w:hAnsi="宋体" w:cs="宋体" w:eastAsia="宋体" w:hint="default"/>
          <w:sz w:val="20"/>
          <w:szCs w:val="20"/>
        </w:rPr>
      </w:pPr>
    </w:p>
    <w:p>
      <w:pPr>
        <w:pStyle w:val="Heading2"/>
        <w:spacing w:line="240" w:lineRule="auto"/>
        <w:ind w:left="118" w:right="0"/>
        <w:jc w:val="both"/>
        <w:rPr>
          <w:rFonts w:ascii="宋体" w:hAnsi="宋体" w:cs="宋体" w:eastAsia="宋体" w:hint="default"/>
          <w:b w:val="0"/>
          <w:bCs w:val="0"/>
        </w:rPr>
      </w:pPr>
      <w:r>
        <w:rPr>
          <w:rFonts w:ascii="宋体" w:hAnsi="宋体" w:cs="宋体" w:eastAsia="宋体" w:hint="default"/>
        </w:rPr>
        <w:t>五、本公司内部控制制度的自我评估</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12" w:lineRule="exact"/>
        <w:ind w:left="118" w:right="112"/>
        <w:jc w:val="both"/>
        <w:rPr>
          <w:rFonts w:ascii="宋体" w:hAnsi="宋体" w:cs="宋体" w:eastAsia="宋体" w:hint="default"/>
        </w:rPr>
      </w:pPr>
      <w:r>
        <w:rPr>
          <w:rFonts w:ascii="宋体" w:hAnsi="宋体" w:cs="宋体" w:eastAsia="宋体" w:hint="default"/>
          <w:spacing w:val="-2"/>
        </w:rPr>
        <w:t>公司董事会对本年度上述所有方面的内部控制进行了自我评估，公司在所有重大方面建</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立了合理的内部控制制度。内部控制制度涵盖了财务核算、生产管理、营销管理、行政</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3"/>
        </w:rPr>
        <w:t>管理、人力资源管理、募集资金管理、信息披露管理等环节，能够适合公司管理和发展</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3"/>
        </w:rPr>
        <w:t>的需要，对公司规范运作，加强管理，提高效率、防范经营风险以及公司的长远发展起</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3"/>
        </w:rPr>
        <w:t>到了积极的作用。自</w:t>
      </w:r>
      <w:r>
        <w:rPr>
          <w:rFonts w:ascii="宋体" w:hAnsi="宋体" w:cs="宋体" w:eastAsia="宋体" w:hint="default"/>
          <w:spacing w:val="-59"/>
        </w:rPr>
        <w:t> </w:t>
      </w:r>
      <w:r>
        <w:rPr>
          <w:rFonts w:ascii="宋体" w:hAnsi="宋体" w:cs="宋体" w:eastAsia="宋体" w:hint="default"/>
          <w:spacing w:val="30"/>
        </w:rPr>
        <w:t>2008年1月1</w:t>
      </w:r>
      <w:r>
        <w:rPr>
          <w:rFonts w:ascii="宋体" w:hAnsi="宋体" w:cs="宋体" w:eastAsia="宋体" w:hint="default"/>
          <w:spacing w:val="-59"/>
        </w:rPr>
        <w:t> </w:t>
      </w:r>
      <w:r>
        <w:rPr>
          <w:rFonts w:ascii="宋体" w:hAnsi="宋体" w:cs="宋体" w:eastAsia="宋体" w:hint="default"/>
        </w:rPr>
        <w:t>日起至</w:t>
      </w:r>
      <w:r>
        <w:rPr>
          <w:rFonts w:ascii="宋体" w:hAnsi="宋体" w:cs="宋体" w:eastAsia="宋体" w:hint="default"/>
          <w:spacing w:val="-59"/>
        </w:rPr>
        <w:t> </w:t>
      </w:r>
      <w:r>
        <w:rPr>
          <w:rFonts w:ascii="宋体" w:hAnsi="宋体" w:cs="宋体" w:eastAsia="宋体" w:hint="default"/>
        </w:rPr>
        <w:t>2008</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31</w:t>
      </w:r>
      <w:r>
        <w:rPr>
          <w:rFonts w:ascii="宋体" w:hAnsi="宋体" w:cs="宋体" w:eastAsia="宋体" w:hint="default"/>
          <w:spacing w:val="-59"/>
        </w:rPr>
        <w:t> </w:t>
      </w:r>
      <w:r>
        <w:rPr>
          <w:rFonts w:ascii="宋体" w:hAnsi="宋体" w:cs="宋体" w:eastAsia="宋体" w:hint="default"/>
          <w:spacing w:val="-3"/>
        </w:rPr>
        <w:t>日止，未发现本公司存在内</w:t>
      </w:r>
      <w:r>
        <w:rPr>
          <w:rFonts w:ascii="宋体" w:hAnsi="宋体" w:cs="宋体" w:eastAsia="宋体" w:hint="default"/>
        </w:rPr>
        <w:t> 部控制设计或执行方面的重大缺陷。</w:t>
      </w:r>
    </w:p>
    <w:p>
      <w:pPr>
        <w:spacing w:line="240" w:lineRule="auto" w:before="11"/>
        <w:rPr>
          <w:rFonts w:ascii="宋体" w:hAnsi="宋体" w:cs="宋体" w:eastAsia="宋体" w:hint="default"/>
          <w:sz w:val="23"/>
          <w:szCs w:val="23"/>
        </w:rPr>
      </w:pPr>
    </w:p>
    <w:p>
      <w:pPr>
        <w:pStyle w:val="BodyText"/>
        <w:spacing w:line="312" w:lineRule="exact"/>
        <w:ind w:left="118" w:right="114"/>
        <w:jc w:val="both"/>
        <w:rPr>
          <w:rFonts w:ascii="宋体" w:hAnsi="宋体" w:cs="宋体" w:eastAsia="宋体" w:hint="default"/>
        </w:rPr>
      </w:pPr>
      <w:r>
        <w:rPr>
          <w:rFonts w:ascii="宋体" w:hAnsi="宋体" w:cs="宋体" w:eastAsia="宋体" w:hint="default"/>
          <w:spacing w:val="-3"/>
        </w:rPr>
        <w:t>本公司董事会认为：自</w:t>
      </w:r>
      <w:r>
        <w:rPr>
          <w:rFonts w:ascii="宋体" w:hAnsi="宋体" w:cs="宋体" w:eastAsia="宋体" w:hint="default"/>
          <w:spacing w:val="-59"/>
        </w:rPr>
        <w:t> </w:t>
      </w:r>
      <w:r>
        <w:rPr>
          <w:rFonts w:ascii="宋体" w:hAnsi="宋体" w:cs="宋体" w:eastAsia="宋体" w:hint="default"/>
          <w:spacing w:val="30"/>
        </w:rPr>
        <w:t>2008年1月1</w:t>
      </w:r>
      <w:r>
        <w:rPr>
          <w:rFonts w:ascii="宋体" w:hAnsi="宋体" w:cs="宋体" w:eastAsia="宋体" w:hint="default"/>
          <w:spacing w:val="-59"/>
        </w:rPr>
        <w:t> </w:t>
      </w:r>
      <w:r>
        <w:rPr>
          <w:rFonts w:ascii="宋体" w:hAnsi="宋体" w:cs="宋体" w:eastAsia="宋体" w:hint="default"/>
        </w:rPr>
        <w:t>日起至</w:t>
      </w:r>
      <w:r>
        <w:rPr>
          <w:rFonts w:ascii="宋体" w:hAnsi="宋体" w:cs="宋体" w:eastAsia="宋体" w:hint="default"/>
          <w:spacing w:val="-59"/>
        </w:rPr>
        <w:t> </w:t>
      </w:r>
      <w:r>
        <w:rPr>
          <w:rFonts w:ascii="宋体" w:hAnsi="宋体" w:cs="宋体" w:eastAsia="宋体" w:hint="default"/>
        </w:rPr>
        <w:t>2008</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31</w:t>
      </w:r>
      <w:r>
        <w:rPr>
          <w:rFonts w:ascii="宋体" w:hAnsi="宋体" w:cs="宋体" w:eastAsia="宋体" w:hint="default"/>
          <w:spacing w:val="-59"/>
        </w:rPr>
        <w:t> </w:t>
      </w:r>
      <w:r>
        <w:rPr>
          <w:rFonts w:ascii="宋体" w:hAnsi="宋体" w:cs="宋体" w:eastAsia="宋体" w:hint="default"/>
          <w:spacing w:val="-3"/>
        </w:rPr>
        <w:t>日止，公司内部控制制度</w:t>
      </w:r>
      <w:r>
        <w:rPr>
          <w:rFonts w:ascii="宋体" w:hAnsi="宋体" w:cs="宋体" w:eastAsia="宋体" w:hint="default"/>
        </w:rPr>
        <w:t> 健全并得到了有效执行。</w:t>
      </w:r>
    </w:p>
    <w:p>
      <w:pPr>
        <w:spacing w:line="240" w:lineRule="auto" w:before="11"/>
        <w:rPr>
          <w:rFonts w:ascii="宋体" w:hAnsi="宋体" w:cs="宋体" w:eastAsia="宋体" w:hint="default"/>
          <w:sz w:val="23"/>
          <w:szCs w:val="23"/>
        </w:rPr>
      </w:pPr>
    </w:p>
    <w:p>
      <w:pPr>
        <w:pStyle w:val="BodyText"/>
        <w:spacing w:line="312" w:lineRule="exact"/>
        <w:ind w:left="118" w:right="109"/>
        <w:jc w:val="both"/>
        <w:rPr>
          <w:rFonts w:ascii="宋体" w:hAnsi="宋体" w:cs="宋体" w:eastAsia="宋体" w:hint="default"/>
        </w:rPr>
      </w:pPr>
      <w:r>
        <w:rPr>
          <w:rFonts w:ascii="宋体" w:hAnsi="宋体" w:cs="宋体" w:eastAsia="宋体" w:hint="default"/>
        </w:rPr>
        <w:t>本报告已于</w:t>
      </w:r>
      <w:r>
        <w:rPr>
          <w:rFonts w:ascii="宋体" w:hAnsi="宋体" w:cs="宋体" w:eastAsia="宋体" w:hint="default"/>
          <w:spacing w:val="-75"/>
        </w:rPr>
        <w:t> </w:t>
      </w:r>
      <w:r>
        <w:rPr>
          <w:rFonts w:ascii="宋体" w:hAnsi="宋体" w:cs="宋体" w:eastAsia="宋体" w:hint="default"/>
          <w:spacing w:val="25"/>
        </w:rPr>
        <w:t>2009年4月</w:t>
      </w:r>
      <w:r>
        <w:rPr>
          <w:rFonts w:ascii="宋体" w:hAnsi="宋体" w:cs="宋体" w:eastAsia="宋体" w:hint="default"/>
          <w:spacing w:val="-75"/>
        </w:rPr>
        <w:t> </w:t>
      </w:r>
      <w:r>
        <w:rPr>
          <w:rFonts w:ascii="宋体" w:hAnsi="宋体" w:cs="宋体" w:eastAsia="宋体" w:hint="default"/>
        </w:rPr>
        <w:t>16</w:t>
      </w:r>
      <w:r>
        <w:rPr>
          <w:rFonts w:ascii="宋体" w:hAnsi="宋体" w:cs="宋体" w:eastAsia="宋体" w:hint="default"/>
          <w:spacing w:val="-75"/>
        </w:rPr>
        <w:t> </w:t>
      </w:r>
      <w:r>
        <w:rPr>
          <w:rFonts w:ascii="宋体" w:hAnsi="宋体" w:cs="宋体" w:eastAsia="宋体" w:hint="default"/>
        </w:rPr>
        <w:t>日经公司第四届董事会第二十五次会议审议通过，本公司董</w:t>
      </w:r>
      <w:r>
        <w:rPr>
          <w:rFonts w:ascii="宋体" w:hAnsi="宋体" w:cs="宋体" w:eastAsia="宋体" w:hint="default"/>
        </w:rPr>
        <w:t> 事会及其全体成员对其内容的真实性、准确性和完整性承担个别及连带责任。</w:t>
      </w:r>
    </w:p>
    <w:p>
      <w:pPr>
        <w:spacing w:line="240" w:lineRule="auto" w:before="11"/>
        <w:rPr>
          <w:rFonts w:ascii="宋体" w:hAnsi="宋体" w:cs="宋体" w:eastAsia="宋体" w:hint="default"/>
          <w:sz w:val="23"/>
          <w:szCs w:val="23"/>
        </w:rPr>
      </w:pPr>
    </w:p>
    <w:p>
      <w:pPr>
        <w:pStyle w:val="BodyText"/>
        <w:spacing w:line="312" w:lineRule="exact"/>
        <w:ind w:left="118" w:right="109"/>
        <w:jc w:val="both"/>
        <w:rPr>
          <w:rFonts w:ascii="宋体" w:hAnsi="宋体" w:cs="宋体" w:eastAsia="宋体" w:hint="default"/>
        </w:rPr>
      </w:pPr>
      <w:r>
        <w:rPr>
          <w:rFonts w:ascii="宋体" w:hAnsi="宋体" w:cs="宋体" w:eastAsia="宋体" w:hint="default"/>
          <w:spacing w:val="5"/>
        </w:rPr>
        <w:t>本公司聘请了信永中和会计师事务所对本公司与会计报表相关的内部控制的有效性进 </w:t>
      </w:r>
      <w:r>
        <w:rPr>
          <w:rFonts w:ascii="宋体" w:hAnsi="宋体" w:cs="宋体" w:eastAsia="宋体" w:hint="default"/>
          <w:spacing w:val="-2"/>
        </w:rPr>
        <w:t>行了核实评价，并出具了《关于同方股份有限公司内部控制审核报告》，报告认为：同</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2"/>
        </w:rPr>
        <w:t>方股份有限公司根据财政部颁发的《内部会计控制规范》标准建立的与财务报表相关的</w:t>
      </w:r>
    </w:p>
    <w:p>
      <w:pPr>
        <w:spacing w:after="0" w:line="312" w:lineRule="exact"/>
        <w:jc w:val="both"/>
        <w:rPr>
          <w:rFonts w:ascii="宋体" w:hAnsi="宋体" w:cs="宋体" w:eastAsia="宋体" w:hint="default"/>
        </w:rPr>
        <w:sectPr>
          <w:headerReference w:type="default" r:id="rId68"/>
          <w:footerReference w:type="default" r:id="rId69"/>
          <w:pgSz w:w="11910" w:h="16840"/>
          <w:pgMar w:header="0" w:footer="983" w:top="1380" w:bottom="1180" w:left="1300" w:right="1300"/>
          <w:pgNumType w:start="10"/>
        </w:sectPr>
      </w:pPr>
    </w:p>
    <w:p>
      <w:pPr>
        <w:pStyle w:val="BodyText"/>
        <w:spacing w:line="313" w:lineRule="exact"/>
        <w:ind w:left="118" w:right="2292"/>
        <w:jc w:val="left"/>
        <w:rPr>
          <w:rFonts w:ascii="宋体" w:hAnsi="宋体" w:cs="宋体" w:eastAsia="宋体" w:hint="default"/>
        </w:rPr>
      </w:pPr>
      <w:r>
        <w:rPr>
          <w:rFonts w:ascii="宋体" w:hAnsi="宋体" w:cs="宋体" w:eastAsia="宋体" w:hint="default"/>
        </w:rPr>
        <w:t>内部控制于</w:t>
      </w:r>
      <w:r>
        <w:rPr>
          <w:rFonts w:ascii="宋体" w:hAnsi="宋体" w:cs="宋体" w:eastAsia="宋体" w:hint="default"/>
          <w:spacing w:val="-60"/>
        </w:rPr>
        <w:t> </w:t>
      </w:r>
      <w:r>
        <w:rPr>
          <w:rFonts w:ascii="宋体" w:hAnsi="宋体" w:cs="宋体" w:eastAsia="宋体" w:hint="default"/>
        </w:rPr>
        <w:t>2008</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 日在所有重大方面是有效的。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pStyle w:val="BodyText"/>
        <w:spacing w:line="312" w:lineRule="exact"/>
        <w:ind w:left="6353" w:right="336" w:hanging="425"/>
        <w:jc w:val="left"/>
        <w:rPr>
          <w:rFonts w:ascii="宋体" w:hAnsi="宋体" w:cs="宋体" w:eastAsia="宋体" w:hint="default"/>
        </w:rPr>
      </w:pPr>
      <w:r>
        <w:rPr>
          <w:rFonts w:ascii="宋体" w:hAnsi="宋体" w:cs="宋体" w:eastAsia="宋体" w:hint="default"/>
        </w:rPr>
        <w:t>同方股份有限公司董事会 </w:t>
      </w:r>
      <w:r>
        <w:rPr>
          <w:rFonts w:ascii="宋体" w:hAnsi="宋体" w:cs="宋体" w:eastAsia="宋体" w:hint="default"/>
          <w:spacing w:val="25"/>
        </w:rPr>
        <w:t>2009年4月</w:t>
      </w:r>
      <w:r>
        <w:rPr>
          <w:rFonts w:ascii="宋体" w:hAnsi="宋体" w:cs="宋体" w:eastAsia="宋体" w:hint="default"/>
          <w:spacing w:val="-55"/>
        </w:rPr>
        <w:t> </w:t>
      </w:r>
      <w:r>
        <w:rPr>
          <w:rFonts w:ascii="宋体" w:hAnsi="宋体" w:cs="宋体" w:eastAsia="宋体" w:hint="default"/>
          <w:spacing w:val="20"/>
        </w:rPr>
        <w:t>18日</w:t>
      </w:r>
      <w:r>
        <w:rPr>
          <w:rFonts w:ascii="宋体" w:hAnsi="宋体" w:cs="宋体" w:eastAsia="宋体" w:hint="default"/>
          <w:spacing w:val="-60"/>
        </w:rPr>
        <w:t> </w:t>
      </w:r>
      <w:r>
        <w:rPr>
          <w:rFonts w:ascii="宋体" w:hAnsi="宋体" w:cs="宋体" w:eastAsia="宋体" w:hint="default"/>
        </w:rPr>
      </w:r>
    </w:p>
    <w:p>
      <w:pPr>
        <w:spacing w:after="0" w:line="312" w:lineRule="exact"/>
        <w:jc w:val="left"/>
        <w:rPr>
          <w:rFonts w:ascii="宋体" w:hAnsi="宋体" w:cs="宋体" w:eastAsia="宋体" w:hint="default"/>
        </w:rPr>
        <w:sectPr>
          <w:headerReference w:type="default" r:id="rId70"/>
          <w:footerReference w:type="default" r:id="rId71"/>
          <w:pgSz w:w="11910" w:h="16840"/>
          <w:pgMar w:header="0" w:footer="983" w:top="1380" w:bottom="1180" w:left="1300" w:right="1680"/>
          <w:pgNumType w:start="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2"/>
        <w:spacing w:line="357" w:lineRule="auto" w:before="13"/>
        <w:ind w:left="2969" w:right="3006"/>
        <w:jc w:val="center"/>
        <w:rPr>
          <w:rFonts w:ascii="黑体" w:hAnsi="黑体" w:cs="黑体" w:eastAsia="黑体" w:hint="default"/>
          <w:b w:val="0"/>
          <w:bCs w:val="0"/>
        </w:rPr>
      </w:pPr>
      <w:bookmarkStart w:name="600100_2008_n_02_内控报告审核报告.pdf" w:id="3"/>
      <w:bookmarkEnd w:id="3"/>
      <w:r>
        <w:rPr>
          <w:b w:val="0"/>
          <w:bCs w:val="0"/>
        </w:rPr>
      </w:r>
      <w:r>
        <w:rPr>
          <w:rFonts w:ascii="黑体" w:hAnsi="黑体" w:cs="黑体" w:eastAsia="黑体" w:hint="default"/>
          <w:spacing w:val="35"/>
        </w:rPr>
        <w:t>同方股份有限公司</w:t>
      </w:r>
      <w:r>
        <w:rPr>
          <w:rFonts w:ascii="黑体" w:hAnsi="黑体" w:cs="黑体" w:eastAsia="黑体" w:hint="default"/>
          <w:spacing w:val="-100"/>
        </w:rPr>
        <w:t> </w:t>
      </w:r>
      <w:r>
        <w:rPr>
          <w:rFonts w:ascii="黑体" w:hAnsi="黑体" w:cs="黑体" w:eastAsia="黑体" w:hint="default"/>
          <w:spacing w:val="15"/>
        </w:rPr>
        <w:t>2008</w:t>
      </w:r>
      <w:r>
        <w:rPr>
          <w:rFonts w:ascii="黑体" w:hAnsi="黑体" w:cs="黑体" w:eastAsia="黑体" w:hint="default"/>
          <w:spacing w:val="-44"/>
        </w:rPr>
        <w:t> </w:t>
      </w:r>
      <w:r>
        <w:rPr>
          <w:rFonts w:ascii="黑体" w:hAnsi="黑体" w:cs="黑体" w:eastAsia="黑体" w:hint="default"/>
        </w:rPr>
        <w:t>年</w:t>
      </w:r>
      <w:r>
        <w:rPr>
          <w:rFonts w:ascii="黑体" w:hAnsi="黑体" w:cs="黑体" w:eastAsia="黑体" w:hint="default"/>
          <w:spacing w:val="-103"/>
        </w:rPr>
        <w:t> </w:t>
      </w:r>
      <w:r>
        <w:rPr>
          <w:rFonts w:ascii="黑体" w:hAnsi="黑体" w:cs="黑体" w:eastAsia="黑体" w:hint="default"/>
        </w:rPr>
        <w:t>度</w:t>
      </w:r>
      <w:r>
        <w:rPr>
          <w:rFonts w:ascii="黑体" w:hAnsi="黑体" w:cs="黑体" w:eastAsia="黑体" w:hint="default"/>
          <w:b w:val="0"/>
          <w:bCs w:val="0"/>
        </w:rPr>
      </w:r>
    </w:p>
    <w:p>
      <w:pPr>
        <w:spacing w:before="41"/>
        <w:ind w:left="2435" w:right="2471" w:firstLine="0"/>
        <w:jc w:val="center"/>
        <w:rPr>
          <w:rFonts w:ascii="黑体" w:hAnsi="黑体" w:cs="黑体" w:eastAsia="黑体" w:hint="default"/>
          <w:sz w:val="28"/>
          <w:szCs w:val="28"/>
        </w:rPr>
      </w:pPr>
      <w:r>
        <w:rPr>
          <w:rFonts w:ascii="黑体" w:hAnsi="黑体" w:cs="黑体" w:eastAsia="黑体" w:hint="default"/>
          <w:b/>
          <w:bCs/>
          <w:spacing w:val="35"/>
          <w:sz w:val="28"/>
          <w:szCs w:val="28"/>
        </w:rPr>
        <w:t>内部控制审核报告</w:t>
      </w:r>
      <w:r>
        <w:rPr>
          <w:rFonts w:ascii="黑体" w:hAnsi="黑体" w:cs="黑体" w:eastAsia="黑体" w:hint="default"/>
          <w:b/>
          <w:bCs/>
          <w:spacing w:val="-100"/>
          <w:sz w:val="28"/>
          <w:szCs w:val="28"/>
        </w:rPr>
        <w:t> </w:t>
      </w:r>
      <w:r>
        <w:rPr>
          <w:rFonts w:ascii="黑体" w:hAnsi="黑体" w:cs="黑体" w:eastAsia="黑体" w:hint="default"/>
          <w:sz w:val="28"/>
          <w:szCs w:val="28"/>
        </w:rPr>
      </w:r>
    </w:p>
    <w:p>
      <w:pPr>
        <w:spacing w:after="0"/>
        <w:jc w:val="center"/>
        <w:rPr>
          <w:rFonts w:ascii="黑体" w:hAnsi="黑体" w:cs="黑体" w:eastAsia="黑体" w:hint="default"/>
          <w:sz w:val="28"/>
          <w:szCs w:val="28"/>
        </w:rPr>
        <w:sectPr>
          <w:headerReference w:type="default" r:id="rId72"/>
          <w:footerReference w:type="default" r:id="rId73"/>
          <w:pgSz w:w="11910" w:h="16840"/>
          <w:pgMar w:header="0" w:footer="0"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24"/>
          <w:szCs w:val="24"/>
        </w:rPr>
      </w:pPr>
    </w:p>
    <w:p>
      <w:pPr>
        <w:spacing w:before="13"/>
        <w:ind w:left="2636" w:right="0" w:firstLine="0"/>
        <w:jc w:val="left"/>
        <w:rPr>
          <w:rFonts w:ascii="黑体" w:hAnsi="黑体" w:cs="黑体" w:eastAsia="黑体" w:hint="default"/>
          <w:sz w:val="28"/>
          <w:szCs w:val="28"/>
        </w:rPr>
      </w:pPr>
      <w:r>
        <w:rPr>
          <w:rFonts w:ascii="黑体" w:hAnsi="黑体" w:cs="黑体" w:eastAsia="黑体" w:hint="default"/>
          <w:b/>
          <w:bCs/>
          <w:sz w:val="28"/>
          <w:szCs w:val="28"/>
        </w:rPr>
        <w:t>内 部 控 制 审 核 报</w:t>
      </w:r>
      <w:r>
        <w:rPr>
          <w:rFonts w:ascii="黑体" w:hAnsi="黑体" w:cs="黑体" w:eastAsia="黑体" w:hint="default"/>
          <w:b/>
          <w:bCs/>
          <w:spacing w:val="-5"/>
          <w:sz w:val="28"/>
          <w:szCs w:val="28"/>
        </w:rPr>
        <w:t> </w:t>
      </w:r>
      <w:r>
        <w:rPr>
          <w:rFonts w:ascii="黑体" w:hAnsi="黑体" w:cs="黑体" w:eastAsia="黑体" w:hint="default"/>
          <w:b/>
          <w:bCs/>
          <w:sz w:val="28"/>
          <w:szCs w:val="28"/>
        </w:rPr>
        <w:t>告</w:t>
      </w:r>
      <w:r>
        <w:rPr>
          <w:rFonts w:ascii="黑体" w:hAnsi="黑体" w:cs="黑体" w:eastAsia="黑体" w:hint="default"/>
          <w:sz w:val="28"/>
          <w:szCs w:val="28"/>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8"/>
          <w:szCs w:val="28"/>
        </w:rPr>
      </w:pPr>
    </w:p>
    <w:p>
      <w:pPr>
        <w:spacing w:before="31"/>
        <w:ind w:left="0" w:right="158" w:firstLine="0"/>
        <w:jc w:val="right"/>
        <w:rPr>
          <w:rFonts w:ascii="宋体" w:hAnsi="宋体" w:cs="宋体" w:eastAsia="宋体" w:hint="default"/>
          <w:sz w:val="22"/>
          <w:szCs w:val="22"/>
        </w:rPr>
      </w:pPr>
      <w:r>
        <w:rPr>
          <w:rFonts w:ascii="宋体"/>
          <w:spacing w:val="-1"/>
          <w:sz w:val="22"/>
        </w:rPr>
        <w:t>XYZH/2008A8027-6</w:t>
      </w:r>
    </w:p>
    <w:p>
      <w:pPr>
        <w:spacing w:line="240" w:lineRule="auto" w:before="6"/>
        <w:rPr>
          <w:rFonts w:ascii="宋体" w:hAnsi="宋体" w:cs="宋体" w:eastAsia="宋体" w:hint="default"/>
          <w:sz w:val="24"/>
          <w:szCs w:val="24"/>
        </w:rPr>
      </w:pPr>
    </w:p>
    <w:p>
      <w:pPr>
        <w:spacing w:before="31"/>
        <w:ind w:left="120" w:right="0" w:firstLine="0"/>
        <w:jc w:val="left"/>
        <w:rPr>
          <w:rFonts w:ascii="宋体" w:hAnsi="宋体" w:cs="宋体" w:eastAsia="宋体" w:hint="default"/>
          <w:sz w:val="22"/>
          <w:szCs w:val="22"/>
        </w:rPr>
      </w:pPr>
      <w:r>
        <w:rPr>
          <w:rFonts w:ascii="宋体" w:hAnsi="宋体" w:cs="宋体" w:eastAsia="宋体" w:hint="default"/>
          <w:b/>
          <w:bCs/>
          <w:sz w:val="22"/>
          <w:szCs w:val="22"/>
        </w:rPr>
        <w:t>同方股份有限公司全体股东</w:t>
      </w:r>
      <w:r>
        <w:rPr>
          <w:rFonts w:ascii="宋体" w:hAnsi="宋体" w:cs="宋体" w:eastAsia="宋体" w:hint="default"/>
          <w:sz w:val="22"/>
          <w:szCs w:val="22"/>
        </w:rPr>
        <w:t>：</w:t>
      </w:r>
    </w:p>
    <w:p>
      <w:pPr>
        <w:spacing w:line="240" w:lineRule="auto" w:before="12"/>
        <w:rPr>
          <w:rFonts w:ascii="宋体" w:hAnsi="宋体" w:cs="宋体" w:eastAsia="宋体" w:hint="default"/>
          <w:sz w:val="26"/>
          <w:szCs w:val="26"/>
        </w:rPr>
      </w:pPr>
    </w:p>
    <w:p>
      <w:pPr>
        <w:spacing w:line="266" w:lineRule="auto" w:before="0"/>
        <w:ind w:left="120" w:right="157" w:firstLine="419"/>
        <w:jc w:val="both"/>
        <w:rPr>
          <w:rFonts w:ascii="宋体" w:hAnsi="宋体" w:cs="宋体" w:eastAsia="宋体" w:hint="default"/>
          <w:sz w:val="22"/>
          <w:szCs w:val="22"/>
        </w:rPr>
      </w:pPr>
      <w:r>
        <w:rPr>
          <w:rFonts w:ascii="宋体" w:hAnsi="宋体" w:cs="宋体" w:eastAsia="宋体" w:hint="default"/>
          <w:spacing w:val="-3"/>
          <w:sz w:val="22"/>
          <w:szCs w:val="22"/>
        </w:rPr>
        <w:t>我们接受委托，审核了同方股份有限公司（以下简称“同方股份”）董事会对2008</w:t>
      </w:r>
      <w:r>
        <w:rPr>
          <w:rFonts w:ascii="宋体" w:hAnsi="宋体" w:cs="宋体" w:eastAsia="宋体" w:hint="default"/>
          <w:w w:val="99"/>
          <w:sz w:val="22"/>
          <w:szCs w:val="22"/>
        </w:rPr>
        <w:t> </w:t>
      </w:r>
      <w:r>
        <w:rPr>
          <w:rFonts w:ascii="宋体" w:hAnsi="宋体" w:cs="宋体" w:eastAsia="宋体" w:hint="default"/>
          <w:spacing w:val="-3"/>
          <w:w w:val="99"/>
          <w:sz w:val="22"/>
          <w:szCs w:val="22"/>
        </w:rPr>
        <w:t>年12月31日与财务报表相关的公司内部控制有效性的认定。同方股份管理当局的责任是</w:t>
      </w:r>
      <w:r>
        <w:rPr>
          <w:rFonts w:ascii="宋体" w:hAnsi="宋体" w:cs="宋体" w:eastAsia="宋体" w:hint="default"/>
          <w:spacing w:val="-75"/>
          <w:w w:val="99"/>
          <w:sz w:val="22"/>
          <w:szCs w:val="22"/>
        </w:rPr>
        <w:t> </w:t>
      </w:r>
      <w:r>
        <w:rPr>
          <w:rFonts w:ascii="宋体" w:hAnsi="宋体" w:cs="宋体" w:eastAsia="宋体" w:hint="default"/>
          <w:spacing w:val="-75"/>
          <w:w w:val="99"/>
          <w:sz w:val="22"/>
          <w:szCs w:val="22"/>
        </w:rPr>
      </w:r>
      <w:r>
        <w:rPr>
          <w:rFonts w:ascii="宋体" w:hAnsi="宋体" w:cs="宋体" w:eastAsia="宋体" w:hint="default"/>
          <w:spacing w:val="-3"/>
          <w:w w:val="99"/>
          <w:sz w:val="22"/>
          <w:szCs w:val="22"/>
        </w:rPr>
        <w:t>建立健全内部控制并保持其有效性，我们的责任是对同方股份内部控制的有效性发表意</w:t>
      </w:r>
      <w:r>
        <w:rPr>
          <w:rFonts w:ascii="宋体" w:hAnsi="宋体" w:cs="宋体" w:eastAsia="宋体" w:hint="default"/>
          <w:spacing w:val="-79"/>
          <w:w w:val="99"/>
          <w:sz w:val="22"/>
          <w:szCs w:val="22"/>
        </w:rPr>
        <w:t> </w:t>
      </w:r>
      <w:r>
        <w:rPr>
          <w:rFonts w:ascii="宋体" w:hAnsi="宋体" w:cs="宋体" w:eastAsia="宋体" w:hint="default"/>
          <w:spacing w:val="-79"/>
          <w:w w:val="99"/>
          <w:sz w:val="22"/>
          <w:szCs w:val="22"/>
        </w:rPr>
      </w:r>
      <w:r>
        <w:rPr>
          <w:rFonts w:ascii="宋体" w:hAnsi="宋体" w:cs="宋体" w:eastAsia="宋体" w:hint="default"/>
          <w:sz w:val="22"/>
          <w:szCs w:val="22"/>
        </w:rPr>
        <w:t>见。</w:t>
      </w:r>
    </w:p>
    <w:p>
      <w:pPr>
        <w:spacing w:line="240" w:lineRule="auto" w:before="2"/>
        <w:rPr>
          <w:rFonts w:ascii="宋体" w:hAnsi="宋体" w:cs="宋体" w:eastAsia="宋体" w:hint="default"/>
          <w:sz w:val="25"/>
          <w:szCs w:val="25"/>
        </w:rPr>
      </w:pPr>
    </w:p>
    <w:p>
      <w:pPr>
        <w:spacing w:line="266" w:lineRule="auto" w:before="0"/>
        <w:ind w:left="119" w:right="158" w:firstLine="450"/>
        <w:jc w:val="both"/>
        <w:rPr>
          <w:rFonts w:ascii="宋体" w:hAnsi="宋体" w:cs="宋体" w:eastAsia="宋体" w:hint="default"/>
          <w:sz w:val="22"/>
          <w:szCs w:val="22"/>
        </w:rPr>
      </w:pPr>
      <w:r>
        <w:rPr>
          <w:rFonts w:ascii="宋体" w:hAnsi="宋体" w:cs="宋体" w:eastAsia="宋体" w:hint="default"/>
          <w:spacing w:val="-3"/>
          <w:w w:val="99"/>
          <w:sz w:val="22"/>
          <w:szCs w:val="22"/>
        </w:rPr>
        <w:t>我们的审核是依据《中国注册会计师其他鉴证业务准则第3101号－历史财务信息审</w:t>
      </w:r>
      <w:r>
        <w:rPr>
          <w:rFonts w:ascii="宋体" w:hAnsi="宋体" w:cs="宋体" w:eastAsia="宋体" w:hint="default"/>
          <w:w w:val="99"/>
          <w:sz w:val="22"/>
          <w:szCs w:val="22"/>
        </w:rPr>
        <w:t> </w:t>
      </w:r>
      <w:r>
        <w:rPr>
          <w:rFonts w:ascii="宋体" w:hAnsi="宋体" w:cs="宋体" w:eastAsia="宋体" w:hint="default"/>
          <w:spacing w:val="-3"/>
          <w:sz w:val="22"/>
          <w:szCs w:val="22"/>
        </w:rPr>
        <w:t>计或审阅以外的鉴证业务》进行的。在审核过程中，我们实施了包括了解、测试和评价</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3"/>
          <w:sz w:val="22"/>
          <w:szCs w:val="22"/>
        </w:rPr>
        <w:t>内部控制设计的合理性和执行的有效性，以及我们认为必要的其他程序。我们相信，我</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们的审核为发表意见提供了合理的基础。</w:t>
      </w:r>
    </w:p>
    <w:p>
      <w:pPr>
        <w:spacing w:line="240" w:lineRule="auto" w:before="0"/>
        <w:rPr>
          <w:rFonts w:ascii="宋体" w:hAnsi="宋体" w:cs="宋体" w:eastAsia="宋体" w:hint="default"/>
          <w:sz w:val="25"/>
          <w:szCs w:val="25"/>
        </w:rPr>
      </w:pPr>
    </w:p>
    <w:p>
      <w:pPr>
        <w:spacing w:line="266" w:lineRule="auto" w:before="0"/>
        <w:ind w:left="119" w:right="0" w:firstLine="449"/>
        <w:jc w:val="left"/>
        <w:rPr>
          <w:rFonts w:ascii="宋体" w:hAnsi="宋体" w:cs="宋体" w:eastAsia="宋体" w:hint="default"/>
          <w:sz w:val="22"/>
          <w:szCs w:val="22"/>
        </w:rPr>
      </w:pPr>
      <w:r>
        <w:rPr>
          <w:rFonts w:ascii="宋体" w:hAnsi="宋体" w:cs="宋体" w:eastAsia="宋体" w:hint="default"/>
          <w:sz w:val="22"/>
          <w:szCs w:val="22"/>
        </w:rPr>
        <w:t>内部控制具有固有限制，存在由于错误或舞弊而导致错报发生和未被发现的可能</w:t>
      </w:r>
      <w:r>
        <w:rPr>
          <w:rFonts w:ascii="宋体" w:hAnsi="宋体" w:cs="宋体" w:eastAsia="宋体" w:hint="default"/>
          <w:w w:val="99"/>
          <w:sz w:val="22"/>
          <w:szCs w:val="22"/>
        </w:rPr>
        <w:t> </w:t>
      </w:r>
      <w:r>
        <w:rPr>
          <w:rFonts w:ascii="宋体" w:hAnsi="宋体" w:cs="宋体" w:eastAsia="宋体" w:hint="default"/>
          <w:spacing w:val="-3"/>
          <w:sz w:val="22"/>
          <w:szCs w:val="22"/>
        </w:rPr>
        <w:t>性。此外，由于情况的变化可能导致内部控制变得不恰当，或降低对控制政策、程序遵</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循的程度，根据内部控制评价结果推测未来内部控制有效性具有一定的风险。</w:t>
      </w:r>
    </w:p>
    <w:p>
      <w:pPr>
        <w:spacing w:line="240" w:lineRule="auto" w:before="2"/>
        <w:rPr>
          <w:rFonts w:ascii="宋体" w:hAnsi="宋体" w:cs="宋体" w:eastAsia="宋体" w:hint="default"/>
          <w:sz w:val="25"/>
          <w:szCs w:val="25"/>
        </w:rPr>
      </w:pPr>
    </w:p>
    <w:p>
      <w:pPr>
        <w:spacing w:line="266" w:lineRule="auto" w:before="0"/>
        <w:ind w:left="119" w:right="161" w:firstLine="449"/>
        <w:jc w:val="both"/>
        <w:rPr>
          <w:rFonts w:ascii="宋体" w:hAnsi="宋体" w:cs="宋体" w:eastAsia="宋体" w:hint="default"/>
          <w:sz w:val="22"/>
          <w:szCs w:val="22"/>
        </w:rPr>
      </w:pPr>
      <w:r>
        <w:rPr>
          <w:rFonts w:ascii="宋体" w:hAnsi="宋体" w:cs="宋体" w:eastAsia="宋体" w:hint="default"/>
          <w:sz w:val="22"/>
          <w:szCs w:val="22"/>
        </w:rPr>
        <w:t>我们认为，同方股份公司于</w:t>
      </w:r>
      <w:r>
        <w:rPr>
          <w:rFonts w:ascii="宋体" w:hAnsi="宋体" w:cs="宋体" w:eastAsia="宋体" w:hint="default"/>
          <w:spacing w:val="-13"/>
          <w:sz w:val="22"/>
          <w:szCs w:val="22"/>
        </w:rPr>
        <w:t> </w:t>
      </w:r>
      <w:r>
        <w:rPr>
          <w:rFonts w:ascii="宋体" w:hAnsi="宋体" w:cs="宋体" w:eastAsia="宋体" w:hint="default"/>
          <w:sz w:val="22"/>
          <w:szCs w:val="22"/>
        </w:rPr>
        <w:t>2008年12月31日在所有重大方面保持了与财务报表相</w:t>
      </w:r>
      <w:r>
        <w:rPr>
          <w:rFonts w:ascii="宋体" w:hAnsi="宋体" w:cs="宋体" w:eastAsia="宋体" w:hint="default"/>
          <w:w w:val="99"/>
          <w:sz w:val="22"/>
          <w:szCs w:val="22"/>
        </w:rPr>
        <w:t> </w:t>
      </w:r>
      <w:r>
        <w:rPr>
          <w:rFonts w:ascii="宋体" w:hAnsi="宋体" w:cs="宋体" w:eastAsia="宋体" w:hint="default"/>
          <w:sz w:val="22"/>
          <w:szCs w:val="22"/>
        </w:rPr>
        <w:t>关的有效的内部控制。</w:t>
      </w:r>
    </w:p>
    <w:p>
      <w:pPr>
        <w:spacing w:line="240" w:lineRule="auto" w:before="2"/>
        <w:rPr>
          <w:rFonts w:ascii="宋体" w:hAnsi="宋体" w:cs="宋体" w:eastAsia="宋体" w:hint="default"/>
          <w:sz w:val="25"/>
          <w:szCs w:val="25"/>
        </w:rPr>
      </w:pPr>
    </w:p>
    <w:p>
      <w:pPr>
        <w:spacing w:line="266" w:lineRule="auto" w:before="0"/>
        <w:ind w:left="119" w:right="157" w:firstLine="449"/>
        <w:jc w:val="both"/>
        <w:rPr>
          <w:rFonts w:ascii="宋体" w:hAnsi="宋体" w:cs="宋体" w:eastAsia="宋体" w:hint="default"/>
          <w:sz w:val="22"/>
          <w:szCs w:val="22"/>
        </w:rPr>
      </w:pPr>
      <w:r>
        <w:rPr>
          <w:rFonts w:ascii="宋体" w:hAnsi="宋体" w:cs="宋体" w:eastAsia="宋体" w:hint="default"/>
          <w:spacing w:val="-3"/>
          <w:sz w:val="22"/>
          <w:szCs w:val="22"/>
        </w:rPr>
        <w:t>本报告仅供同方股份年度报告披露目的使用，不得用作任何其他目的。因报告使用</w:t>
      </w:r>
      <w:r>
        <w:rPr>
          <w:rFonts w:ascii="宋体" w:hAnsi="宋体" w:cs="宋体" w:eastAsia="宋体" w:hint="default"/>
          <w:w w:val="99"/>
          <w:sz w:val="22"/>
          <w:szCs w:val="22"/>
        </w:rPr>
        <w:t> </w:t>
      </w:r>
      <w:r>
        <w:rPr>
          <w:rFonts w:ascii="宋体" w:hAnsi="宋体" w:cs="宋体" w:eastAsia="宋体" w:hint="default"/>
          <w:sz w:val="22"/>
          <w:szCs w:val="22"/>
        </w:rPr>
        <w:t>不当造成的后果，与本会计师事务所及注册会计师无关。</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tabs>
          <w:tab w:pos="4394" w:val="left" w:leader="none"/>
        </w:tabs>
        <w:spacing w:line="475" w:lineRule="auto" w:before="0"/>
        <w:ind w:left="4395" w:right="1727" w:hanging="3527"/>
        <w:jc w:val="left"/>
        <w:rPr>
          <w:rFonts w:ascii="宋体" w:hAnsi="宋体" w:cs="宋体" w:eastAsia="宋体" w:hint="default"/>
          <w:sz w:val="22"/>
          <w:szCs w:val="22"/>
        </w:rPr>
      </w:pPr>
      <w:r>
        <w:rPr>
          <w:rFonts w:ascii="宋体" w:hAnsi="宋体" w:cs="宋体" w:eastAsia="宋体" w:hint="default"/>
          <w:w w:val="95"/>
          <w:sz w:val="22"/>
          <w:szCs w:val="22"/>
        </w:rPr>
        <w:t>信永中和会计师事务所</w:t>
        <w:tab/>
      </w:r>
      <w:r>
        <w:rPr>
          <w:rFonts w:ascii="宋体" w:hAnsi="宋体" w:cs="宋体" w:eastAsia="宋体" w:hint="default"/>
          <w:sz w:val="22"/>
          <w:szCs w:val="22"/>
        </w:rPr>
        <w:t>中国注册会计师：邵立新</w:t>
      </w:r>
      <w:r>
        <w:rPr>
          <w:rFonts w:ascii="宋体" w:hAnsi="宋体" w:cs="宋体" w:eastAsia="宋体" w:hint="default"/>
          <w:w w:val="99"/>
          <w:sz w:val="22"/>
          <w:szCs w:val="22"/>
        </w:rPr>
        <w:t> </w:t>
      </w:r>
      <w:r>
        <w:rPr>
          <w:rFonts w:ascii="宋体" w:hAnsi="宋体" w:cs="宋体" w:eastAsia="宋体" w:hint="default"/>
          <w:sz w:val="22"/>
          <w:szCs w:val="22"/>
        </w:rPr>
        <w:t>中国注册会计师：潘玉忠</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2"/>
          <w:szCs w:val="22"/>
        </w:rPr>
      </w:pPr>
    </w:p>
    <w:p>
      <w:pPr>
        <w:tabs>
          <w:tab w:pos="2169" w:val="left" w:leader="none"/>
          <w:tab w:pos="4395" w:val="left" w:leader="none"/>
        </w:tabs>
        <w:spacing w:before="0"/>
        <w:ind w:left="1329" w:right="0" w:firstLine="0"/>
        <w:jc w:val="left"/>
        <w:rPr>
          <w:rFonts w:ascii="宋体" w:hAnsi="宋体" w:cs="宋体" w:eastAsia="宋体" w:hint="default"/>
          <w:sz w:val="22"/>
          <w:szCs w:val="22"/>
        </w:rPr>
      </w:pPr>
      <w:r>
        <w:rPr>
          <w:rFonts w:ascii="宋体" w:hAnsi="宋体" w:cs="宋体" w:eastAsia="宋体" w:hint="default"/>
          <w:w w:val="95"/>
          <w:sz w:val="22"/>
          <w:szCs w:val="22"/>
        </w:rPr>
        <w:t>中国</w:t>
        <w:tab/>
        <w:t>北京</w:t>
        <w:tab/>
      </w:r>
      <w:r>
        <w:rPr>
          <w:rFonts w:ascii="宋体" w:hAnsi="宋体" w:cs="宋体" w:eastAsia="宋体" w:hint="default"/>
          <w:sz w:val="22"/>
          <w:szCs w:val="22"/>
        </w:rPr>
        <w:t>二○○九年四月十六日</w:t>
      </w:r>
    </w:p>
    <w:p>
      <w:pPr>
        <w:spacing w:after="0"/>
        <w:jc w:val="left"/>
        <w:rPr>
          <w:rFonts w:ascii="宋体" w:hAnsi="宋体" w:cs="宋体" w:eastAsia="宋体" w:hint="default"/>
          <w:sz w:val="22"/>
          <w:szCs w:val="22"/>
        </w:rPr>
        <w:sectPr>
          <w:headerReference w:type="default" r:id="rId74"/>
          <w:footerReference w:type="default" r:id="rId75"/>
          <w:pgSz w:w="11910" w:h="16840"/>
          <w:pgMar w:header="0" w:footer="0" w:top="1600" w:bottom="280" w:left="1680" w:right="1680"/>
        </w:sectPr>
      </w:pPr>
    </w:p>
    <w:p>
      <w:pPr>
        <w:pStyle w:val="Heading1"/>
        <w:spacing w:line="391" w:lineRule="exact" w:before="52"/>
        <w:ind w:right="3209"/>
        <w:jc w:val="center"/>
        <w:rPr>
          <w:rFonts w:ascii="宋体" w:hAnsi="宋体" w:cs="宋体" w:eastAsia="宋体" w:hint="default"/>
          <w:b w:val="0"/>
          <w:bCs w:val="0"/>
        </w:rPr>
      </w:pPr>
      <w:bookmarkStart w:name="600100_2008_n_03_社会责任报告.pdf" w:id="4"/>
      <w:bookmarkEnd w:id="4"/>
      <w:r>
        <w:rPr>
          <w:b w:val="0"/>
          <w:bCs w:val="0"/>
        </w:rPr>
      </w:r>
      <w:r>
        <w:rPr>
          <w:rFonts w:ascii="宋体" w:hAnsi="宋体" w:cs="宋体" w:eastAsia="宋体" w:hint="default"/>
        </w:rPr>
        <w:t>同方股份有限公司</w:t>
      </w:r>
      <w:r>
        <w:rPr>
          <w:rFonts w:ascii="宋体" w:hAnsi="宋体" w:cs="宋体" w:eastAsia="宋体" w:hint="default"/>
          <w:b w:val="0"/>
          <w:bCs w:val="0"/>
        </w:rPr>
      </w:r>
    </w:p>
    <w:p>
      <w:pPr>
        <w:spacing w:line="413" w:lineRule="exact" w:before="0"/>
        <w:ind w:left="3092" w:right="3209" w:firstLine="0"/>
        <w:jc w:val="center"/>
        <w:rPr>
          <w:rFonts w:ascii="宋体" w:hAnsi="宋体" w:cs="宋体" w:eastAsia="宋体" w:hint="default"/>
          <w:sz w:val="30"/>
          <w:szCs w:val="30"/>
        </w:rPr>
      </w:pPr>
      <w:r>
        <w:rPr>
          <w:rFonts w:ascii="Times New Roman" w:hAnsi="Times New Roman" w:cs="Times New Roman" w:eastAsia="Times New Roman" w:hint="default"/>
          <w:b/>
          <w:bCs/>
          <w:sz w:val="30"/>
          <w:szCs w:val="30"/>
        </w:rPr>
        <w:t>2008</w:t>
      </w:r>
      <w:r>
        <w:rPr>
          <w:rFonts w:ascii="Times New Roman" w:hAnsi="Times New Roman" w:cs="Times New Roman" w:eastAsia="Times New Roman" w:hint="default"/>
          <w:b/>
          <w:bCs/>
          <w:spacing w:val="-2"/>
          <w:sz w:val="30"/>
          <w:szCs w:val="30"/>
        </w:rPr>
        <w:t> </w:t>
      </w:r>
      <w:r>
        <w:rPr>
          <w:rFonts w:ascii="宋体" w:hAnsi="宋体" w:cs="宋体" w:eastAsia="宋体" w:hint="default"/>
          <w:b/>
          <w:bCs/>
          <w:sz w:val="30"/>
          <w:szCs w:val="30"/>
        </w:rPr>
        <w:t>年度社会责任报告</w:t>
      </w:r>
      <w:r>
        <w:rPr>
          <w:rFonts w:ascii="宋体" w:hAnsi="宋体" w:cs="宋体" w:eastAsia="宋体" w:hint="default"/>
          <w:sz w:val="30"/>
          <w:szCs w:val="30"/>
        </w:rPr>
      </w:r>
    </w:p>
    <w:p>
      <w:pPr>
        <w:spacing w:line="240" w:lineRule="auto" w:before="5"/>
        <w:rPr>
          <w:rFonts w:ascii="宋体" w:hAnsi="宋体" w:cs="宋体" w:eastAsia="宋体" w:hint="default"/>
          <w:b/>
          <w:bCs/>
          <w:sz w:val="43"/>
          <w:szCs w:val="43"/>
        </w:rPr>
      </w:pPr>
    </w:p>
    <w:p>
      <w:pPr>
        <w:pStyle w:val="BodyText"/>
        <w:spacing w:line="310" w:lineRule="exact"/>
        <w:ind w:left="118" w:right="111" w:firstLine="480"/>
        <w:jc w:val="left"/>
        <w:rPr>
          <w:rFonts w:ascii="宋体" w:hAnsi="宋体" w:cs="宋体" w:eastAsia="宋体" w:hint="default"/>
        </w:rPr>
      </w:pPr>
      <w:r>
        <w:rPr>
          <w:rFonts w:ascii="宋体" w:hAnsi="宋体" w:cs="宋体" w:eastAsia="宋体" w:hint="default"/>
          <w:spacing w:val="-2"/>
        </w:rPr>
        <w:t>本公司董事会及全体董事保证本报告内容不存在任何虚假记载、误导性陈述或重大</w:t>
      </w:r>
      <w:r>
        <w:rPr>
          <w:rFonts w:ascii="宋体" w:hAnsi="宋体" w:cs="宋体" w:eastAsia="宋体" w:hint="default"/>
        </w:rPr>
        <w:t> 遗漏，并对其内容的真实性、准确性和完整性承担个别及连带责任。</w:t>
      </w:r>
    </w:p>
    <w:p>
      <w:pPr>
        <w:spacing w:line="240" w:lineRule="auto" w:before="0"/>
        <w:rPr>
          <w:rFonts w:ascii="宋体" w:hAnsi="宋体" w:cs="宋体" w:eastAsia="宋体" w:hint="default"/>
          <w:sz w:val="24"/>
          <w:szCs w:val="24"/>
        </w:rPr>
      </w:pPr>
    </w:p>
    <w:p>
      <w:pPr>
        <w:pStyle w:val="Heading3"/>
        <w:spacing w:line="240" w:lineRule="auto" w:before="207"/>
        <w:ind w:right="0"/>
        <w:jc w:val="both"/>
        <w:rPr>
          <w:rFonts w:ascii="宋体" w:hAnsi="宋体" w:cs="宋体" w:eastAsia="宋体" w:hint="default"/>
          <w:b w:val="0"/>
          <w:bCs w:val="0"/>
        </w:rPr>
      </w:pPr>
      <w:r>
        <w:rPr>
          <w:rFonts w:ascii="宋体" w:hAnsi="宋体" w:cs="宋体" w:eastAsia="宋体" w:hint="default"/>
        </w:rPr>
        <w:t>一、前言</w:t>
      </w:r>
      <w:r>
        <w:rPr>
          <w:rFonts w:ascii="宋体" w:hAnsi="宋体" w:cs="宋体" w:eastAsia="宋体" w:hint="default"/>
          <w:b w:val="0"/>
          <w:bCs w:val="0"/>
        </w:rPr>
      </w:r>
    </w:p>
    <w:p>
      <w:pPr>
        <w:spacing w:line="240" w:lineRule="auto" w:before="9"/>
        <w:rPr>
          <w:rFonts w:ascii="宋体" w:hAnsi="宋体" w:cs="宋体" w:eastAsia="宋体" w:hint="default"/>
          <w:b/>
          <w:bCs/>
          <w:sz w:val="21"/>
          <w:szCs w:val="21"/>
        </w:rPr>
      </w:pPr>
    </w:p>
    <w:p>
      <w:pPr>
        <w:pStyle w:val="BodyText"/>
        <w:spacing w:line="230" w:lineRule="auto"/>
        <w:ind w:left="118" w:right="232" w:firstLine="480"/>
        <w:jc w:val="both"/>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、企业社会责任是指企业在创造利润、对股东利益负责的同时，还要承担其对利</w:t>
      </w:r>
      <w:r>
        <w:rPr>
          <w:rFonts w:ascii="宋体" w:hAnsi="宋体" w:cs="宋体" w:eastAsia="宋体" w:hint="default"/>
          <w:spacing w:val="1"/>
        </w:rPr>
        <w:t> </w:t>
      </w:r>
      <w:r>
        <w:rPr>
          <w:rFonts w:ascii="宋体" w:hAnsi="宋体" w:cs="宋体" w:eastAsia="宋体" w:hint="default"/>
          <w:spacing w:val="-2"/>
        </w:rPr>
        <w:t>益相关者和全社会的责任，以实现企业与经济社会可持续发展的协调统一。社会责任包</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括促进社会可持续发展、促进环境及生态可持续发展、促进经济可持续发展等方面。</w:t>
      </w:r>
    </w:p>
    <w:p>
      <w:pPr>
        <w:spacing w:line="240" w:lineRule="auto" w:before="5"/>
        <w:rPr>
          <w:rFonts w:ascii="宋体" w:hAnsi="宋体" w:cs="宋体" w:eastAsia="宋体" w:hint="default"/>
          <w:sz w:val="21"/>
          <w:szCs w:val="21"/>
        </w:rPr>
      </w:pPr>
    </w:p>
    <w:p>
      <w:pPr>
        <w:pStyle w:val="BodyText"/>
        <w:spacing w:line="235" w:lineRule="auto"/>
        <w:ind w:left="118" w:right="111" w:firstLine="480"/>
        <w:jc w:val="left"/>
        <w:rPr>
          <w:rFonts w:ascii="宋体" w:hAnsi="宋体" w:cs="宋体" w:eastAsia="宋体" w:hint="default"/>
        </w:rPr>
      </w:pPr>
      <w:r>
        <w:rPr>
          <w:rFonts w:ascii="Times New Roman" w:hAnsi="Times New Roman" w:cs="Times New Roman" w:eastAsia="Times New Roman" w:hint="default"/>
          <w:spacing w:val="-7"/>
        </w:rPr>
        <w:t>2</w:t>
      </w:r>
      <w:r>
        <w:rPr>
          <w:rFonts w:ascii="宋体" w:hAnsi="宋体" w:cs="宋体" w:eastAsia="宋体" w:hint="default"/>
          <w:spacing w:val="-7"/>
        </w:rPr>
        <w:t>、同方股份有限公司</w:t>
      </w:r>
      <w:r>
        <w:rPr>
          <w:rFonts w:ascii="Times New Roman" w:hAnsi="Times New Roman" w:cs="Times New Roman" w:eastAsia="Times New Roman" w:hint="default"/>
          <w:spacing w:val="-7"/>
        </w:rPr>
        <w:t>(</w:t>
      </w:r>
      <w:r>
        <w:rPr>
          <w:rFonts w:ascii="宋体" w:hAnsi="宋体" w:cs="宋体" w:eastAsia="宋体" w:hint="default"/>
          <w:spacing w:val="-7"/>
        </w:rPr>
        <w:t>以下简称“同方股份”、“公司”或“本公司”</w:t>
      </w:r>
      <w:r>
        <w:rPr>
          <w:rFonts w:ascii="Times New Roman" w:hAnsi="Times New Roman" w:cs="Times New Roman" w:eastAsia="Times New Roman" w:hint="default"/>
          <w:spacing w:val="-7"/>
        </w:rPr>
        <w:t>)</w:t>
      </w:r>
      <w:r>
        <w:rPr>
          <w:rFonts w:ascii="宋体" w:hAnsi="宋体" w:cs="宋体" w:eastAsia="宋体" w:hint="default"/>
          <w:spacing w:val="-7"/>
        </w:rPr>
        <w:t>以创新孵化、</w:t>
      </w:r>
      <w:r>
        <w:rPr>
          <w:rFonts w:ascii="宋体" w:hAnsi="宋体" w:cs="宋体" w:eastAsia="宋体" w:hint="default"/>
        </w:rPr>
        <w:t> 科教兴国为己任，秉承“承担、探索、超越、忠诚、责任、价值”的企业文化，不断探</w:t>
      </w:r>
      <w:r>
        <w:rPr>
          <w:rFonts w:ascii="宋体" w:hAnsi="宋体" w:cs="宋体" w:eastAsia="宋体" w:hint="default"/>
        </w:rPr>
        <w:t> 索高新技术产业发展之路。基于对企业公民的经济、环境、社会三重责任的深刻认识， 公司一直坚持以科学发展观为指导原则，大力推进可持续发展的理念，在实践中追求企 业与股东、客户、员工等利益相关方的和谐发展。</w:t>
      </w:r>
    </w:p>
    <w:p>
      <w:pPr>
        <w:spacing w:line="240" w:lineRule="auto" w:before="12"/>
        <w:rPr>
          <w:rFonts w:ascii="宋体" w:hAnsi="宋体" w:cs="宋体" w:eastAsia="宋体" w:hint="default"/>
          <w:sz w:val="20"/>
          <w:szCs w:val="20"/>
        </w:rPr>
      </w:pPr>
    </w:p>
    <w:p>
      <w:pPr>
        <w:pStyle w:val="BodyText"/>
        <w:spacing w:line="322" w:lineRule="exact"/>
        <w:ind w:left="598" w:right="111"/>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spacing w:val="-138"/>
        </w:rPr>
        <w:t>、</w:t>
      </w:r>
      <w:r>
        <w:rPr>
          <w:rFonts w:ascii="宋体" w:hAnsi="宋体" w:cs="宋体" w:eastAsia="宋体" w:hint="default"/>
        </w:rPr>
        <w:t>《同方股份有限公司</w:t>
      </w:r>
      <w:r>
        <w:rPr>
          <w:rFonts w:ascii="宋体" w:hAnsi="宋体" w:cs="宋体" w:eastAsia="宋体" w:hint="default"/>
          <w:spacing w:val="-60"/>
        </w:rPr>
        <w:t> </w:t>
      </w:r>
      <w:r>
        <w:rPr>
          <w:rFonts w:ascii="Times New Roman" w:hAnsi="Times New Roman" w:cs="Times New Roman" w:eastAsia="Times New Roman" w:hint="default"/>
        </w:rPr>
        <w:t>2008 </w:t>
      </w:r>
      <w:r>
        <w:rPr>
          <w:rFonts w:ascii="宋体" w:hAnsi="宋体" w:cs="宋体" w:eastAsia="宋体" w:hint="default"/>
        </w:rPr>
        <w:t>年度社会责任报告</w:t>
      </w:r>
      <w:r>
        <w:rPr>
          <w:rFonts w:ascii="宋体" w:hAnsi="宋体" w:cs="宋体" w:eastAsia="宋体" w:hint="default"/>
          <w:spacing w:val="-18"/>
        </w:rPr>
        <w:t>》</w:t>
      </w:r>
      <w:r>
        <w:rPr>
          <w:rFonts w:ascii="Times New Roman" w:hAnsi="Times New Roman" w:cs="Times New Roman" w:eastAsia="Times New Roman" w:hint="default"/>
        </w:rPr>
        <w:t>(</w:t>
      </w:r>
      <w:r>
        <w:rPr>
          <w:rFonts w:ascii="宋体" w:hAnsi="宋体" w:cs="宋体" w:eastAsia="宋体" w:hint="default"/>
        </w:rPr>
        <w:t>以下简</w:t>
      </w:r>
      <w:r>
        <w:rPr>
          <w:rFonts w:ascii="宋体" w:hAnsi="宋体" w:cs="宋体" w:eastAsia="宋体" w:hint="default"/>
          <w:spacing w:val="-18"/>
        </w:rPr>
        <w:t>称</w:t>
      </w:r>
      <w:r>
        <w:rPr>
          <w:rFonts w:ascii="宋体" w:hAnsi="宋体" w:cs="宋体" w:eastAsia="宋体" w:hint="default"/>
        </w:rPr>
        <w:t>“社会责任报告</w:t>
      </w:r>
      <w:r>
        <w:rPr>
          <w:rFonts w:ascii="宋体" w:hAnsi="宋体" w:cs="宋体" w:eastAsia="宋体" w:hint="default"/>
          <w:spacing w:val="-18"/>
        </w:rPr>
        <w:t>”</w:t>
      </w:r>
      <w:r>
        <w:rPr>
          <w:rFonts w:ascii="Times New Roman" w:hAnsi="Times New Roman" w:cs="Times New Roman" w:eastAsia="Times New Roman" w:hint="default"/>
        </w:rPr>
        <w:t>)</w:t>
      </w:r>
      <w:r>
        <w:rPr>
          <w:rFonts w:ascii="宋体" w:hAnsi="宋体" w:cs="宋体" w:eastAsia="宋体" w:hint="default"/>
          <w:spacing w:val="-18"/>
        </w:rPr>
        <w:t>，坦</w:t>
      </w:r>
      <w:r>
        <w:rPr>
          <w:rFonts w:ascii="宋体" w:hAnsi="宋体" w:cs="宋体" w:eastAsia="宋体" w:hint="default"/>
        </w:rPr>
      </w:r>
    </w:p>
    <w:p>
      <w:pPr>
        <w:pStyle w:val="BodyText"/>
        <w:spacing w:line="232" w:lineRule="auto"/>
        <w:ind w:left="118" w:right="234"/>
        <w:jc w:val="both"/>
        <w:rPr>
          <w:rFonts w:ascii="宋体" w:hAnsi="宋体" w:cs="宋体" w:eastAsia="宋体" w:hint="default"/>
        </w:rPr>
      </w:pPr>
      <w:r>
        <w:rPr>
          <w:rFonts w:ascii="宋体" w:hAnsi="宋体" w:cs="宋体" w:eastAsia="宋体" w:hint="default"/>
        </w:rPr>
        <w:t>诚、详尽地报告了企业责任观，总结了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rFonts w:ascii="宋体" w:hAnsi="宋体" w:cs="宋体" w:eastAsia="宋体" w:hint="default"/>
        </w:rPr>
        <w:t>年公司在经济、环境、社会等责任方面的 </w:t>
      </w:r>
      <w:r>
        <w:rPr>
          <w:rFonts w:ascii="宋体" w:hAnsi="宋体" w:cs="宋体" w:eastAsia="宋体" w:hint="default"/>
          <w:spacing w:val="-2"/>
        </w:rPr>
        <w:t>实践和贡献，认识到公司的社会责任与企业成长相辅相成、密不可分。公司将进一步建</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立科学、规范的企业社会责任管理体系，把履行企业社会责任贯穿于企业经营和管理的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各个环节，实现企业与产业、社会及自然的和谐发展。</w:t>
      </w:r>
    </w:p>
    <w:p>
      <w:pPr>
        <w:spacing w:line="580" w:lineRule="atLeast" w:before="9"/>
        <w:ind w:left="598" w:right="111" w:hanging="480"/>
        <w:jc w:val="left"/>
        <w:rPr>
          <w:rFonts w:ascii="宋体" w:hAnsi="宋体" w:cs="宋体" w:eastAsia="宋体" w:hint="default"/>
          <w:sz w:val="24"/>
          <w:szCs w:val="24"/>
        </w:rPr>
      </w:pPr>
      <w:r>
        <w:rPr>
          <w:rFonts w:ascii="宋体" w:hAnsi="宋体" w:cs="宋体" w:eastAsia="宋体" w:hint="default"/>
          <w:b/>
          <w:bCs/>
          <w:sz w:val="24"/>
          <w:szCs w:val="24"/>
        </w:rPr>
        <w:t>二、公司社会责任观</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公司以创新孵化、科教兴国为己任，秉承“承担、探索、超越、忠诚、责任、价值”</w:t>
      </w:r>
    </w:p>
    <w:p>
      <w:pPr>
        <w:pStyle w:val="BodyText"/>
        <w:spacing w:line="312" w:lineRule="exact"/>
        <w:ind w:left="118" w:right="0"/>
        <w:jc w:val="both"/>
        <w:rPr>
          <w:rFonts w:ascii="宋体" w:hAnsi="宋体" w:cs="宋体" w:eastAsia="宋体" w:hint="default"/>
        </w:rPr>
      </w:pPr>
      <w:r>
        <w:rPr>
          <w:rFonts w:ascii="宋体" w:hAnsi="宋体" w:cs="宋体" w:eastAsia="宋体" w:hint="default"/>
        </w:rPr>
        <w:t>的企业文化，不断探索高新技术产业发展之路。</w:t>
      </w:r>
    </w:p>
    <w:p>
      <w:pPr>
        <w:spacing w:line="240" w:lineRule="auto" w:before="1"/>
        <w:rPr>
          <w:rFonts w:ascii="宋体" w:hAnsi="宋体" w:cs="宋体" w:eastAsia="宋体" w:hint="default"/>
          <w:sz w:val="21"/>
          <w:szCs w:val="21"/>
        </w:rPr>
      </w:pPr>
    </w:p>
    <w:p>
      <w:pPr>
        <w:pStyle w:val="BodyText"/>
        <w:spacing w:line="237" w:lineRule="auto"/>
        <w:ind w:left="118" w:right="111" w:firstLine="480"/>
        <w:jc w:val="left"/>
        <w:rPr>
          <w:rFonts w:ascii="宋体" w:hAnsi="宋体" w:cs="宋体" w:eastAsia="宋体" w:hint="default"/>
        </w:rPr>
      </w:pPr>
      <w:r>
        <w:rPr>
          <w:rFonts w:ascii="宋体" w:hAnsi="宋体" w:cs="宋体" w:eastAsia="宋体" w:hint="default"/>
          <w:spacing w:val="-6"/>
        </w:rPr>
        <w:t>基于对企业公民的经济、环境、社会三重责任的深刻认识，公司树立了“创新为先，</w:t>
      </w:r>
      <w:r>
        <w:rPr>
          <w:rFonts w:ascii="宋体" w:hAnsi="宋体" w:cs="宋体" w:eastAsia="宋体" w:hint="default"/>
          <w:spacing w:val="-1"/>
        </w:rPr>
        <w:t> </w:t>
      </w:r>
      <w:r>
        <w:rPr>
          <w:rFonts w:ascii="宋体" w:hAnsi="宋体" w:cs="宋体" w:eastAsia="宋体" w:hint="default"/>
          <w:spacing w:val="-14"/>
        </w:rPr>
        <w:t>驱动持续发展”、“科技为用，构建生态文明”、“诚信为本，营造和谐环境”的企业社会</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责任观，从而实现经济责任、环境责任和社会责任的统一。</w:t>
      </w:r>
    </w:p>
    <w:p>
      <w:pPr>
        <w:spacing w:line="240" w:lineRule="auto" w:before="4"/>
        <w:rPr>
          <w:rFonts w:ascii="宋体" w:hAnsi="宋体" w:cs="宋体" w:eastAsia="宋体" w:hint="default"/>
          <w:sz w:val="23"/>
          <w:szCs w:val="23"/>
        </w:rPr>
      </w:pPr>
    </w:p>
    <w:p>
      <w:pPr>
        <w:pStyle w:val="BodyText"/>
        <w:spacing w:line="310" w:lineRule="exact"/>
        <w:ind w:left="118" w:right="111" w:firstLine="480"/>
        <w:jc w:val="left"/>
        <w:rPr>
          <w:rFonts w:ascii="宋体" w:hAnsi="宋体" w:cs="宋体" w:eastAsia="宋体" w:hint="default"/>
        </w:rPr>
      </w:pPr>
      <w:r>
        <w:rPr>
          <w:rFonts w:ascii="宋体" w:hAnsi="宋体" w:cs="宋体" w:eastAsia="宋体" w:hint="default"/>
          <w:spacing w:val="-2"/>
        </w:rPr>
        <w:t>创新为先，驱动持续发展，就是要以技术产品、商业模式等领域的全方位创新，实</w:t>
      </w:r>
      <w:r>
        <w:rPr>
          <w:rFonts w:ascii="宋体" w:hAnsi="宋体" w:cs="宋体" w:eastAsia="宋体" w:hint="default"/>
        </w:rPr>
        <w:t> 现企业持续发展，为客户、股东、员工、社会创造更大的经济效益和社会效益。</w:t>
      </w:r>
    </w:p>
    <w:p>
      <w:pPr>
        <w:spacing w:line="240" w:lineRule="auto" w:before="3"/>
        <w:rPr>
          <w:rFonts w:ascii="宋体" w:hAnsi="宋体" w:cs="宋体" w:eastAsia="宋体" w:hint="default"/>
          <w:sz w:val="21"/>
          <w:szCs w:val="21"/>
        </w:rPr>
      </w:pPr>
    </w:p>
    <w:p>
      <w:pPr>
        <w:pStyle w:val="BodyText"/>
        <w:spacing w:line="310" w:lineRule="exact"/>
        <w:ind w:left="118" w:right="111" w:firstLine="480"/>
        <w:jc w:val="left"/>
        <w:rPr>
          <w:rFonts w:ascii="宋体" w:hAnsi="宋体" w:cs="宋体" w:eastAsia="宋体" w:hint="default"/>
        </w:rPr>
      </w:pPr>
      <w:r>
        <w:rPr>
          <w:rFonts w:ascii="宋体" w:hAnsi="宋体" w:cs="宋体" w:eastAsia="宋体" w:hint="default"/>
          <w:spacing w:val="-2"/>
        </w:rPr>
        <w:t>科技为用，建设生态文明，就是要高效推动科技成果的产业化，以先进的技术手段</w:t>
      </w:r>
      <w:r>
        <w:rPr>
          <w:rFonts w:ascii="宋体" w:hAnsi="宋体" w:cs="宋体" w:eastAsia="宋体" w:hint="default"/>
        </w:rPr>
        <w:t> 构建人类绿色生活。</w:t>
      </w:r>
    </w:p>
    <w:p>
      <w:pPr>
        <w:spacing w:line="240" w:lineRule="auto" w:before="0"/>
        <w:rPr>
          <w:rFonts w:ascii="宋体" w:hAnsi="宋体" w:cs="宋体" w:eastAsia="宋体" w:hint="default"/>
          <w:sz w:val="21"/>
          <w:szCs w:val="21"/>
        </w:rPr>
      </w:pPr>
    </w:p>
    <w:p>
      <w:pPr>
        <w:pStyle w:val="BodyText"/>
        <w:spacing w:line="312" w:lineRule="exact"/>
        <w:ind w:left="118" w:right="111" w:firstLine="480"/>
        <w:jc w:val="left"/>
        <w:rPr>
          <w:rFonts w:ascii="宋体" w:hAnsi="宋体" w:cs="宋体" w:eastAsia="宋体" w:hint="default"/>
        </w:rPr>
      </w:pPr>
      <w:r>
        <w:rPr>
          <w:rFonts w:ascii="宋体" w:hAnsi="宋体" w:cs="宋体" w:eastAsia="宋体" w:hint="default"/>
          <w:spacing w:val="-2"/>
        </w:rPr>
        <w:t>诚信为本，构筑和谐环境，就是要在企业涉足的产业链上联合利益相关方，营造和</w:t>
      </w:r>
      <w:r>
        <w:rPr>
          <w:rFonts w:ascii="宋体" w:hAnsi="宋体" w:cs="宋体" w:eastAsia="宋体" w:hint="default"/>
        </w:rPr>
        <w:t> 谐共赢的氛围和环境，并积极参与社会公益事业。</w:t>
      </w:r>
    </w:p>
    <w:p>
      <w:pPr>
        <w:spacing w:line="240" w:lineRule="auto" w:before="9"/>
        <w:rPr>
          <w:rFonts w:ascii="宋体" w:hAnsi="宋体" w:cs="宋体" w:eastAsia="宋体" w:hint="default"/>
          <w:sz w:val="18"/>
          <w:szCs w:val="18"/>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三、</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rFonts w:ascii="宋体" w:hAnsi="宋体" w:cs="宋体" w:eastAsia="宋体" w:hint="default"/>
        </w:rPr>
        <w:t>年度履行社会责任的实践</w:t>
      </w:r>
      <w:r>
        <w:rPr>
          <w:rFonts w:ascii="宋体" w:hAnsi="宋体" w:cs="宋体" w:eastAsia="宋体" w:hint="default"/>
          <w:b w:val="0"/>
          <w:bCs w:val="0"/>
        </w:rPr>
      </w:r>
    </w:p>
    <w:p>
      <w:pPr>
        <w:spacing w:after="0" w:line="240" w:lineRule="auto"/>
        <w:jc w:val="both"/>
        <w:rPr>
          <w:rFonts w:ascii="宋体" w:hAnsi="宋体" w:cs="宋体" w:eastAsia="宋体" w:hint="default"/>
        </w:rPr>
        <w:sectPr>
          <w:headerReference w:type="default" r:id="rId76"/>
          <w:footerReference w:type="default" r:id="rId77"/>
          <w:pgSz w:w="11910" w:h="16840"/>
          <w:pgMar w:header="0" w:footer="982" w:top="1600" w:bottom="1180" w:left="1300" w:right="1180"/>
          <w:pgNumType w:start="1"/>
        </w:sectPr>
      </w:pPr>
    </w:p>
    <w:p>
      <w:pPr>
        <w:spacing w:line="240" w:lineRule="auto" w:before="10"/>
        <w:rPr>
          <w:rFonts w:ascii="宋体" w:hAnsi="宋体" w:cs="宋体" w:eastAsia="宋体" w:hint="default"/>
          <w:b/>
          <w:bCs/>
          <w:sz w:val="23"/>
          <w:szCs w:val="23"/>
        </w:rPr>
      </w:pPr>
    </w:p>
    <w:p>
      <w:pPr>
        <w:pStyle w:val="BodyText"/>
        <w:spacing w:line="312" w:lineRule="exact" w:before="56"/>
        <w:ind w:left="118" w:right="234" w:firstLine="480"/>
        <w:jc w:val="both"/>
        <w:rPr>
          <w:rFonts w:ascii="宋体" w:hAnsi="宋体" w:cs="宋体" w:eastAsia="宋体" w:hint="default"/>
        </w:rPr>
      </w:pPr>
      <w:r>
        <w:rPr>
          <w:rFonts w:ascii="宋体" w:hAnsi="宋体" w:cs="宋体" w:eastAsia="宋体" w:hint="default"/>
          <w:spacing w:val="-2"/>
        </w:rPr>
        <w:t>为落实企业社会责任观，针对国内外企业社会责任关键议题，结合企业特点，公司</w:t>
      </w:r>
      <w:r>
        <w:rPr>
          <w:rFonts w:ascii="宋体" w:hAnsi="宋体" w:cs="宋体" w:eastAsia="宋体" w:hint="default"/>
        </w:rPr>
        <w:t> 于</w:t>
      </w:r>
      <w:r>
        <w:rPr>
          <w:rFonts w:ascii="宋体" w:hAnsi="宋体" w:cs="宋体" w:eastAsia="宋体" w:hint="default"/>
          <w:spacing w:val="-60"/>
        </w:rPr>
        <w:t> </w:t>
      </w:r>
      <w:r>
        <w:rPr>
          <w:rFonts w:ascii="Times New Roman" w:hAnsi="Times New Roman" w:cs="Times New Roman" w:eastAsia="Times New Roman" w:hint="default"/>
        </w:rPr>
        <w:t>2008 </w:t>
      </w:r>
      <w:r>
        <w:rPr>
          <w:rFonts w:ascii="宋体" w:hAnsi="宋体" w:cs="宋体" w:eastAsia="宋体" w:hint="default"/>
        </w:rPr>
        <w:t>年在以下几个方面落实了企业社会责任实践。</w:t>
      </w:r>
    </w:p>
    <w:p>
      <w:pPr>
        <w:spacing w:line="570" w:lineRule="atLeast" w:before="6"/>
        <w:ind w:left="598" w:right="111"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60"/>
          <w:sz w:val="24"/>
          <w:szCs w:val="24"/>
        </w:rPr>
        <w:t> </w:t>
      </w:r>
      <w:r>
        <w:rPr>
          <w:rFonts w:ascii="宋体" w:hAnsi="宋体" w:cs="宋体" w:eastAsia="宋体" w:hint="default"/>
          <w:b/>
          <w:bCs/>
          <w:sz w:val="24"/>
          <w:szCs w:val="24"/>
        </w:rPr>
        <w:t>加强法人治理结构建设，建立保护股东机制，通过持续成长回报投资者</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公司一直坚持完善法人治理结构和内部控制制度的建设，并建立起了股东大会、董</w:t>
      </w:r>
    </w:p>
    <w:p>
      <w:pPr>
        <w:pStyle w:val="BodyText"/>
        <w:spacing w:line="310" w:lineRule="exact" w:before="29"/>
        <w:ind w:left="118" w:right="232"/>
        <w:jc w:val="both"/>
        <w:rPr>
          <w:rFonts w:ascii="宋体" w:hAnsi="宋体" w:cs="宋体" w:eastAsia="宋体" w:hint="default"/>
        </w:rPr>
      </w:pPr>
      <w:r>
        <w:rPr>
          <w:rFonts w:ascii="宋体" w:hAnsi="宋体" w:cs="宋体" w:eastAsia="宋体" w:hint="default"/>
          <w:spacing w:val="-3"/>
        </w:rPr>
        <w:t>事会、监事会、经理层各司其职、相互制衡的组织结构，通过各项制度的实施，充分保</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证了股东的各项权利。</w:t>
      </w:r>
    </w:p>
    <w:p>
      <w:pPr>
        <w:spacing w:line="240" w:lineRule="auto" w:before="5"/>
        <w:rPr>
          <w:rFonts w:ascii="宋体" w:hAnsi="宋体" w:cs="宋体" w:eastAsia="宋体" w:hint="default"/>
          <w:sz w:val="19"/>
          <w:szCs w:val="19"/>
        </w:rPr>
      </w:pPr>
    </w:p>
    <w:p>
      <w:pPr>
        <w:pStyle w:val="BodyText"/>
        <w:spacing w:line="232" w:lineRule="auto"/>
        <w:ind w:left="118" w:right="114" w:firstLine="480"/>
        <w:jc w:val="both"/>
        <w:rPr>
          <w:rFonts w:ascii="宋体" w:hAnsi="宋体" w:cs="宋体" w:eastAsia="宋体" w:hint="default"/>
        </w:rPr>
      </w:pPr>
      <w:r>
        <w:rPr>
          <w:rFonts w:ascii="Times New Roman" w:hAnsi="Times New Roman" w:cs="Times New Roman" w:eastAsia="Times New Roman" w:hint="default"/>
          <w:spacing w:val="-12"/>
        </w:rPr>
        <w:t>1</w:t>
      </w:r>
      <w:r>
        <w:rPr>
          <w:rFonts w:ascii="宋体" w:hAnsi="宋体" w:cs="宋体" w:eastAsia="宋体" w:hint="default"/>
          <w:spacing w:val="-12"/>
        </w:rPr>
        <w:t>、公司根据《公司法》、《证券法》、《上市公司治理准则》等法律法规的要求，已</w:t>
      </w:r>
      <w:r>
        <w:rPr>
          <w:rFonts w:ascii="宋体" w:hAnsi="宋体" w:cs="宋体" w:eastAsia="宋体" w:hint="default"/>
          <w:spacing w:val="1"/>
        </w:rPr>
        <w:t> </w:t>
      </w:r>
      <w:r>
        <w:rPr>
          <w:rFonts w:ascii="宋体" w:hAnsi="宋体" w:cs="宋体" w:eastAsia="宋体" w:hint="default"/>
        </w:rPr>
        <w:t>经建立起了一整套完善的法人治理文件，科学、规范的企业法人治理结构初步形成。目</w:t>
      </w:r>
      <w:r>
        <w:rPr>
          <w:rFonts w:ascii="宋体" w:hAnsi="宋体" w:cs="宋体" w:eastAsia="宋体" w:hint="default"/>
        </w:rPr>
        <w:t> 前，公司治理的实际情况与上市公司治理的有关规范性文件要求基本一致。同时，公司 </w:t>
      </w:r>
      <w:r>
        <w:rPr>
          <w:rFonts w:ascii="宋体" w:hAnsi="宋体" w:cs="宋体" w:eastAsia="宋体" w:hint="default"/>
          <w:spacing w:val="-5"/>
        </w:rPr>
        <w:t>还根据有关部门的要求，开展了公司治理专项活动，在实践中进一步完善公司治理现状。</w:t>
      </w:r>
    </w:p>
    <w:p>
      <w:pPr>
        <w:spacing w:line="240" w:lineRule="auto" w:before="5"/>
        <w:rPr>
          <w:rFonts w:ascii="宋体" w:hAnsi="宋体" w:cs="宋体" w:eastAsia="宋体" w:hint="default"/>
          <w:sz w:val="21"/>
          <w:szCs w:val="21"/>
        </w:rPr>
      </w:pPr>
    </w:p>
    <w:p>
      <w:pPr>
        <w:pStyle w:val="BodyText"/>
        <w:spacing w:line="235" w:lineRule="auto"/>
        <w:ind w:left="118" w:right="185" w:firstLine="480"/>
        <w:jc w:val="both"/>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、公司根据《上市公司信息披露管理办法》等法律、法规和公司章程的规定，并</w:t>
      </w:r>
      <w:r>
        <w:rPr>
          <w:rFonts w:ascii="宋体" w:hAnsi="宋体" w:cs="宋体" w:eastAsia="宋体" w:hint="default"/>
          <w:spacing w:val="1"/>
        </w:rPr>
        <w:t> </w:t>
      </w:r>
      <w:r>
        <w:rPr>
          <w:rFonts w:ascii="宋体" w:hAnsi="宋体" w:cs="宋体" w:eastAsia="宋体" w:hint="default"/>
          <w:spacing w:val="-3"/>
        </w:rPr>
        <w:t>结合公司实际情况，开展了多层次、多渠道的投资者关系工作。一方面，在信息披露工</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作的实施方面，公司从信息披露的组织机构及人员职责、信息披露的主要类别、重要信</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息披露的标准和责任人等方面均进行了有效规范，确保信息披露的公平、准确、及时， </w:t>
      </w:r>
      <w:r>
        <w:rPr>
          <w:rFonts w:ascii="宋体" w:hAnsi="宋体" w:cs="宋体" w:eastAsia="宋体" w:hint="default"/>
          <w:spacing w:val="-2"/>
        </w:rPr>
        <w:t>保护投资者的合法权益。另一方面，公司开通了投资者热线，并在公司网站上建立了投</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资者交流平台，还通过组织机构投资者调研、网上路演、实地考察等多种方式，加强与</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股东的沟通，保证了股东对公司重大事项和经营情况的知情权。</w:t>
      </w:r>
    </w:p>
    <w:p>
      <w:pPr>
        <w:spacing w:line="240" w:lineRule="auto" w:before="1"/>
        <w:rPr>
          <w:rFonts w:ascii="宋体" w:hAnsi="宋体" w:cs="宋体" w:eastAsia="宋体" w:hint="default"/>
          <w:sz w:val="22"/>
          <w:szCs w:val="22"/>
        </w:rPr>
      </w:pPr>
    </w:p>
    <w:p>
      <w:pPr>
        <w:pStyle w:val="BodyText"/>
        <w:spacing w:line="228" w:lineRule="auto"/>
        <w:ind w:left="118" w:right="233" w:firstLine="480"/>
        <w:jc w:val="both"/>
        <w:rPr>
          <w:rFonts w:ascii="宋体" w:hAnsi="宋体" w:cs="宋体" w:eastAsia="宋体" w:hint="default"/>
        </w:rPr>
      </w:pPr>
      <w:r>
        <w:rPr>
          <w:rFonts w:ascii="Times New Roman" w:hAnsi="Times New Roman" w:cs="Times New Roman" w:eastAsia="Times New Roman" w:hint="default"/>
          <w:spacing w:val="-5"/>
        </w:rPr>
        <w:t>3</w:t>
      </w:r>
      <w:r>
        <w:rPr>
          <w:rFonts w:ascii="宋体" w:hAnsi="宋体" w:cs="宋体" w:eastAsia="宋体" w:hint="default"/>
          <w:spacing w:val="-5"/>
        </w:rPr>
        <w:t>、</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4"/>
        </w:rPr>
        <w:t> </w:t>
      </w:r>
      <w:r>
        <w:rPr>
          <w:rFonts w:ascii="宋体" w:hAnsi="宋体" w:cs="宋体" w:eastAsia="宋体" w:hint="default"/>
        </w:rPr>
        <w:t>年，公司全年实现主营业务收入</w:t>
      </w:r>
      <w:r>
        <w:rPr>
          <w:rFonts w:ascii="宋体" w:hAnsi="宋体" w:cs="宋体" w:eastAsia="宋体" w:hint="default"/>
          <w:spacing w:val="-64"/>
        </w:rPr>
        <w:t> </w:t>
      </w:r>
      <w:r>
        <w:rPr>
          <w:rFonts w:ascii="Times New Roman" w:hAnsi="Times New Roman" w:cs="Times New Roman" w:eastAsia="Times New Roman" w:hint="default"/>
        </w:rPr>
        <w:t>137.06</w:t>
      </w:r>
      <w:r>
        <w:rPr>
          <w:rFonts w:ascii="Times New Roman" w:hAnsi="Times New Roman" w:cs="Times New Roman" w:eastAsia="Times New Roman" w:hint="default"/>
          <w:spacing w:val="-4"/>
        </w:rPr>
        <w:t> </w:t>
      </w:r>
      <w:r>
        <w:rPr>
          <w:rFonts w:ascii="宋体" w:hAnsi="宋体" w:cs="宋体" w:eastAsia="宋体" w:hint="default"/>
          <w:spacing w:val="-4"/>
        </w:rPr>
        <w:t>亿元，实现净利润</w:t>
      </w:r>
      <w:r>
        <w:rPr>
          <w:rFonts w:ascii="宋体" w:hAnsi="宋体" w:cs="宋体" w:eastAsia="宋体" w:hint="default"/>
          <w:spacing w:val="-64"/>
        </w:rPr>
        <w:t> </w:t>
      </w:r>
      <w:r>
        <w:rPr>
          <w:rFonts w:ascii="Times New Roman" w:hAnsi="Times New Roman" w:cs="Times New Roman" w:eastAsia="Times New Roman" w:hint="default"/>
        </w:rPr>
        <w:t>2.51</w:t>
      </w:r>
      <w:r>
        <w:rPr>
          <w:rFonts w:ascii="Times New Roman" w:hAnsi="Times New Roman" w:cs="Times New Roman" w:eastAsia="Times New Roman" w:hint="default"/>
          <w:spacing w:val="-4"/>
        </w:rPr>
        <w:t> </w:t>
      </w:r>
      <w:r>
        <w:rPr>
          <w:rFonts w:ascii="宋体" w:hAnsi="宋体" w:cs="宋体" w:eastAsia="宋体" w:hint="default"/>
          <w:spacing w:val="-6"/>
        </w:rPr>
        <w:t>亿元，其中</w:t>
      </w:r>
      <w:r>
        <w:rPr>
          <w:rFonts w:ascii="宋体" w:hAnsi="宋体" w:cs="宋体" w:eastAsia="宋体" w:hint="default"/>
        </w:rPr>
        <w:t> 扣除非经常性损益的净利润为 </w:t>
      </w:r>
      <w:r>
        <w:rPr>
          <w:rFonts w:ascii="Times New Roman" w:hAnsi="Times New Roman" w:cs="Times New Roman" w:eastAsia="Times New Roman" w:hint="default"/>
        </w:rPr>
        <w:t>2.70 </w:t>
      </w:r>
      <w:r>
        <w:rPr>
          <w:rFonts w:ascii="宋体" w:hAnsi="宋体" w:cs="宋体" w:eastAsia="宋体" w:hint="default"/>
        </w:rPr>
        <w:t>亿元，同比增长</w:t>
      </w:r>
      <w:r>
        <w:rPr>
          <w:rFonts w:ascii="宋体" w:hAnsi="宋体" w:cs="宋体" w:eastAsia="宋体" w:hint="default"/>
          <w:spacing w:val="-72"/>
        </w:rPr>
        <w:t> </w:t>
      </w:r>
      <w:r>
        <w:rPr>
          <w:rFonts w:ascii="Times New Roman" w:hAnsi="Times New Roman" w:cs="Times New Roman" w:eastAsia="Times New Roman" w:hint="default"/>
        </w:rPr>
        <w:t>17.24%</w:t>
      </w:r>
      <w:r>
        <w:rPr>
          <w:rFonts w:ascii="宋体" w:hAnsi="宋体" w:cs="宋体" w:eastAsia="宋体" w:hint="default"/>
        </w:rPr>
        <w:t>。因受到宏观经济环境变化 和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rFonts w:ascii="宋体" w:hAnsi="宋体" w:cs="宋体" w:eastAsia="宋体" w:hint="default"/>
        </w:rPr>
        <w:t>年出售了公司持有的诚志股份股权获得较大非经常性损益的影响，公司净利润 </w:t>
      </w:r>
      <w:r>
        <w:rPr>
          <w:rFonts w:ascii="宋体" w:hAnsi="宋体" w:cs="宋体" w:eastAsia="宋体" w:hint="default"/>
          <w:spacing w:val="-2"/>
        </w:rPr>
        <w:t>整体与去年相比有所下滑，然而公司主营业务的净利润仍保持了平稳增长。本年度，公</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司还实施了向老股东配售股票的方案，净资产规模提升为</w:t>
      </w:r>
      <w:r>
        <w:rPr>
          <w:rFonts w:ascii="宋体" w:hAnsi="宋体" w:cs="宋体" w:eastAsia="宋体" w:hint="default"/>
          <w:spacing w:val="-56"/>
        </w:rPr>
        <w:t> </w:t>
      </w:r>
      <w:r>
        <w:rPr>
          <w:rFonts w:ascii="Times New Roman" w:hAnsi="Times New Roman" w:cs="Times New Roman" w:eastAsia="Times New Roman" w:hint="default"/>
        </w:rPr>
        <w:t>70.46</w:t>
      </w:r>
      <w:r>
        <w:rPr>
          <w:rFonts w:ascii="Times New Roman" w:hAnsi="Times New Roman" w:cs="Times New Roman" w:eastAsia="Times New Roman" w:hint="default"/>
          <w:spacing w:val="4"/>
        </w:rPr>
        <w:t> </w:t>
      </w:r>
      <w:r>
        <w:rPr>
          <w:rFonts w:ascii="宋体" w:hAnsi="宋体" w:cs="宋体" w:eastAsia="宋体" w:hint="default"/>
        </w:rPr>
        <w:t>亿元，资产负债率降低 为</w:t>
      </w:r>
      <w:r>
        <w:rPr>
          <w:rFonts w:ascii="宋体" w:hAnsi="宋体" w:cs="宋体" w:eastAsia="宋体" w:hint="default"/>
          <w:spacing w:val="30"/>
        </w:rPr>
        <w:t> </w:t>
      </w:r>
      <w:r>
        <w:rPr>
          <w:rFonts w:ascii="Times New Roman" w:hAnsi="Times New Roman" w:cs="Times New Roman" w:eastAsia="Times New Roman" w:hint="default"/>
        </w:rPr>
        <w:t>53.32%</w:t>
      </w:r>
      <w:r>
        <w:rPr>
          <w:rFonts w:ascii="宋体" w:hAnsi="宋体" w:cs="宋体" w:eastAsia="宋体" w:hint="default"/>
        </w:rPr>
        <w:t>。未来，公司将会采取有利举措，不断增强公司核心产业的竞争力，进一步</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扩大市场份额，努力提升业绩，保持企业的持续成长，回报投资者。</w:t>
      </w:r>
    </w:p>
    <w:p>
      <w:pPr>
        <w:spacing w:line="570" w:lineRule="atLeast" w:before="36"/>
        <w:ind w:left="598" w:right="111"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60"/>
          <w:sz w:val="24"/>
          <w:szCs w:val="24"/>
        </w:rPr>
        <w:t> </w:t>
      </w:r>
      <w:r>
        <w:rPr>
          <w:rFonts w:ascii="宋体" w:hAnsi="宋体" w:cs="宋体" w:eastAsia="宋体" w:hint="default"/>
          <w:b/>
          <w:bCs/>
          <w:sz w:val="24"/>
          <w:szCs w:val="24"/>
        </w:rPr>
        <w:t>加大产品创新和技术创新力度，完善产品质量体系，以卓越科技回报社会</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在多年的发展中，公司时刻以构建和谐社会为己任，致力于以高科技成果服务社会。</w:t>
      </w:r>
    </w:p>
    <w:p>
      <w:pPr>
        <w:pStyle w:val="BodyText"/>
        <w:spacing w:line="237" w:lineRule="auto"/>
        <w:ind w:left="118" w:right="233"/>
        <w:jc w:val="both"/>
        <w:rPr>
          <w:rFonts w:ascii="宋体" w:hAnsi="宋体" w:cs="宋体" w:eastAsia="宋体" w:hint="default"/>
        </w:rPr>
      </w:pPr>
      <w:r>
        <w:rPr>
          <w:rFonts w:ascii="宋体" w:hAnsi="宋体" w:cs="宋体" w:eastAsia="宋体" w:hint="default"/>
          <w:spacing w:val="-2"/>
        </w:rPr>
        <w:t>创新是公司快速发展的直接动力，自设立以来，公司依托清华大学的科研力量，发挥国</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家级工程研究中心的作用和企业自身优势，开辟多渠道的技术创新，通过新技术的不断</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推广和应用，新产品的不断创新和推出，为客户提供优质的产品和服务。同时，公司还</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在产品质量方面建立了科学管理体制，凭借自主技术的不断进步，提升产品质量。</w:t>
      </w:r>
    </w:p>
    <w:p>
      <w:pPr>
        <w:spacing w:line="240" w:lineRule="auto" w:before="11"/>
        <w:rPr>
          <w:rFonts w:ascii="宋体" w:hAnsi="宋体" w:cs="宋体" w:eastAsia="宋体" w:hint="default"/>
          <w:sz w:val="21"/>
          <w:szCs w:val="21"/>
        </w:rPr>
      </w:pPr>
    </w:p>
    <w:p>
      <w:pPr>
        <w:pStyle w:val="BodyText"/>
        <w:spacing w:line="230" w:lineRule="auto"/>
        <w:ind w:left="118" w:right="232" w:firstLine="480"/>
        <w:jc w:val="both"/>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、公司以市场为导向，以自有技术为依托，不断推出引领市场需求、技术领先的</w:t>
      </w:r>
      <w:r>
        <w:rPr>
          <w:rFonts w:ascii="宋体" w:hAnsi="宋体" w:cs="宋体" w:eastAsia="宋体" w:hint="default"/>
          <w:spacing w:val="1"/>
        </w:rPr>
        <w:t> </w:t>
      </w:r>
      <w:r>
        <w:rPr>
          <w:rFonts w:ascii="宋体" w:hAnsi="宋体" w:cs="宋体" w:eastAsia="宋体" w:hint="default"/>
          <w:spacing w:val="-8"/>
        </w:rPr>
        <w:t>新产品和新方案。</w:t>
      </w:r>
      <w:r>
        <w:rPr>
          <w:rFonts w:ascii="Times New Roman" w:hAnsi="Times New Roman" w:cs="Times New Roman" w:eastAsia="Times New Roman" w:hint="default"/>
          <w:spacing w:val="-8"/>
        </w:rPr>
        <w:t>2008 </w:t>
      </w:r>
      <w:r>
        <w:rPr>
          <w:rFonts w:ascii="宋体" w:hAnsi="宋体" w:cs="宋体" w:eastAsia="宋体" w:hint="default"/>
          <w:spacing w:val="-14"/>
        </w:rPr>
        <w:t>年，公司推出了 </w:t>
      </w:r>
      <w:r>
        <w:rPr>
          <w:rFonts w:ascii="Times New Roman" w:hAnsi="Times New Roman" w:cs="Times New Roman" w:eastAsia="Times New Roman" w:hint="default"/>
        </w:rPr>
        <w:t>imini</w:t>
      </w:r>
      <w:r>
        <w:rPr>
          <w:rFonts w:ascii="Times New Roman" w:hAnsi="Times New Roman" w:cs="Times New Roman" w:eastAsia="Times New Roman" w:hint="default"/>
          <w:spacing w:val="-22"/>
        </w:rPr>
        <w:t> </w:t>
      </w:r>
      <w:r>
        <w:rPr>
          <w:rFonts w:ascii="宋体" w:hAnsi="宋体" w:cs="宋体" w:eastAsia="宋体" w:hint="default"/>
          <w:spacing w:val="-9"/>
        </w:rPr>
        <w:t>系列笔记本、三模数字电视一体机、</w:t>
      </w:r>
      <w:r>
        <w:rPr>
          <w:rFonts w:ascii="Times New Roman" w:hAnsi="Times New Roman" w:cs="Times New Roman" w:eastAsia="Times New Roman" w:hint="default"/>
          <w:spacing w:val="-9"/>
        </w:rPr>
        <w:t>LimeTV</w:t>
      </w:r>
      <w:r>
        <w:rPr>
          <w:rFonts w:ascii="Times New Roman" w:hAnsi="Times New Roman" w:cs="Times New Roman" w:eastAsia="Times New Roman" w:hint="default"/>
          <w:spacing w:val="-1"/>
          <w:w w:val="99"/>
        </w:rPr>
        <w:t> </w:t>
      </w:r>
      <w:r>
        <w:rPr>
          <w:rFonts w:ascii="宋体" w:hAnsi="宋体" w:cs="宋体" w:eastAsia="宋体" w:hint="default"/>
        </w:rPr>
        <w:t>网络电视、</w:t>
      </w:r>
      <w:r>
        <w:rPr>
          <w:rFonts w:ascii="Times New Roman" w:hAnsi="Times New Roman" w:cs="Times New Roman" w:eastAsia="Times New Roman" w:hint="default"/>
        </w:rPr>
        <w:t>ezEIMS </w:t>
      </w:r>
      <w:r>
        <w:rPr>
          <w:rFonts w:ascii="宋体" w:hAnsi="宋体" w:cs="宋体" w:eastAsia="宋体" w:hint="default"/>
        </w:rPr>
        <w:t>环境综合信息管理系统、</w:t>
      </w:r>
      <w:r>
        <w:rPr>
          <w:rFonts w:ascii="Times New Roman" w:hAnsi="Times New Roman" w:cs="Times New Roman" w:eastAsia="Times New Roman" w:hint="default"/>
        </w:rPr>
        <w:t>ezWRMS</w:t>
      </w:r>
      <w:r>
        <w:rPr>
          <w:rFonts w:ascii="Times New Roman" w:hAnsi="Times New Roman" w:cs="Times New Roman" w:eastAsia="Times New Roman" w:hint="default"/>
          <w:spacing w:val="4"/>
        </w:rPr>
        <w:t> </w:t>
      </w:r>
      <w:r>
        <w:rPr>
          <w:rFonts w:ascii="宋体" w:hAnsi="宋体" w:cs="宋体" w:eastAsia="宋体" w:hint="default"/>
        </w:rPr>
        <w:t>水资源管理套件、大功率液冷电 </w:t>
      </w:r>
      <w:r>
        <w:rPr>
          <w:rFonts w:ascii="宋体" w:hAnsi="宋体" w:cs="宋体" w:eastAsia="宋体" w:hint="default"/>
          <w:spacing w:val="-2"/>
        </w:rPr>
        <w:t>视发射机、大型平板陶瓷介电体臭氧发生器、地源热泵桩基埋管技术等一系列涉及应用</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信息技术和能源环保技术领域的新产品、新技术，不但推动了公司业务开展，而且符合</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国家相关政策和社会需求。</w:t>
      </w:r>
    </w:p>
    <w:p>
      <w:pPr>
        <w:spacing w:after="0" w:line="230" w:lineRule="auto"/>
        <w:jc w:val="both"/>
        <w:rPr>
          <w:rFonts w:ascii="宋体" w:hAnsi="宋体" w:cs="宋体" w:eastAsia="宋体" w:hint="default"/>
        </w:rPr>
        <w:sectPr>
          <w:headerReference w:type="default" r:id="rId78"/>
          <w:footerReference w:type="default" r:id="rId79"/>
          <w:pgSz w:w="11910" w:h="16840"/>
          <w:pgMar w:header="0" w:footer="982" w:top="1600" w:bottom="1180" w:left="1300" w:right="1180"/>
          <w:pgNumType w:start="2"/>
        </w:sectPr>
      </w:pPr>
    </w:p>
    <w:p>
      <w:pPr>
        <w:spacing w:line="240" w:lineRule="auto" w:before="10"/>
        <w:rPr>
          <w:rFonts w:ascii="宋体" w:hAnsi="宋体" w:cs="宋体" w:eastAsia="宋体" w:hint="default"/>
          <w:sz w:val="23"/>
          <w:szCs w:val="23"/>
        </w:rPr>
      </w:pPr>
    </w:p>
    <w:p>
      <w:pPr>
        <w:pStyle w:val="BodyText"/>
        <w:spacing w:line="322" w:lineRule="exact" w:before="26"/>
        <w:ind w:left="598" w:right="111"/>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、在技术研发和成果孵化方面，</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rFonts w:ascii="宋体" w:hAnsi="宋体" w:cs="宋体" w:eastAsia="宋体" w:hint="default"/>
        </w:rPr>
        <w:t>年，公司新申请中国专利和计算机软件登记</w:t>
      </w:r>
    </w:p>
    <w:p>
      <w:pPr>
        <w:pStyle w:val="BodyText"/>
        <w:spacing w:line="311" w:lineRule="exact"/>
        <w:ind w:left="118" w:right="111"/>
        <w:jc w:val="left"/>
        <w:rPr>
          <w:rFonts w:ascii="Times New Roman" w:hAnsi="Times New Roman" w:cs="Times New Roman" w:eastAsia="Times New Roman" w:hint="default"/>
        </w:rPr>
      </w:pPr>
      <w:r>
        <w:rPr>
          <w:rFonts w:ascii="Times New Roman" w:hAnsi="Times New Roman" w:cs="Times New Roman" w:eastAsia="Times New Roman" w:hint="default"/>
        </w:rPr>
        <w:t>228 </w:t>
      </w:r>
      <w:r>
        <w:rPr>
          <w:rFonts w:ascii="宋体" w:hAnsi="宋体" w:cs="宋体" w:eastAsia="宋体" w:hint="default"/>
          <w:spacing w:val="-14"/>
        </w:rPr>
        <w:t>项，截止</w:t>
      </w:r>
      <w:r>
        <w:rPr>
          <w:rFonts w:ascii="宋体" w:hAnsi="宋体" w:cs="宋体" w:eastAsia="宋体" w:hint="default"/>
          <w:spacing w:val="-60"/>
        </w:rPr>
        <w:t> </w:t>
      </w:r>
      <w:r>
        <w:rPr>
          <w:rFonts w:ascii="Times New Roman" w:hAnsi="Times New Roman" w:cs="Times New Roman" w:eastAsia="Times New Roman" w:hint="default"/>
        </w:rPr>
        <w:t>2008 </w:t>
      </w:r>
      <w:r>
        <w:rPr>
          <w:rFonts w:ascii="宋体" w:hAnsi="宋体" w:cs="宋体" w:eastAsia="宋体" w:hint="default"/>
        </w:rPr>
        <w:t>年底共申请中国专利</w:t>
      </w:r>
      <w:r>
        <w:rPr>
          <w:rFonts w:ascii="宋体" w:hAnsi="宋体" w:cs="宋体" w:eastAsia="宋体" w:hint="default"/>
          <w:spacing w:val="-60"/>
        </w:rPr>
        <w:t> </w:t>
      </w:r>
      <w:r>
        <w:rPr>
          <w:rFonts w:ascii="Times New Roman" w:hAnsi="Times New Roman" w:cs="Times New Roman" w:eastAsia="Times New Roman" w:hint="default"/>
          <w:spacing w:val="-3"/>
        </w:rPr>
        <w:t>1171</w:t>
      </w:r>
      <w:r>
        <w:rPr>
          <w:rFonts w:ascii="Times New Roman" w:hAnsi="Times New Roman" w:cs="Times New Roman" w:eastAsia="Times New Roman" w:hint="default"/>
        </w:rPr>
        <w:t> </w:t>
      </w:r>
      <w:r>
        <w:rPr>
          <w:rFonts w:ascii="宋体" w:hAnsi="宋体" w:cs="宋体" w:eastAsia="宋体" w:hint="default"/>
          <w:spacing w:val="-6"/>
        </w:rPr>
        <w:t>项，获得中国专利权</w:t>
      </w:r>
      <w:r>
        <w:rPr>
          <w:rFonts w:ascii="宋体" w:hAnsi="宋体" w:cs="宋体" w:eastAsia="宋体" w:hint="default"/>
          <w:spacing w:val="-60"/>
        </w:rPr>
        <w:t> </w:t>
      </w:r>
      <w:r>
        <w:rPr>
          <w:rFonts w:ascii="Times New Roman" w:hAnsi="Times New Roman" w:cs="Times New Roman" w:eastAsia="Times New Roman" w:hint="default"/>
        </w:rPr>
        <w:t>645 </w:t>
      </w:r>
      <w:r>
        <w:rPr>
          <w:rFonts w:ascii="宋体" w:hAnsi="宋体" w:cs="宋体" w:eastAsia="宋体" w:hint="default"/>
          <w:spacing w:val="-9"/>
        </w:rPr>
        <w:t>项，其中发明</w:t>
      </w:r>
      <w:r>
        <w:rPr>
          <w:rFonts w:ascii="宋体" w:hAnsi="宋体" w:cs="宋体" w:eastAsia="宋体" w:hint="default"/>
          <w:spacing w:val="-60"/>
        </w:rPr>
        <w:t> </w:t>
      </w:r>
      <w:r>
        <w:rPr>
          <w:rFonts w:ascii="Times New Roman" w:hAnsi="Times New Roman" w:cs="Times New Roman" w:eastAsia="Times New Roman" w:hint="default"/>
        </w:rPr>
        <w:t>180</w:t>
      </w:r>
    </w:p>
    <w:p>
      <w:pPr>
        <w:pStyle w:val="BodyText"/>
        <w:spacing w:line="311" w:lineRule="exact"/>
        <w:ind w:left="118" w:right="111"/>
        <w:jc w:val="left"/>
        <w:rPr>
          <w:rFonts w:ascii="宋体" w:hAnsi="宋体" w:cs="宋体" w:eastAsia="宋体" w:hint="default"/>
        </w:rPr>
      </w:pPr>
      <w:r>
        <w:rPr>
          <w:rFonts w:ascii="宋体" w:hAnsi="宋体" w:cs="宋体" w:eastAsia="宋体" w:hint="default"/>
        </w:rPr>
        <w:t>项，实用新型</w:t>
      </w:r>
      <w:r>
        <w:rPr>
          <w:rFonts w:ascii="宋体" w:hAnsi="宋体" w:cs="宋体" w:eastAsia="宋体" w:hint="default"/>
          <w:spacing w:val="-49"/>
        </w:rPr>
        <w:t> </w:t>
      </w:r>
      <w:r>
        <w:rPr>
          <w:rFonts w:ascii="Times New Roman" w:hAnsi="Times New Roman" w:cs="Times New Roman" w:eastAsia="Times New Roman" w:hint="default"/>
        </w:rPr>
        <w:t>421</w:t>
      </w:r>
      <w:r>
        <w:rPr>
          <w:rFonts w:ascii="Times New Roman" w:hAnsi="Times New Roman" w:cs="Times New Roman" w:eastAsia="Times New Roman" w:hint="default"/>
          <w:spacing w:val="11"/>
        </w:rPr>
        <w:t> </w:t>
      </w:r>
      <w:r>
        <w:rPr>
          <w:rFonts w:ascii="宋体" w:hAnsi="宋体" w:cs="宋体" w:eastAsia="宋体" w:hint="default"/>
        </w:rPr>
        <w:t>项，外观设计</w:t>
      </w:r>
      <w:r>
        <w:rPr>
          <w:rFonts w:ascii="宋体" w:hAnsi="宋体" w:cs="宋体" w:eastAsia="宋体" w:hint="default"/>
          <w:spacing w:val="-50"/>
        </w:rPr>
        <w:t> </w:t>
      </w:r>
      <w:r>
        <w:rPr>
          <w:rFonts w:ascii="Times New Roman" w:hAnsi="Times New Roman" w:cs="Times New Roman" w:eastAsia="Times New Roman" w:hint="default"/>
        </w:rPr>
        <w:t>44</w:t>
      </w:r>
      <w:r>
        <w:rPr>
          <w:rFonts w:ascii="Times New Roman" w:hAnsi="Times New Roman" w:cs="Times New Roman" w:eastAsia="Times New Roman" w:hint="default"/>
          <w:spacing w:val="11"/>
        </w:rPr>
        <w:t> </w:t>
      </w:r>
      <w:r>
        <w:rPr>
          <w:rFonts w:ascii="宋体" w:hAnsi="宋体" w:cs="宋体" w:eastAsia="宋体" w:hint="default"/>
        </w:rPr>
        <w:t>项；申请并获得计算机软件登记著作权</w:t>
      </w:r>
      <w:r>
        <w:rPr>
          <w:rFonts w:ascii="宋体" w:hAnsi="宋体" w:cs="宋体" w:eastAsia="宋体" w:hint="default"/>
          <w:spacing w:val="-49"/>
        </w:rPr>
        <w:t> </w:t>
      </w:r>
      <w:r>
        <w:rPr>
          <w:rFonts w:ascii="Times New Roman" w:hAnsi="Times New Roman" w:cs="Times New Roman" w:eastAsia="Times New Roman" w:hint="default"/>
        </w:rPr>
        <w:t>156</w:t>
      </w:r>
      <w:r>
        <w:rPr>
          <w:rFonts w:ascii="Times New Roman" w:hAnsi="Times New Roman" w:cs="Times New Roman" w:eastAsia="Times New Roman" w:hint="default"/>
          <w:spacing w:val="9"/>
        </w:rPr>
        <w:t> </w:t>
      </w:r>
      <w:r>
        <w:rPr>
          <w:rFonts w:ascii="宋体" w:hAnsi="宋体" w:cs="宋体" w:eastAsia="宋体" w:hint="default"/>
        </w:rPr>
        <w:t>项。共</w:t>
      </w:r>
    </w:p>
    <w:p>
      <w:pPr>
        <w:pStyle w:val="BodyText"/>
        <w:spacing w:line="311" w:lineRule="exact"/>
        <w:ind w:left="118" w:right="111"/>
        <w:jc w:val="left"/>
        <w:rPr>
          <w:rFonts w:ascii="宋体" w:hAnsi="宋体" w:cs="宋体" w:eastAsia="宋体" w:hint="default"/>
        </w:rPr>
      </w:pPr>
      <w:r>
        <w:rPr>
          <w:rFonts w:ascii="宋体" w:hAnsi="宋体" w:cs="宋体" w:eastAsia="宋体" w:hint="default"/>
        </w:rPr>
        <w:t>申请涉外专利</w:t>
      </w:r>
      <w:r>
        <w:rPr>
          <w:rFonts w:ascii="宋体" w:hAnsi="宋体" w:cs="宋体" w:eastAsia="宋体" w:hint="default"/>
          <w:spacing w:val="-61"/>
        </w:rPr>
        <w:t> </w:t>
      </w:r>
      <w:r>
        <w:rPr>
          <w:rFonts w:ascii="Times New Roman" w:hAnsi="Times New Roman" w:cs="Times New Roman" w:eastAsia="Times New Roman" w:hint="default"/>
        </w:rPr>
        <w:t>353</w:t>
      </w:r>
      <w:r>
        <w:rPr>
          <w:rFonts w:ascii="Times New Roman" w:hAnsi="Times New Roman" w:cs="Times New Roman" w:eastAsia="Times New Roman" w:hint="default"/>
          <w:spacing w:val="-1"/>
        </w:rPr>
        <w:t> </w:t>
      </w:r>
      <w:r>
        <w:rPr>
          <w:rFonts w:ascii="宋体" w:hAnsi="宋体" w:cs="宋体" w:eastAsia="宋体" w:hint="default"/>
        </w:rPr>
        <w:t>项，已获得外国发明专利权</w:t>
      </w:r>
      <w:r>
        <w:rPr>
          <w:rFonts w:ascii="宋体" w:hAnsi="宋体" w:cs="宋体" w:eastAsia="宋体" w:hint="default"/>
          <w:spacing w:val="-61"/>
        </w:rPr>
        <w:t> </w:t>
      </w:r>
      <w:r>
        <w:rPr>
          <w:rFonts w:ascii="Times New Roman" w:hAnsi="Times New Roman" w:cs="Times New Roman" w:eastAsia="Times New Roman" w:hint="default"/>
        </w:rPr>
        <w:t>76</w:t>
      </w:r>
      <w:r>
        <w:rPr>
          <w:rFonts w:ascii="Times New Roman" w:hAnsi="Times New Roman" w:cs="Times New Roman" w:eastAsia="Times New Roman" w:hint="default"/>
          <w:spacing w:val="-1"/>
        </w:rPr>
        <w:t> </w:t>
      </w:r>
      <w:r>
        <w:rPr>
          <w:rFonts w:ascii="宋体" w:hAnsi="宋体" w:cs="宋体" w:eastAsia="宋体" w:hint="default"/>
        </w:rPr>
        <w:t>项。</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rFonts w:ascii="宋体" w:hAnsi="宋体" w:cs="宋体" w:eastAsia="宋体" w:hint="default"/>
        </w:rPr>
        <w:t>年，公司还有数项科研成果</w:t>
      </w:r>
    </w:p>
    <w:p>
      <w:pPr>
        <w:pStyle w:val="BodyText"/>
        <w:spacing w:line="235" w:lineRule="auto"/>
        <w:ind w:left="118" w:right="111"/>
        <w:jc w:val="left"/>
        <w:rPr>
          <w:rFonts w:ascii="宋体" w:hAnsi="宋体" w:cs="宋体" w:eastAsia="宋体" w:hint="default"/>
        </w:rPr>
      </w:pPr>
      <w:r>
        <w:rPr>
          <w:rFonts w:ascii="宋体" w:hAnsi="宋体" w:cs="宋体" w:eastAsia="宋体" w:hint="default"/>
        </w:rPr>
        <w:t>分别列入国家</w:t>
      </w:r>
      <w:r>
        <w:rPr>
          <w:rFonts w:ascii="宋体" w:hAnsi="宋体" w:cs="宋体" w:eastAsia="宋体" w:hint="default"/>
          <w:spacing w:val="-73"/>
        </w:rPr>
        <w:t> </w:t>
      </w:r>
      <w:r>
        <w:rPr>
          <w:rFonts w:ascii="Times New Roman" w:hAnsi="Times New Roman" w:cs="Times New Roman" w:eastAsia="Times New Roman" w:hint="default"/>
        </w:rPr>
        <w:t>863</w:t>
      </w:r>
      <w:r>
        <w:rPr>
          <w:rFonts w:ascii="Times New Roman" w:hAnsi="Times New Roman" w:cs="Times New Roman" w:eastAsia="Times New Roman" w:hint="default"/>
          <w:spacing w:val="-13"/>
        </w:rPr>
        <w:t> </w:t>
      </w:r>
      <w:r>
        <w:rPr>
          <w:rFonts w:ascii="宋体" w:hAnsi="宋体" w:cs="宋体" w:eastAsia="宋体" w:hint="default"/>
        </w:rPr>
        <w:t>计划、国家科技支撑计划、国家发改委信息安全专项项目计划、国家 </w:t>
      </w:r>
      <w:r>
        <w:rPr>
          <w:rFonts w:ascii="宋体" w:hAnsi="宋体" w:cs="宋体" w:eastAsia="宋体" w:hint="default"/>
          <w:spacing w:val="5"/>
        </w:rPr>
        <w:t>发改委及工业与信息化部集成电路产业研究与开发专项、工业与信息化部电子发展基</w:t>
      </w:r>
      <w:r>
        <w:rPr>
          <w:rFonts w:ascii="宋体" w:hAnsi="宋体" w:cs="宋体" w:eastAsia="宋体" w:hint="default"/>
          <w:spacing w:val="5"/>
        </w:rPr>
        <w:t> </w:t>
      </w:r>
      <w:r>
        <w:rPr>
          <w:rFonts w:ascii="宋体" w:hAnsi="宋体" w:cs="宋体" w:eastAsia="宋体" w:hint="default"/>
        </w:rPr>
        <w:t>金、国家商务部出口研发项目、北京市工业促进局工业基金项目、北京市科委高成长企</w:t>
      </w:r>
      <w:r>
        <w:rPr>
          <w:rFonts w:ascii="宋体" w:hAnsi="宋体" w:cs="宋体" w:eastAsia="宋体" w:hint="default"/>
        </w:rPr>
        <w:t> </w:t>
      </w:r>
      <w:r>
        <w:rPr>
          <w:rFonts w:ascii="宋体" w:hAnsi="宋体" w:cs="宋体" w:eastAsia="宋体" w:hint="default"/>
          <w:spacing w:val="-5"/>
        </w:rPr>
        <w:t>业自主创新科技专项、国家重点新产品项目、北京市商务局出口研发项目等多个国家级、</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市级专项。</w:t>
      </w:r>
    </w:p>
    <w:p>
      <w:pPr>
        <w:spacing w:line="240" w:lineRule="auto" w:before="1"/>
        <w:rPr>
          <w:rFonts w:ascii="宋体" w:hAnsi="宋体" w:cs="宋体" w:eastAsia="宋体" w:hint="default"/>
          <w:sz w:val="22"/>
          <w:szCs w:val="22"/>
        </w:rPr>
      </w:pPr>
    </w:p>
    <w:p>
      <w:pPr>
        <w:pStyle w:val="BodyText"/>
        <w:spacing w:line="228" w:lineRule="auto"/>
        <w:ind w:left="118" w:right="227" w:firstLine="480"/>
        <w:jc w:val="both"/>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rFonts w:ascii="宋体" w:hAnsi="宋体" w:cs="宋体" w:eastAsia="宋体" w:hint="default"/>
        </w:rPr>
        <w:t>年，公司在各项产品质量提升方面加大力度，通过建立科学规范的质量管 理体系，不断打造客户满意的产品。本年度，公司自主研发的</w:t>
      </w:r>
      <w:r>
        <w:rPr>
          <w:rFonts w:ascii="宋体" w:hAnsi="宋体" w:cs="宋体" w:eastAsia="宋体" w:hint="default"/>
          <w:spacing w:val="-83"/>
        </w:rPr>
        <w:t> </w:t>
      </w:r>
      <w:r>
        <w:rPr>
          <w:rFonts w:ascii="Times New Roman" w:hAnsi="Times New Roman" w:cs="Times New Roman" w:eastAsia="Times New Roman" w:hint="default"/>
        </w:rPr>
        <w:t>JB-QBZL-TF9610</w:t>
      </w:r>
      <w:r>
        <w:rPr>
          <w:rFonts w:ascii="Times New Roman" w:hAnsi="Times New Roman" w:cs="Times New Roman" w:eastAsia="Times New Roman" w:hint="default"/>
          <w:spacing w:val="-23"/>
        </w:rPr>
        <w:t> </w:t>
      </w:r>
      <w:r>
        <w:rPr>
          <w:rFonts w:ascii="宋体" w:hAnsi="宋体" w:cs="宋体" w:eastAsia="宋体" w:hint="default"/>
        </w:rPr>
        <w:t>火灾报 </w:t>
      </w:r>
      <w:r>
        <w:rPr>
          <w:rFonts w:ascii="宋体" w:hAnsi="宋体" w:cs="宋体" w:eastAsia="宋体" w:hint="default"/>
          <w:spacing w:val="3"/>
        </w:rPr>
        <w:t>警控制器等八款消防产品获得</w:t>
      </w:r>
      <w:r>
        <w:rPr>
          <w:rFonts w:ascii="宋体" w:hAnsi="宋体" w:cs="宋体" w:eastAsia="宋体" w:hint="default"/>
          <w:spacing w:val="16"/>
        </w:rPr>
        <w:t> </w:t>
      </w:r>
      <w:r>
        <w:rPr>
          <w:rFonts w:ascii="Times New Roman" w:hAnsi="Times New Roman" w:cs="Times New Roman" w:eastAsia="Times New Roman" w:hint="default"/>
        </w:rPr>
        <w:t>3C</w:t>
      </w:r>
      <w:r>
        <w:rPr>
          <w:rFonts w:ascii="Times New Roman" w:hAnsi="Times New Roman" w:cs="Times New Roman" w:eastAsia="Times New Roman" w:hint="default"/>
          <w:spacing w:val="16"/>
        </w:rPr>
        <w:t> </w:t>
      </w:r>
      <w:r>
        <w:rPr>
          <w:rFonts w:ascii="宋体" w:hAnsi="宋体" w:cs="宋体" w:eastAsia="宋体" w:hint="default"/>
          <w:spacing w:val="3"/>
        </w:rPr>
        <w:t>认证；公司光电事业部、水务工程公司均顺利通过</w:t>
      </w:r>
      <w:r>
        <w:rPr>
          <w:rFonts w:ascii="宋体" w:hAnsi="宋体" w:cs="宋体" w:eastAsia="宋体" w:hint="default"/>
          <w:spacing w:val="-118"/>
        </w:rPr>
        <w:t> </w:t>
      </w:r>
      <w:r>
        <w:rPr>
          <w:rFonts w:ascii="宋体" w:hAnsi="宋体" w:cs="宋体" w:eastAsia="宋体" w:hint="default"/>
          <w:spacing w:val="-118"/>
        </w:rPr>
      </w:r>
      <w:r>
        <w:rPr>
          <w:rFonts w:ascii="Times New Roman" w:hAnsi="Times New Roman" w:cs="Times New Roman" w:eastAsia="Times New Roman" w:hint="default"/>
        </w:rPr>
        <w:t>ISO9001</w:t>
      </w:r>
      <w:r>
        <w:rPr>
          <w:rFonts w:ascii="宋体" w:hAnsi="宋体" w:cs="宋体" w:eastAsia="宋体" w:hint="default"/>
        </w:rPr>
        <w:t>：</w:t>
      </w:r>
      <w:r>
        <w:rPr>
          <w:rFonts w:ascii="Times New Roman" w:hAnsi="Times New Roman" w:cs="Times New Roman" w:eastAsia="Times New Roman" w:hint="default"/>
        </w:rPr>
        <w:t>2000</w:t>
      </w:r>
      <w:r>
        <w:rPr>
          <w:rFonts w:ascii="Times New Roman" w:hAnsi="Times New Roman" w:cs="Times New Roman" w:eastAsia="Times New Roman" w:hint="default"/>
          <w:spacing w:val="-18"/>
        </w:rPr>
        <w:t> </w:t>
      </w:r>
      <w:r>
        <w:rPr>
          <w:rFonts w:ascii="宋体" w:hAnsi="宋体" w:cs="宋体" w:eastAsia="宋体" w:hint="default"/>
        </w:rPr>
        <w:t>质量管理体系的复审，并扩大了原审核范围；同时公司总部设立了产品 </w:t>
      </w:r>
      <w:r>
        <w:rPr>
          <w:rFonts w:ascii="宋体" w:hAnsi="宋体" w:cs="宋体" w:eastAsia="宋体" w:hint="default"/>
          <w:spacing w:val="-3"/>
        </w:rPr>
        <w:t>质量审核组，通过定点检查、抽查、参与市场反馈等方式，对公司各个业务部门产品进</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行质量审核，并通过下发改进通知、提出纠正要求、改正建议等方式进一步严格了产品</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5"/>
        </w:rPr>
        <w:t>质量，完善了质量管理体系。</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22"/>
        </w:rPr>
        <w:t> </w:t>
      </w:r>
      <w:r>
        <w:rPr>
          <w:rFonts w:ascii="宋体" w:hAnsi="宋体" w:cs="宋体" w:eastAsia="宋体" w:hint="default"/>
        </w:rPr>
        <w:t>年，公司还获得了北京质量协会及北京用户满意工程 联合推进办公室授予的“用于满意企业”荣誉称号，公司已经连续两届获此殊荣。</w:t>
      </w:r>
    </w:p>
    <w:p>
      <w:pPr>
        <w:spacing w:line="570" w:lineRule="atLeast" w:before="38"/>
        <w:ind w:left="598" w:right="111"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8"/>
          <w:sz w:val="24"/>
          <w:szCs w:val="24"/>
        </w:rPr>
        <w:t> </w:t>
      </w:r>
      <w:r>
        <w:rPr>
          <w:rFonts w:ascii="宋体" w:hAnsi="宋体" w:cs="宋体" w:eastAsia="宋体" w:hint="default"/>
          <w:b/>
          <w:bCs/>
          <w:sz w:val="24"/>
          <w:szCs w:val="24"/>
        </w:rPr>
        <w:t>立足环保节能产业，致力于环境治理工作，建设节约型企业</w:t>
      </w:r>
      <w:r>
        <w:rPr>
          <w:rFonts w:ascii="宋体" w:hAnsi="宋体" w:cs="宋体" w:eastAsia="宋体" w:hint="default"/>
          <w:b/>
          <w:bCs/>
          <w:w w:val="99"/>
          <w:sz w:val="24"/>
          <w:szCs w:val="24"/>
        </w:rPr>
        <w:t> </w:t>
      </w:r>
      <w:r>
        <w:rPr>
          <w:rFonts w:ascii="宋体" w:hAnsi="宋体" w:cs="宋体" w:eastAsia="宋体" w:hint="default"/>
          <w:spacing w:val="-2"/>
          <w:sz w:val="24"/>
          <w:szCs w:val="24"/>
        </w:rPr>
        <w:t>公司一直坚持绿色发展，以“节能、节水、环保”为发展理念，不断研发前沿的节</w:t>
      </w:r>
    </w:p>
    <w:p>
      <w:pPr>
        <w:pStyle w:val="BodyText"/>
        <w:spacing w:line="310" w:lineRule="exact" w:before="30"/>
        <w:ind w:left="118" w:right="111"/>
        <w:jc w:val="left"/>
        <w:rPr>
          <w:rFonts w:ascii="宋体" w:hAnsi="宋体" w:cs="宋体" w:eastAsia="宋体" w:hint="default"/>
        </w:rPr>
      </w:pPr>
      <w:r>
        <w:rPr>
          <w:rFonts w:ascii="宋体" w:hAnsi="宋体" w:cs="宋体" w:eastAsia="宋体" w:hint="default"/>
          <w:spacing w:val="-3"/>
        </w:rPr>
        <w:t>能环保技术，形成了烟气处理、水处理、建筑节能等环保支柱产业，助力节能减排和科</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学发展，致力于环境治理、循环经济和能源综合利用工作。</w:t>
      </w:r>
    </w:p>
    <w:p>
      <w:pPr>
        <w:spacing w:line="240" w:lineRule="auto" w:before="7"/>
        <w:rPr>
          <w:rFonts w:ascii="宋体" w:hAnsi="宋体" w:cs="宋体" w:eastAsia="宋体" w:hint="default"/>
          <w:sz w:val="19"/>
          <w:szCs w:val="19"/>
        </w:rPr>
      </w:pPr>
    </w:p>
    <w:p>
      <w:pPr>
        <w:pStyle w:val="BodyText"/>
        <w:spacing w:line="230" w:lineRule="auto"/>
        <w:ind w:left="118" w:right="232" w:firstLine="480"/>
        <w:jc w:val="both"/>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、公司将能源环境产业确立为未来的主要发展方向之一，不但致力于通过发展产</w:t>
      </w:r>
      <w:r>
        <w:rPr>
          <w:rFonts w:ascii="宋体" w:hAnsi="宋体" w:cs="宋体" w:eastAsia="宋体" w:hint="default"/>
          <w:spacing w:val="1"/>
        </w:rPr>
        <w:t> </w:t>
      </w:r>
      <w:r>
        <w:rPr>
          <w:rFonts w:ascii="宋体" w:hAnsi="宋体" w:cs="宋体" w:eastAsia="宋体" w:hint="default"/>
          <w:spacing w:val="-2"/>
        </w:rPr>
        <w:t>业谋求经济效益，更一直专注于通过先进技术的应用和推广，服务社会，打造节能型社</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7"/>
        </w:rPr>
        <w:t>会。</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24"/>
        </w:rPr>
        <w:t> </w:t>
      </w:r>
      <w:r>
        <w:rPr>
          <w:rFonts w:ascii="宋体" w:hAnsi="宋体" w:cs="宋体" w:eastAsia="宋体" w:hint="default"/>
          <w:spacing w:val="-3"/>
        </w:rPr>
        <w:t>年，公司进一步推出了冷热全效新型热泵空调机组、板式高频大型臭氧发生器</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3"/>
        </w:rPr>
        <w:t>等节能环保新产品，同时，公司“可再生能源建筑应用产业化基地”获得国家住房和城</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乡建设部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rFonts w:ascii="宋体" w:hAnsi="宋体" w:cs="宋体" w:eastAsia="宋体" w:hint="default"/>
        </w:rPr>
        <w:t>年科学技术项目计划立项，并还获得六项国家批准的可再生能源建筑应 用示范项目。</w:t>
      </w:r>
    </w:p>
    <w:p>
      <w:pPr>
        <w:spacing w:line="240" w:lineRule="auto" w:before="1"/>
        <w:rPr>
          <w:rFonts w:ascii="宋体" w:hAnsi="宋体" w:cs="宋体" w:eastAsia="宋体" w:hint="default"/>
          <w:sz w:val="22"/>
          <w:szCs w:val="22"/>
        </w:rPr>
      </w:pPr>
    </w:p>
    <w:p>
      <w:pPr>
        <w:pStyle w:val="BodyText"/>
        <w:spacing w:line="228" w:lineRule="auto"/>
        <w:ind w:left="118" w:right="232" w:firstLine="480"/>
        <w:jc w:val="both"/>
        <w:rPr>
          <w:rFonts w:ascii="Times New Roman" w:hAnsi="Times New Roman" w:cs="Times New Roman" w:eastAsia="Times New Roman" w:hint="default"/>
        </w:rPr>
      </w:pPr>
      <w:r>
        <w:rPr>
          <w:rFonts w:ascii="Times New Roman" w:hAnsi="Times New Roman" w:cs="Times New Roman" w:eastAsia="Times New Roman" w:hint="default"/>
        </w:rPr>
        <w:t>2</w:t>
      </w:r>
      <w:r>
        <w:rPr>
          <w:rFonts w:ascii="宋体" w:hAnsi="宋体" w:cs="宋体" w:eastAsia="宋体" w:hint="default"/>
        </w:rPr>
        <w:t>、公司是国内最大的综合环保治理工程系统服务提供商之一，业务领域涉及烟气</w:t>
      </w:r>
      <w:r>
        <w:rPr>
          <w:rFonts w:ascii="宋体" w:hAnsi="宋体" w:cs="宋体" w:eastAsia="宋体" w:hint="default"/>
          <w:spacing w:val="1"/>
        </w:rPr>
        <w:t> </w:t>
      </w:r>
      <w:r>
        <w:rPr>
          <w:rFonts w:ascii="宋体" w:hAnsi="宋体" w:cs="宋体" w:eastAsia="宋体" w:hint="default"/>
          <w:spacing w:val="-3"/>
        </w:rPr>
        <w:t>脱硫、脱硝、除尘、垃圾处理、粉煤灰综合利用、水务等诸多方面。</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6"/>
        </w:rPr>
        <w:t> </w:t>
      </w:r>
      <w:r>
        <w:rPr>
          <w:rFonts w:ascii="宋体" w:hAnsi="宋体" w:cs="宋体" w:eastAsia="宋体" w:hint="default"/>
          <w:spacing w:val="-3"/>
        </w:rPr>
        <w:t>年，公司承接</w:t>
      </w:r>
      <w:r>
        <w:rPr>
          <w:rFonts w:ascii="宋体" w:hAnsi="宋体" w:cs="宋体" w:eastAsia="宋体" w:hint="default"/>
        </w:rPr>
        <w:t> 了蔚县发电厂</w:t>
      </w:r>
      <w:r>
        <w:rPr>
          <w:rFonts w:ascii="宋体" w:hAnsi="宋体" w:cs="宋体" w:eastAsia="宋体" w:hint="default"/>
          <w:spacing w:val="-53"/>
        </w:rPr>
        <w:t> </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660MW</w:t>
      </w:r>
      <w:r>
        <w:rPr>
          <w:rFonts w:ascii="Times New Roman" w:hAnsi="Times New Roman" w:cs="Times New Roman" w:eastAsia="Times New Roman" w:hint="default"/>
          <w:spacing w:val="5"/>
        </w:rPr>
        <w:t> </w:t>
      </w:r>
      <w:r>
        <w:rPr>
          <w:rFonts w:ascii="宋体" w:hAnsi="宋体" w:cs="宋体" w:eastAsia="宋体" w:hint="default"/>
        </w:rPr>
        <w:t>机组烟气脱硫工程、唐山新区热电厂四期扩建</w:t>
      </w:r>
      <w:r>
        <w:rPr>
          <w:rFonts w:ascii="宋体" w:hAnsi="宋体" w:cs="宋体" w:eastAsia="宋体" w:hint="default"/>
          <w:spacing w:val="-53"/>
        </w:rPr>
        <w:t> </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300MW</w:t>
      </w:r>
      <w:r>
        <w:rPr>
          <w:rFonts w:ascii="Times New Roman" w:hAnsi="Times New Roman" w:cs="Times New Roman" w:eastAsia="Times New Roman" w:hint="default"/>
          <w:spacing w:val="5"/>
        </w:rPr>
        <w:t> </w:t>
      </w:r>
      <w:r>
        <w:rPr>
          <w:rFonts w:ascii="宋体" w:hAnsi="宋体" w:cs="宋体" w:eastAsia="宋体" w:hint="default"/>
        </w:rPr>
        <w:t>供 </w:t>
      </w:r>
      <w:r>
        <w:rPr>
          <w:rFonts w:ascii="宋体" w:hAnsi="宋体" w:cs="宋体" w:eastAsia="宋体" w:hint="default"/>
          <w:spacing w:val="-2"/>
        </w:rPr>
        <w:t>热机组脱硫工程、鸡西市污水治理工程、唐山丰润污水处理厂扩建工程中水回用项目等</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众多项目，还承担了国家“</w:t>
      </w:r>
      <w:r>
        <w:rPr>
          <w:rFonts w:ascii="Times New Roman" w:hAnsi="Times New Roman" w:cs="Times New Roman" w:eastAsia="Times New Roman" w:hint="default"/>
          <w:spacing w:val="-3"/>
        </w:rPr>
        <w:t>863</w:t>
      </w:r>
      <w:r>
        <w:rPr>
          <w:rFonts w:ascii="宋体" w:hAnsi="宋体" w:cs="宋体" w:eastAsia="宋体" w:hint="default"/>
          <w:spacing w:val="-3"/>
        </w:rPr>
        <w:t>”项目“加氢站示范工程”</w:t>
      </w:r>
      <w:r>
        <w:rPr>
          <w:rFonts w:ascii="Times New Roman" w:hAnsi="Times New Roman" w:cs="Times New Roman" w:eastAsia="Times New Roman" w:hint="default"/>
          <w:spacing w:val="-3"/>
        </w:rPr>
        <w:t>(</w:t>
      </w:r>
      <w:r>
        <w:rPr>
          <w:rFonts w:ascii="宋体" w:hAnsi="宋体" w:cs="宋体" w:eastAsia="宋体" w:hint="default"/>
          <w:spacing w:val="-3"/>
        </w:rPr>
        <w:t>天然气重整制氢部分</w:t>
      </w:r>
      <w:r>
        <w:rPr>
          <w:rFonts w:ascii="Times New Roman" w:hAnsi="Times New Roman" w:cs="Times New Roman" w:eastAsia="Times New Roman" w:hint="default"/>
          <w:spacing w:val="-3"/>
        </w:rPr>
        <w:t>)</w:t>
      </w:r>
      <w:r>
        <w:rPr>
          <w:rFonts w:ascii="宋体" w:hAnsi="宋体" w:cs="宋体" w:eastAsia="宋体" w:hint="default"/>
          <w:spacing w:val="-3"/>
        </w:rPr>
        <w:t>，并在</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奥运期间投入使用，为参加奥运会的</w:t>
      </w:r>
      <w:r>
        <w:rPr>
          <w:rFonts w:ascii="宋体" w:hAnsi="宋体" w:cs="宋体" w:eastAsia="宋体" w:hint="default"/>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rFonts w:ascii="宋体" w:hAnsi="宋体" w:cs="宋体" w:eastAsia="宋体" w:hint="default"/>
        </w:rPr>
        <w:t>辆燃料电池大客车</w:t>
      </w:r>
      <w:r>
        <w:rPr>
          <w:rFonts w:ascii="Times New Roman" w:hAnsi="Times New Roman" w:cs="Times New Roman" w:eastAsia="Times New Roman" w:hint="default"/>
        </w:rPr>
        <w:t>(</w:t>
      </w:r>
      <w:r>
        <w:rPr>
          <w:rFonts w:ascii="宋体" w:hAnsi="宋体" w:cs="宋体" w:eastAsia="宋体" w:hint="default"/>
        </w:rPr>
        <w:t>奥运会马拉松比赛保障用车</w:t>
      </w:r>
      <w:r>
        <w:rPr>
          <w:rFonts w:ascii="Times New Roman" w:hAnsi="Times New Roman" w:cs="Times New Roman" w:eastAsia="Times New Roman" w:hint="default"/>
        </w:rPr>
        <w:t>)</w:t>
      </w:r>
    </w:p>
    <w:p>
      <w:pPr>
        <w:pStyle w:val="BodyText"/>
        <w:spacing w:line="230" w:lineRule="auto"/>
        <w:ind w:left="118" w:right="234"/>
        <w:jc w:val="both"/>
        <w:rPr>
          <w:rFonts w:ascii="宋体" w:hAnsi="宋体" w:cs="宋体" w:eastAsia="宋体" w:hint="default"/>
        </w:rPr>
      </w:pPr>
      <w:r>
        <w:rPr>
          <w:rFonts w:ascii="宋体" w:hAnsi="宋体" w:cs="宋体" w:eastAsia="宋体" w:hint="default"/>
        </w:rPr>
        <w:t>和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rFonts w:ascii="宋体" w:hAnsi="宋体" w:cs="宋体" w:eastAsia="宋体" w:hint="default"/>
        </w:rPr>
        <w:t>辆燃料电池小轿车提供氢气燃料加注服务。公司通过一系列环保项目的实施，极 </w:t>
      </w:r>
      <w:r>
        <w:rPr>
          <w:rFonts w:ascii="宋体" w:hAnsi="宋体" w:cs="宋体" w:eastAsia="宋体" w:hint="default"/>
          <w:spacing w:val="-2"/>
        </w:rPr>
        <w:t>大的降低了对大气和水资源的污染，探索了新能源的商业应用，以实际行动阐述了发展</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与能源环境的辩证同统一。</w:t>
      </w:r>
    </w:p>
    <w:p>
      <w:pPr>
        <w:spacing w:line="240" w:lineRule="auto" w:before="12"/>
        <w:rPr>
          <w:rFonts w:ascii="宋体" w:hAnsi="宋体" w:cs="宋体" w:eastAsia="宋体" w:hint="default"/>
          <w:sz w:val="20"/>
          <w:szCs w:val="20"/>
        </w:rPr>
      </w:pPr>
    </w:p>
    <w:p>
      <w:pPr>
        <w:pStyle w:val="BodyText"/>
        <w:spacing w:line="240" w:lineRule="auto"/>
        <w:ind w:left="598" w:right="111"/>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、公司一直坚持生产和商务活动过程中的环境友好性。在公司日常经营方面，一</w:t>
      </w:r>
    </w:p>
    <w:p>
      <w:pPr>
        <w:spacing w:after="0" w:line="240" w:lineRule="auto"/>
        <w:jc w:val="left"/>
        <w:rPr>
          <w:rFonts w:ascii="宋体" w:hAnsi="宋体" w:cs="宋体" w:eastAsia="宋体" w:hint="default"/>
        </w:rPr>
        <w:sectPr>
          <w:headerReference w:type="default" r:id="rId80"/>
          <w:footerReference w:type="default" r:id="rId81"/>
          <w:pgSz w:w="11910" w:h="16840"/>
          <w:pgMar w:header="0" w:footer="982" w:top="1600" w:bottom="1180" w:left="1300" w:right="1180"/>
          <w:pgNumType w:start="3"/>
        </w:sectPr>
      </w:pPr>
    </w:p>
    <w:p>
      <w:pPr>
        <w:pStyle w:val="BodyText"/>
        <w:spacing w:line="237" w:lineRule="auto" w:before="65"/>
        <w:ind w:left="118" w:right="111"/>
        <w:jc w:val="left"/>
        <w:rPr>
          <w:rFonts w:ascii="宋体" w:hAnsi="宋体" w:cs="宋体" w:eastAsia="宋体" w:hint="default"/>
        </w:rPr>
      </w:pPr>
      <w:r>
        <w:rPr>
          <w:rFonts w:ascii="宋体" w:hAnsi="宋体" w:cs="宋体" w:eastAsia="宋体" w:hint="default"/>
        </w:rPr>
        <w:t>直注重提高环境意识，建设节约型企业。公司历来重视成本控制，倡导员工提高节约意 </w:t>
      </w:r>
      <w:r>
        <w:rPr>
          <w:rFonts w:ascii="宋体" w:hAnsi="宋体" w:cs="宋体" w:eastAsia="宋体" w:hint="default"/>
          <w:spacing w:val="-6"/>
        </w:rPr>
        <w:t>识，节约能源，降低能耗，借助信息化手段，推动无纸化办公，节约能源和纸张等资源，</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rPr>
        <w:t>在商业活动中尽量使用可再生资源。在产品生产方面，公司一直坚持严格的环境标准，</w:t>
      </w:r>
      <w:r>
        <w:rPr>
          <w:rFonts w:ascii="宋体" w:hAnsi="宋体" w:cs="宋体" w:eastAsia="宋体" w:hint="default"/>
        </w:rPr>
        <w:t> 以减少和避免对用户健康和安全所造成的损害，同时还对供应商的零部件提出严格的环 保要求。在产业基地建设方面，公司严格按照要求履行环评审批程序，投入资金和技术 用于降低产品生产对于周围环境的影响，切实推进与环境可持续和谐发展。</w:t>
      </w:r>
    </w:p>
    <w:p>
      <w:pPr>
        <w:spacing w:line="570" w:lineRule="atLeast" w:before="36"/>
        <w:ind w:left="598" w:right="111"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四</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秉承科技服务社会宗旨，积极投身公益事业</w:t>
      </w:r>
      <w:r>
        <w:rPr>
          <w:rFonts w:ascii="宋体" w:hAnsi="宋体" w:cs="宋体" w:eastAsia="宋体" w:hint="default"/>
          <w:b/>
          <w:bCs/>
          <w:w w:val="99"/>
          <w:sz w:val="24"/>
          <w:szCs w:val="24"/>
        </w:rPr>
        <w:t> </w:t>
      </w:r>
      <w:r>
        <w:rPr>
          <w:rFonts w:ascii="宋体" w:hAnsi="宋体" w:cs="宋体" w:eastAsia="宋体" w:hint="default"/>
          <w:spacing w:val="-2"/>
          <w:sz w:val="24"/>
          <w:szCs w:val="24"/>
        </w:rPr>
        <w:t>企业社会责任运动已成为无法回避的发展潮流，公司作为企业公民，肩负着“奉献</w:t>
      </w:r>
    </w:p>
    <w:p>
      <w:pPr>
        <w:pStyle w:val="BodyText"/>
        <w:spacing w:line="230" w:lineRule="auto" w:before="8"/>
        <w:ind w:left="118" w:right="232"/>
        <w:jc w:val="both"/>
        <w:rPr>
          <w:rFonts w:ascii="宋体" w:hAnsi="宋体" w:cs="宋体" w:eastAsia="宋体" w:hint="default"/>
        </w:rPr>
      </w:pPr>
      <w:r>
        <w:rPr>
          <w:rFonts w:ascii="宋体" w:hAnsi="宋体" w:cs="宋体" w:eastAsia="宋体" w:hint="default"/>
          <w:spacing w:val="-4"/>
        </w:rPr>
        <w:t>社会、服务大众、协同发展、共建和谐”的重大使命。</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1"/>
        </w:rPr>
        <w:t> </w:t>
      </w:r>
      <w:r>
        <w:rPr>
          <w:rFonts w:ascii="宋体" w:hAnsi="宋体" w:cs="宋体" w:eastAsia="宋体" w:hint="default"/>
          <w:spacing w:val="-3"/>
        </w:rPr>
        <w:t>年，公司继续科技服务社会</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spacing w:val="-3"/>
        </w:rPr>
        <w:t>宗旨，积极投身社会公益事业，在服务奥运、抗震救灾、助力教育工程等方面不断投入</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力量。尤其在面对 </w:t>
      </w:r>
      <w:r>
        <w:rPr>
          <w:rFonts w:ascii="Times New Roman" w:hAnsi="Times New Roman" w:cs="Times New Roman" w:eastAsia="Times New Roman" w:hint="default"/>
        </w:rPr>
        <w:t>08</w:t>
      </w:r>
      <w:r>
        <w:rPr>
          <w:rFonts w:ascii="Times New Roman" w:hAnsi="Times New Roman" w:cs="Times New Roman" w:eastAsia="Times New Roman" w:hint="default"/>
          <w:spacing w:val="8"/>
        </w:rPr>
        <w:t> </w:t>
      </w:r>
      <w:r>
        <w:rPr>
          <w:rFonts w:ascii="宋体" w:hAnsi="宋体" w:cs="宋体" w:eastAsia="宋体" w:hint="default"/>
        </w:rPr>
        <w:t>年罕见的地震灾害面前，公司及公司全体员工采取实际行动，承 担社会责任，通过各种方式积极参与救灾。</w:t>
      </w:r>
    </w:p>
    <w:p>
      <w:pPr>
        <w:spacing w:line="240" w:lineRule="auto" w:before="10"/>
        <w:rPr>
          <w:rFonts w:ascii="宋体" w:hAnsi="宋体" w:cs="宋体" w:eastAsia="宋体" w:hint="default"/>
          <w:sz w:val="21"/>
          <w:szCs w:val="21"/>
        </w:rPr>
      </w:pPr>
    </w:p>
    <w:p>
      <w:pPr>
        <w:pStyle w:val="BodyText"/>
        <w:spacing w:line="230" w:lineRule="auto"/>
        <w:ind w:left="118" w:right="111" w:firstLine="48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rFonts w:ascii="宋体" w:hAnsi="宋体" w:cs="宋体" w:eastAsia="宋体" w:hint="default"/>
        </w:rPr>
        <w:t>年，我国遭遇了极为罕见的自然灾害，南方雪灾、汶川大地震，给人民生 </w:t>
      </w:r>
      <w:r>
        <w:rPr>
          <w:rFonts w:ascii="宋体" w:hAnsi="宋体" w:cs="宋体" w:eastAsia="宋体" w:hint="default"/>
          <w:spacing w:val="-5"/>
        </w:rPr>
        <w:t>命财产安全带了了巨大的损害。面对灾难，公司立即展开行动，秉承科技服务社会理念，</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4"/>
        </w:rPr>
        <w:t>充分发挥相关产业技术优势，积极支援灾区。在</w:t>
      </w:r>
      <w:r>
        <w:rPr>
          <w:rFonts w:ascii="宋体" w:hAnsi="宋体" w:cs="宋体" w:eastAsia="宋体" w:hint="default"/>
          <w:spacing w:val="-57"/>
        </w:rPr>
        <w:t> </w:t>
      </w:r>
      <w:r>
        <w:rPr>
          <w:rFonts w:ascii="Times New Roman" w:hAnsi="Times New Roman" w:cs="Times New Roman" w:eastAsia="Times New Roman" w:hint="default"/>
        </w:rPr>
        <w:t>5.12</w:t>
      </w:r>
      <w:r>
        <w:rPr>
          <w:rFonts w:ascii="Times New Roman" w:hAnsi="Times New Roman" w:cs="Times New Roman" w:eastAsia="Times New Roman" w:hint="default"/>
          <w:spacing w:val="3"/>
        </w:rPr>
        <w:t> </w:t>
      </w:r>
      <w:r>
        <w:rPr>
          <w:rFonts w:ascii="宋体" w:hAnsi="宋体" w:cs="宋体" w:eastAsia="宋体" w:hint="default"/>
          <w:spacing w:val="-3"/>
        </w:rPr>
        <w:t>汶川大地震发生后，公司下属同方</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工业公司第一时间紧急为救援部队配备了</w:t>
      </w:r>
      <w:r>
        <w:rPr>
          <w:rFonts w:ascii="宋体" w:hAnsi="宋体" w:cs="宋体" w:eastAsia="宋体" w:hint="default"/>
          <w:spacing w:val="-58"/>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rFonts w:ascii="宋体" w:hAnsi="宋体" w:cs="宋体" w:eastAsia="宋体" w:hint="default"/>
          <w:spacing w:val="-8"/>
        </w:rPr>
        <w:t>余台“北斗一号”终端机、</w:t>
      </w:r>
      <w:r>
        <w:rPr>
          <w:rFonts w:ascii="Times New Roman" w:hAnsi="Times New Roman" w:cs="Times New Roman" w:eastAsia="Times New Roman" w:hint="default"/>
          <w:spacing w:val="-8"/>
        </w:rPr>
        <w:t>1500</w:t>
      </w:r>
      <w:r>
        <w:rPr>
          <w:rFonts w:ascii="Times New Roman" w:hAnsi="Times New Roman" w:cs="Times New Roman" w:eastAsia="Times New Roman" w:hint="default"/>
          <w:spacing w:val="2"/>
        </w:rPr>
        <w:t> </w:t>
      </w:r>
      <w:r>
        <w:rPr>
          <w:rFonts w:ascii="宋体" w:hAnsi="宋体" w:cs="宋体" w:eastAsia="宋体" w:hint="default"/>
        </w:rPr>
        <w:t>多部专用</w:t>
      </w:r>
      <w:r>
        <w:rPr>
          <w:rFonts w:ascii="宋体" w:hAnsi="宋体" w:cs="宋体" w:eastAsia="宋体" w:hint="default"/>
          <w:spacing w:val="-115"/>
        </w:rPr>
        <w:t> </w:t>
      </w:r>
      <w:r>
        <w:rPr>
          <w:rFonts w:ascii="宋体" w:hAnsi="宋体" w:cs="宋体" w:eastAsia="宋体" w:hint="default"/>
        </w:rPr>
        <w:t>手机，实现了各点位之间、点位与北京之间的直线联络；公司水务部门提供了一体式饮</w:t>
      </w:r>
      <w:r>
        <w:rPr>
          <w:rFonts w:ascii="宋体" w:hAnsi="宋体" w:cs="宋体" w:eastAsia="宋体" w:hint="default"/>
        </w:rPr>
        <w:t> 水机以及反渗透设备，为灾区用水安全提供了保障；公司下属的泰豪科技在</w:t>
      </w:r>
      <w:r>
        <w:rPr>
          <w:rFonts w:ascii="宋体" w:hAnsi="宋体" w:cs="宋体" w:eastAsia="宋体" w:hint="default"/>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rFonts w:ascii="宋体" w:hAnsi="宋体" w:cs="宋体" w:eastAsia="宋体" w:hint="default"/>
        </w:rPr>
        <w:t>月</w:t>
      </w:r>
      <w:r>
        <w:rPr>
          <w:rFonts w:ascii="宋体" w:hAnsi="宋体" w:cs="宋体" w:eastAsia="宋体" w:hint="default"/>
          <w:spacing w:val="-42"/>
        </w:rPr>
        <w:t> </w:t>
      </w: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rFonts w:ascii="宋体" w:hAnsi="宋体" w:cs="宋体" w:eastAsia="宋体" w:hint="default"/>
        </w:rPr>
        <w:t>日</w:t>
      </w:r>
    </w:p>
    <w:p>
      <w:pPr>
        <w:pStyle w:val="BodyText"/>
        <w:spacing w:line="228" w:lineRule="auto"/>
        <w:ind w:left="118" w:right="185"/>
        <w:jc w:val="both"/>
        <w:rPr>
          <w:rFonts w:ascii="宋体" w:hAnsi="宋体" w:cs="宋体" w:eastAsia="宋体" w:hint="default"/>
        </w:rPr>
      </w:pPr>
      <w:r>
        <w:rPr>
          <w:rFonts w:ascii="宋体" w:hAnsi="宋体" w:cs="宋体" w:eastAsia="宋体" w:hint="default"/>
        </w:rPr>
        <w:t>即将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rFonts w:ascii="宋体" w:hAnsi="宋体" w:cs="宋体" w:eastAsia="宋体" w:hint="default"/>
        </w:rPr>
        <w:t>台各种功率的应急发电机组和照明设施运抵灾区，为救灾提供应急电源服务； </w:t>
      </w:r>
      <w:r>
        <w:rPr>
          <w:rFonts w:ascii="宋体" w:hAnsi="宋体" w:cs="宋体" w:eastAsia="宋体" w:hint="default"/>
          <w:spacing w:val="-3"/>
        </w:rPr>
        <w:t>公司计算机部门联合中国儿童少年基金会、四川省教育厅启动“爱心书包”行动，为灾</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区建立</w:t>
      </w:r>
      <w:r>
        <w:rPr>
          <w:rFonts w:ascii="宋体" w:hAnsi="宋体" w:cs="宋体" w:eastAsia="宋体" w:hint="default"/>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所同方爱心小学并提供</w:t>
      </w:r>
      <w:r>
        <w:rPr>
          <w:rFonts w:ascii="宋体" w:hAnsi="宋体" w:cs="宋体" w:eastAsia="宋体" w:hint="default"/>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宋体" w:hAnsi="宋体" w:cs="宋体" w:eastAsia="宋体" w:hint="default"/>
          <w:spacing w:val="-4"/>
        </w:rPr>
        <w:t>万套爱心书包和学习用品，并在全国</w:t>
      </w:r>
      <w:r>
        <w:rPr>
          <w:rFonts w:ascii="宋体" w:hAnsi="宋体" w:cs="宋体" w:eastAsia="宋体" w:hint="default"/>
          <w:spacing w:val="-5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rFonts w:ascii="宋体" w:hAnsi="宋体" w:cs="宋体" w:eastAsia="宋体" w:hint="default"/>
        </w:rPr>
        <w:t>家代理商 </w:t>
      </w:r>
      <w:r>
        <w:rPr>
          <w:rFonts w:ascii="宋体" w:hAnsi="宋体" w:cs="宋体" w:eastAsia="宋体" w:hint="default"/>
          <w:spacing w:val="-3"/>
        </w:rPr>
        <w:t>合作伙伴中发起“</w:t>
      </w:r>
      <w:r>
        <w:rPr>
          <w:rFonts w:ascii="Times New Roman" w:hAnsi="Times New Roman" w:cs="Times New Roman" w:eastAsia="Times New Roman" w:hint="default"/>
          <w:spacing w:val="-3"/>
        </w:rPr>
        <w:t>M+Y</w:t>
      </w:r>
      <w:r>
        <w:rPr>
          <w:rFonts w:ascii="宋体" w:hAnsi="宋体" w:cs="宋体" w:eastAsia="宋体" w:hint="default"/>
          <w:spacing w:val="-3"/>
        </w:rPr>
        <w:t>”灾区孩童助学计划，对灾区儿童持续不断进行关怀和帮助；公</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4"/>
        </w:rPr>
        <w:t>司数字院线部门将刚刚购买的故事片《集结号》捐送到地震灾区，为四川灾区义映</w:t>
      </w:r>
      <w:r>
        <w:rPr>
          <w:rFonts w:ascii="宋体" w:hAnsi="宋体" w:cs="宋体" w:eastAsia="宋体" w:hint="default"/>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45"/>
        </w:rPr>
        <w:t> </w:t>
      </w:r>
      <w:r>
        <w:rPr>
          <w:rFonts w:ascii="宋体" w:hAnsi="宋体" w:cs="宋体" w:eastAsia="宋体" w:hint="default"/>
        </w:rPr>
        <w:t>场，用影片中无畏不惧、自强不息、义无反顾的精神，抚慰灾区群众，激发军民斗志， 增强重建美好家园的信心。</w:t>
      </w:r>
    </w:p>
    <w:p>
      <w:pPr>
        <w:spacing w:line="240" w:lineRule="auto" w:before="9"/>
        <w:rPr>
          <w:rFonts w:ascii="宋体" w:hAnsi="宋体" w:cs="宋体" w:eastAsia="宋体" w:hint="default"/>
          <w:sz w:val="21"/>
          <w:szCs w:val="21"/>
        </w:rPr>
      </w:pPr>
    </w:p>
    <w:p>
      <w:pPr>
        <w:pStyle w:val="BodyText"/>
        <w:spacing w:line="232" w:lineRule="auto"/>
        <w:ind w:left="118" w:right="232" w:firstLine="480"/>
        <w:jc w:val="both"/>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rFonts w:ascii="宋体" w:hAnsi="宋体" w:cs="宋体" w:eastAsia="宋体" w:hint="default"/>
        </w:rPr>
        <w:t>年是中国的奥运年，公司在信息、环保、节能、安全等多个领域积极参与 </w:t>
      </w:r>
      <w:r>
        <w:rPr>
          <w:rFonts w:ascii="宋体" w:hAnsi="宋体" w:cs="宋体" w:eastAsia="宋体" w:hint="default"/>
          <w:spacing w:val="-3"/>
        </w:rPr>
        <w:t>奥运项目建设，承担起为实现“绿色奥运、科技奥运、人文奥运”的目标贡献一己之力</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2"/>
        </w:rPr>
        <w:t>的社会责任。本年度，公司各个奥运项目均按照进度、高质量的交付使用。公司向奥运</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会捐助的</w:t>
      </w:r>
      <w:r>
        <w:rPr>
          <w:rFonts w:ascii="宋体" w:hAnsi="宋体" w:cs="宋体" w:eastAsia="宋体" w:hint="default"/>
          <w:spacing w:val="-56"/>
        </w:rPr>
        <w:t> </w:t>
      </w:r>
      <w:r>
        <w:rPr>
          <w:rFonts w:ascii="Times New Roman" w:hAnsi="Times New Roman" w:cs="Times New Roman" w:eastAsia="Times New Roman" w:hint="default"/>
        </w:rPr>
        <w:t>RFID</w:t>
      </w:r>
      <w:r>
        <w:rPr>
          <w:rFonts w:ascii="Times New Roman" w:hAnsi="Times New Roman" w:cs="Times New Roman" w:eastAsia="Times New Roman" w:hint="default"/>
          <w:spacing w:val="3"/>
        </w:rPr>
        <w:t> </w:t>
      </w:r>
      <w:r>
        <w:rPr>
          <w:rFonts w:ascii="宋体" w:hAnsi="宋体" w:cs="宋体" w:eastAsia="宋体" w:hint="default"/>
          <w:spacing w:val="-4"/>
        </w:rPr>
        <w:t>电子票务系统，保证了奥运期间连续运行</w:t>
      </w:r>
      <w:r>
        <w:rPr>
          <w:rFonts w:ascii="宋体" w:hAnsi="宋体" w:cs="宋体" w:eastAsia="宋体" w:hint="default"/>
          <w:spacing w:val="-5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rFonts w:ascii="宋体" w:hAnsi="宋体" w:cs="宋体" w:eastAsia="宋体" w:hint="default"/>
          <w:spacing w:val="-6"/>
        </w:rPr>
        <w:t>小时无事故；公司为奥运</w:t>
      </w:r>
      <w:r>
        <w:rPr>
          <w:rFonts w:ascii="宋体" w:hAnsi="宋体" w:cs="宋体" w:eastAsia="宋体" w:hint="default"/>
        </w:rPr>
        <w:t> 相关部门提供的</w:t>
      </w:r>
      <w:r>
        <w:rPr>
          <w:rFonts w:ascii="宋体" w:hAnsi="宋体" w:cs="宋体" w:eastAsia="宋体" w:hint="default"/>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rFonts w:ascii="宋体" w:hAnsi="宋体" w:cs="宋体" w:eastAsia="宋体" w:hint="default"/>
        </w:rPr>
        <w:t>种类型</w:t>
      </w:r>
      <w:r>
        <w:rPr>
          <w:rFonts w:ascii="宋体" w:hAnsi="宋体" w:cs="宋体" w:eastAsia="宋体" w:hint="default"/>
          <w:spacing w:val="-5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rFonts w:ascii="宋体" w:hAnsi="宋体" w:cs="宋体" w:eastAsia="宋体" w:hint="default"/>
          <w:spacing w:val="-3"/>
        </w:rPr>
        <w:t>余套安检设备，被誉为奥运安保工作的一只铁军；公司</w:t>
      </w:r>
      <w:r>
        <w:rPr>
          <w:rFonts w:ascii="宋体" w:hAnsi="宋体" w:cs="宋体" w:eastAsia="宋体" w:hint="default"/>
        </w:rPr>
        <w:t> </w:t>
      </w:r>
      <w:r>
        <w:rPr>
          <w:rFonts w:ascii="宋体" w:hAnsi="宋体" w:cs="宋体" w:eastAsia="宋体" w:hint="default"/>
          <w:spacing w:val="-3"/>
        </w:rPr>
        <w:t>承接的地铁、排水、智能建筑、光电照明、烟气脱硫等多个项目都受到了业主的好评和</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嘉奖，在各个方面保证了奥运会的顺利进行，并通过奥运的平台在世界人民面前展示了</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“科技、创新、绿色、和谐”的优秀企业形象。</w:t>
      </w:r>
    </w:p>
    <w:p>
      <w:pPr>
        <w:spacing w:line="240" w:lineRule="auto" w:before="9"/>
        <w:rPr>
          <w:rFonts w:ascii="宋体" w:hAnsi="宋体" w:cs="宋体" w:eastAsia="宋体" w:hint="default"/>
          <w:sz w:val="21"/>
          <w:szCs w:val="21"/>
        </w:rPr>
      </w:pPr>
    </w:p>
    <w:p>
      <w:pPr>
        <w:pStyle w:val="BodyText"/>
        <w:spacing w:line="232" w:lineRule="auto"/>
        <w:ind w:left="118" w:right="229" w:firstLine="480"/>
        <w:jc w:val="both"/>
        <w:rPr>
          <w:rFonts w:ascii="宋体" w:hAnsi="宋体" w:cs="宋体" w:eastAsia="宋体" w:hint="default"/>
        </w:rPr>
      </w:pPr>
      <w:r>
        <w:rPr>
          <w:rFonts w:ascii="Times New Roman" w:hAnsi="Times New Roman" w:cs="Times New Roman" w:eastAsia="Times New Roman" w:hint="default"/>
          <w:spacing w:val="-6"/>
        </w:rPr>
        <w:t>3</w:t>
      </w:r>
      <w:r>
        <w:rPr>
          <w:rFonts w:ascii="宋体" w:hAnsi="宋体" w:cs="宋体" w:eastAsia="宋体" w:hint="default"/>
          <w:spacing w:val="-6"/>
        </w:rPr>
        <w:t>、“源于教育，服务教育”，多年来，公司一直把支持希望工程、关爱贫困学生、</w:t>
      </w:r>
      <w:r>
        <w:rPr>
          <w:rFonts w:ascii="宋体" w:hAnsi="宋体" w:cs="宋体" w:eastAsia="宋体" w:hint="default"/>
          <w:spacing w:val="1"/>
        </w:rPr>
        <w:t> </w:t>
      </w:r>
      <w:r>
        <w:rPr>
          <w:rFonts w:ascii="宋体" w:hAnsi="宋体" w:cs="宋体" w:eastAsia="宋体" w:hint="default"/>
          <w:spacing w:val="-2"/>
        </w:rPr>
        <w:t>支持教育作为一项重要工作来做。一方面，公司培育了网络教育、中国国家培训网等教</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育业务，广泛参与到教育信息化建设当中；另一方面，公司助力教育工程，投身到教育</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服务事业当中。公司自 </w:t>
      </w:r>
      <w:r>
        <w:rPr>
          <w:rFonts w:ascii="Times New Roman" w:hAnsi="Times New Roman" w:cs="Times New Roman" w:eastAsia="Times New Roman" w:hint="default"/>
        </w:rPr>
        <w:t>1992</w:t>
      </w:r>
      <w:r>
        <w:rPr>
          <w:rFonts w:ascii="Times New Roman" w:hAnsi="Times New Roman" w:cs="Times New Roman" w:eastAsia="Times New Roman" w:hint="default"/>
          <w:spacing w:val="8"/>
        </w:rPr>
        <w:t> </w:t>
      </w:r>
      <w:r>
        <w:rPr>
          <w:rFonts w:ascii="宋体" w:hAnsi="宋体" w:cs="宋体" w:eastAsia="宋体" w:hint="default"/>
        </w:rPr>
        <w:t>年开始承办“人工环境工程学科奖学金”至今已经举办了 </w:t>
      </w:r>
      <w:r>
        <w:rPr>
          <w:rFonts w:ascii="宋体" w:hAnsi="宋体" w:cs="宋体" w:eastAsia="宋体" w:hint="default"/>
          <w:spacing w:val="-2"/>
        </w:rPr>
        <w:t>十六届，“人环奖”作为我国建筑环境与设备工程学科唯一的国家级奖学金，已经发展</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成为本学科历时最长、规模最广、影响最大的奖学金，目前已有来自全国的</w:t>
      </w:r>
      <w:r>
        <w:rPr>
          <w:rFonts w:ascii="宋体" w:hAnsi="宋体" w:cs="宋体" w:eastAsia="宋体" w:hint="default"/>
          <w:spacing w:val="-86"/>
        </w:rPr>
        <w:t> </w:t>
      </w:r>
      <w:r>
        <w:rPr>
          <w:rFonts w:ascii="Times New Roman" w:hAnsi="Times New Roman" w:cs="Times New Roman" w:eastAsia="Times New Roman" w:hint="default"/>
        </w:rPr>
        <w:t>708</w:t>
      </w:r>
      <w:r>
        <w:rPr>
          <w:rFonts w:ascii="Times New Roman" w:hAnsi="Times New Roman" w:cs="Times New Roman" w:eastAsia="Times New Roman" w:hint="default"/>
          <w:spacing w:val="-26"/>
        </w:rPr>
        <w:t> </w:t>
      </w:r>
      <w:r>
        <w:rPr>
          <w:rFonts w:ascii="宋体" w:hAnsi="宋体" w:cs="宋体" w:eastAsia="宋体" w:hint="default"/>
        </w:rPr>
        <w:t>位学子</w:t>
      </w:r>
    </w:p>
    <w:p>
      <w:pPr>
        <w:spacing w:after="0" w:line="232" w:lineRule="auto"/>
        <w:jc w:val="both"/>
        <w:rPr>
          <w:rFonts w:ascii="宋体" w:hAnsi="宋体" w:cs="宋体" w:eastAsia="宋体" w:hint="default"/>
        </w:rPr>
        <w:sectPr>
          <w:headerReference w:type="default" r:id="rId82"/>
          <w:footerReference w:type="default" r:id="rId83"/>
          <w:pgSz w:w="11910" w:h="16840"/>
          <w:pgMar w:header="0" w:footer="982" w:top="1600" w:bottom="1180" w:left="1300" w:right="1180"/>
          <w:pgNumType w:start="4"/>
        </w:sectPr>
      </w:pPr>
    </w:p>
    <w:p>
      <w:pPr>
        <w:pStyle w:val="BodyText"/>
        <w:spacing w:line="240" w:lineRule="auto" w:before="62"/>
        <w:ind w:left="118" w:right="0"/>
        <w:jc w:val="both"/>
        <w:rPr>
          <w:rFonts w:ascii="宋体" w:hAnsi="宋体" w:cs="宋体" w:eastAsia="宋体" w:hint="default"/>
        </w:rPr>
      </w:pPr>
      <w:r>
        <w:rPr>
          <w:rFonts w:ascii="宋体" w:hAnsi="宋体" w:cs="宋体" w:eastAsia="宋体" w:hint="default"/>
        </w:rPr>
        <w:t>获此殊荣。</w:t>
      </w:r>
    </w:p>
    <w:p>
      <w:pPr>
        <w:tabs>
          <w:tab w:pos="760" w:val="left" w:leader="none"/>
        </w:tabs>
        <w:spacing w:line="570" w:lineRule="atLeast" w:before="35"/>
        <w:ind w:left="598" w:right="23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五</w:t>
      </w:r>
      <w:r>
        <w:rPr>
          <w:rFonts w:ascii="Times New Roman" w:hAnsi="Times New Roman" w:cs="Times New Roman" w:eastAsia="Times New Roman" w:hint="default"/>
          <w:b/>
          <w:bCs/>
          <w:sz w:val="24"/>
          <w:szCs w:val="24"/>
        </w:rPr>
        <w:t>)</w:t>
        <w:tab/>
        <w:tab/>
      </w:r>
      <w:r>
        <w:rPr>
          <w:rFonts w:ascii="宋体" w:hAnsi="宋体" w:cs="宋体" w:eastAsia="宋体" w:hint="default"/>
          <w:b/>
          <w:bCs/>
          <w:sz w:val="24"/>
          <w:szCs w:val="24"/>
        </w:rPr>
        <w:t>以人为本，保护职工合法权益，促进员工自身发展</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秉承“人力资源是企业最重要的资产”理念，公司进一步建立健全了人力资源管理</w:t>
      </w:r>
    </w:p>
    <w:p>
      <w:pPr>
        <w:pStyle w:val="BodyText"/>
        <w:spacing w:line="310" w:lineRule="exact" w:before="30"/>
        <w:ind w:left="118" w:right="232"/>
        <w:jc w:val="both"/>
        <w:rPr>
          <w:rFonts w:ascii="宋体" w:hAnsi="宋体" w:cs="宋体" w:eastAsia="宋体" w:hint="default"/>
        </w:rPr>
      </w:pPr>
      <w:r>
        <w:rPr>
          <w:rFonts w:ascii="宋体" w:hAnsi="宋体" w:cs="宋体" w:eastAsia="宋体" w:hint="default"/>
          <w:spacing w:val="-3"/>
        </w:rPr>
        <w:t>机制，为员工搭建职业发展平台，保障员工民主权利，解决员工关心的问题，使员工自</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身的发展与企业的发展融为一体。在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rFonts w:ascii="宋体" w:hAnsi="宋体" w:cs="宋体" w:eastAsia="宋体" w:hint="default"/>
        </w:rPr>
        <w:t>年，公司在保护员工权益、促进员工发展方 面主要实施了以下几项工作：</w:t>
      </w:r>
    </w:p>
    <w:p>
      <w:pPr>
        <w:spacing w:line="240" w:lineRule="auto" w:before="3"/>
        <w:rPr>
          <w:rFonts w:ascii="宋体" w:hAnsi="宋体" w:cs="宋体" w:eastAsia="宋体" w:hint="default"/>
          <w:sz w:val="19"/>
          <w:szCs w:val="19"/>
        </w:rPr>
      </w:pPr>
    </w:p>
    <w:p>
      <w:pPr>
        <w:pStyle w:val="BodyText"/>
        <w:spacing w:line="235" w:lineRule="auto"/>
        <w:ind w:left="118" w:right="185" w:firstLine="480"/>
        <w:jc w:val="both"/>
        <w:rPr>
          <w:rFonts w:ascii="宋体" w:hAnsi="宋体" w:cs="宋体" w:eastAsia="宋体" w:hint="default"/>
        </w:rPr>
      </w:pPr>
      <w:r>
        <w:rPr>
          <w:rFonts w:ascii="Times New Roman" w:hAnsi="Times New Roman" w:cs="Times New Roman" w:eastAsia="Times New Roman" w:hint="default"/>
          <w:spacing w:val="-4"/>
        </w:rPr>
        <w:t>1</w:t>
      </w:r>
      <w:r>
        <w:rPr>
          <w:rFonts w:ascii="宋体" w:hAnsi="宋体" w:cs="宋体" w:eastAsia="宋体" w:hint="default"/>
          <w:spacing w:val="-4"/>
        </w:rPr>
        <w:t>、认真贯彻新《劳动合同法》，保障职工合法权益。新《劳动合同法》实施以来，</w:t>
      </w:r>
      <w:r>
        <w:rPr>
          <w:rFonts w:ascii="宋体" w:hAnsi="宋体" w:cs="宋体" w:eastAsia="宋体" w:hint="default"/>
        </w:rPr>
        <w:t> </w:t>
      </w:r>
      <w:r>
        <w:rPr>
          <w:rFonts w:ascii="宋体" w:hAnsi="宋体" w:cs="宋体" w:eastAsia="宋体" w:hint="default"/>
          <w:spacing w:val="-2"/>
        </w:rPr>
        <w:t>公司按照法律规定，稳步推进人事制度变革，建立较为完善的薪酬体系和激励机制，提</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高员工的工资福利待遇，为员工按时足额缴纳社会养老、医疗、工伤、失业、生育等各</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2"/>
        </w:rPr>
        <w:t>项保险，促进劳资关系的和谐稳定；严格执行国家的员工休假制度，保证员工的休息时</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间，对工作时间超过标准工时的员工支付加班费。</w:t>
      </w:r>
    </w:p>
    <w:p>
      <w:pPr>
        <w:spacing w:line="240" w:lineRule="auto" w:before="8"/>
        <w:rPr>
          <w:rFonts w:ascii="宋体" w:hAnsi="宋体" w:cs="宋体" w:eastAsia="宋体" w:hint="default"/>
          <w:sz w:val="21"/>
          <w:szCs w:val="21"/>
        </w:rPr>
      </w:pPr>
    </w:p>
    <w:p>
      <w:pPr>
        <w:pStyle w:val="BodyText"/>
        <w:spacing w:line="232" w:lineRule="auto"/>
        <w:ind w:left="118" w:right="111" w:firstLine="48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、为员工提供后勤、健康保障，解决员工关心问题。作为企业的重要财富，公司</w:t>
      </w:r>
      <w:r>
        <w:rPr>
          <w:rFonts w:ascii="宋体" w:hAnsi="宋体" w:cs="宋体" w:eastAsia="宋体" w:hint="default"/>
          <w:spacing w:val="1"/>
        </w:rPr>
        <w:t> </w:t>
      </w:r>
      <w:r>
        <w:rPr>
          <w:rFonts w:ascii="宋体" w:hAnsi="宋体" w:cs="宋体" w:eastAsia="宋体" w:hint="default"/>
        </w:rPr>
        <w:t>非常重视为员工提供健康、安全的工作和生活环境，解决员工后顾之忧。公司通过设立</w:t>
      </w:r>
      <w:r>
        <w:rPr>
          <w:rFonts w:ascii="宋体" w:hAnsi="宋体" w:cs="宋体" w:eastAsia="宋体" w:hint="default"/>
        </w:rPr>
        <w:t> </w:t>
      </w:r>
      <w:r>
        <w:rPr>
          <w:rFonts w:ascii="宋体" w:hAnsi="宋体" w:cs="宋体" w:eastAsia="宋体" w:hint="default"/>
          <w:spacing w:val="-5"/>
        </w:rPr>
        <w:t>员工宿舍、食堂等配套措施，为员工提供后勤保障，并每年定期组织员工进行健康体检，</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定期举办各类体育锻炼和体育比赛，为员工提供健康保障。</w:t>
      </w:r>
    </w:p>
    <w:p>
      <w:pPr>
        <w:spacing w:line="240" w:lineRule="auto" w:before="5"/>
        <w:rPr>
          <w:rFonts w:ascii="宋体" w:hAnsi="宋体" w:cs="宋体" w:eastAsia="宋体" w:hint="default"/>
          <w:sz w:val="21"/>
          <w:szCs w:val="21"/>
        </w:rPr>
      </w:pPr>
    </w:p>
    <w:p>
      <w:pPr>
        <w:pStyle w:val="BodyText"/>
        <w:spacing w:line="235" w:lineRule="auto"/>
        <w:ind w:left="118" w:right="232" w:firstLine="480"/>
        <w:jc w:val="both"/>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、注重员工职业规划，健全职业成长机制。公司与清华大学合作，每年输送在职</w:t>
      </w:r>
      <w:r>
        <w:rPr>
          <w:rFonts w:ascii="宋体" w:hAnsi="宋体" w:cs="宋体" w:eastAsia="宋体" w:hint="default"/>
          <w:spacing w:val="1"/>
        </w:rPr>
        <w:t> </w:t>
      </w:r>
      <w:r>
        <w:rPr>
          <w:rFonts w:ascii="宋体" w:hAnsi="宋体" w:cs="宋体" w:eastAsia="宋体" w:hint="default"/>
          <w:spacing w:val="-2"/>
        </w:rPr>
        <w:t>员工攻读清华大学工程硕士学位，并鼓励员工在职进修，对于进修与本职工作相关的高</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等学历学位的员工，给予一定额度学费报销鼓励，促进员工不断提升自身素质。公司每</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年定期进行新员工培训、岗位培训、职业经理人培训，帮助员工寻找个人发展与企业发</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展的结合点，帮助员工进行职业生涯的规划，并为实现这些规划而有目的地安排相应的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培训课程，帮助员工尽快实现其个人发展目标，进而促进企业的长足发展。</w:t>
      </w:r>
    </w:p>
    <w:p>
      <w:pPr>
        <w:spacing w:line="240" w:lineRule="auto" w:before="12"/>
        <w:rPr>
          <w:rFonts w:ascii="宋体" w:hAnsi="宋体" w:cs="宋体" w:eastAsia="宋体" w:hint="default"/>
          <w:sz w:val="20"/>
          <w:szCs w:val="20"/>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四、履行社会责任的自我评估</w:t>
      </w:r>
      <w:r>
        <w:rPr>
          <w:rFonts w:ascii="宋体" w:hAnsi="宋体" w:cs="宋体" w:eastAsia="宋体" w:hint="default"/>
          <w:b w:val="0"/>
          <w:bCs w:val="0"/>
        </w:rPr>
      </w:r>
    </w:p>
    <w:p>
      <w:pPr>
        <w:spacing w:line="240" w:lineRule="auto" w:before="5"/>
        <w:rPr>
          <w:rFonts w:ascii="宋体" w:hAnsi="宋体" w:cs="宋体" w:eastAsia="宋体" w:hint="default"/>
          <w:b/>
          <w:bCs/>
          <w:sz w:val="21"/>
          <w:szCs w:val="21"/>
        </w:rPr>
      </w:pPr>
    </w:p>
    <w:p>
      <w:pPr>
        <w:pStyle w:val="BodyText"/>
        <w:spacing w:line="235" w:lineRule="auto"/>
        <w:ind w:left="118" w:right="106" w:firstLine="480"/>
        <w:jc w:val="left"/>
        <w:rPr>
          <w:rFonts w:ascii="宋体" w:hAnsi="宋体" w:cs="宋体" w:eastAsia="宋体" w:hint="default"/>
        </w:rPr>
      </w:pPr>
      <w:r>
        <w:rPr>
          <w:rFonts w:ascii="Times New Roman" w:hAnsi="Times New Roman" w:cs="Times New Roman" w:eastAsia="Times New Roman" w:hint="default"/>
        </w:rPr>
        <w:t>2008 </w:t>
      </w:r>
      <w:r>
        <w:rPr>
          <w:rFonts w:ascii="宋体" w:hAnsi="宋体" w:cs="宋体" w:eastAsia="宋体" w:hint="default"/>
        </w:rPr>
        <w:t>年，尽管公司在促进社会可持续发展方面、促进环境及生态可持续发展方面、 促进经济可持续发展方面等都积极履行了社会责任，但也清醒认识到，公司社会责任履 行状况与股东、客户、受益人及其他利益相关者期望相比仍存在差距，公司还需长期自 觉坚持履行社会责任的理念和义务，不断探索有效履行社会责任的着力点，更好的履行 社会责任。</w:t>
      </w:r>
    </w:p>
    <w:p>
      <w:pPr>
        <w:pStyle w:val="BodyText"/>
        <w:spacing w:line="620" w:lineRule="atLeast" w:before="3"/>
        <w:ind w:left="598" w:right="111"/>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rFonts w:ascii="宋体" w:hAnsi="宋体" w:cs="宋体" w:eastAsia="宋体" w:hint="default"/>
        </w:rPr>
        <w:t>年，公司的每股社会贡献值为</w:t>
      </w:r>
      <w:r>
        <w:rPr>
          <w:rFonts w:ascii="宋体" w:hAnsi="宋体" w:cs="宋体" w:eastAsia="宋体" w:hint="default"/>
          <w:spacing w:val="-60"/>
        </w:rPr>
        <w:t> </w:t>
      </w:r>
      <w:r>
        <w:rPr>
          <w:rFonts w:ascii="宋体" w:hAnsi="宋体" w:cs="宋体" w:eastAsia="宋体" w:hint="default"/>
        </w:rPr>
        <w:t>1.90</w:t>
      </w:r>
      <w:r>
        <w:rPr>
          <w:rFonts w:ascii="宋体" w:hAnsi="宋体" w:cs="宋体" w:eastAsia="宋体" w:hint="default"/>
          <w:spacing w:val="-60"/>
        </w:rPr>
        <w:t> </w:t>
      </w:r>
      <w:r>
        <w:rPr>
          <w:rFonts w:ascii="宋体" w:hAnsi="宋体" w:cs="宋体" w:eastAsia="宋体" w:hint="default"/>
        </w:rPr>
        <w:t>元/股。</w:t>
      </w:r>
      <w:r>
        <w:rPr>
          <w:rFonts w:ascii="宋体" w:hAnsi="宋体" w:cs="宋体" w:eastAsia="宋体" w:hint="default"/>
        </w:rPr>
        <w:t> </w:t>
      </w:r>
      <w:r>
        <w:rPr>
          <w:rFonts w:ascii="宋体" w:hAnsi="宋体" w:cs="宋体" w:eastAsia="宋体" w:hint="default"/>
          <w:spacing w:val="-2"/>
        </w:rPr>
        <w:t>每股社会贡献值公司在为股东创造的基本每股收益的基础上，增加公司年内为国家</w:t>
      </w:r>
    </w:p>
    <w:p>
      <w:pPr>
        <w:pStyle w:val="BodyText"/>
        <w:spacing w:line="237" w:lineRule="auto"/>
        <w:ind w:left="118" w:right="234"/>
        <w:jc w:val="both"/>
        <w:rPr>
          <w:rFonts w:ascii="宋体" w:hAnsi="宋体" w:cs="宋体" w:eastAsia="宋体" w:hint="default"/>
        </w:rPr>
      </w:pPr>
      <w:r>
        <w:rPr>
          <w:rFonts w:ascii="宋体" w:hAnsi="宋体" w:cs="宋体" w:eastAsia="宋体" w:hint="default"/>
          <w:spacing w:val="-2"/>
        </w:rPr>
        <w:t>创造的税收、向员工支付的工资、向银行等债权人给付的借款利息、公司对外捐赠额等</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为其他利益相关者创造的价值额，并扣除公司因环境污染等造成的其他社会成本，计算</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形成的公司为社会创造的每股增值额。因公司所处行业为信息产业与能源环保产业，不</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存在如煤炭、电力、化工等环境污染情况，因此公司不存在因环境污染等造成的社会成</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本。</w:t>
      </w:r>
    </w:p>
    <w:p>
      <w:pPr>
        <w:spacing w:after="0" w:line="237" w:lineRule="auto"/>
        <w:jc w:val="both"/>
        <w:rPr>
          <w:rFonts w:ascii="宋体" w:hAnsi="宋体" w:cs="宋体" w:eastAsia="宋体" w:hint="default"/>
        </w:rPr>
        <w:sectPr>
          <w:headerReference w:type="default" r:id="rId84"/>
          <w:footerReference w:type="default" r:id="rId85"/>
          <w:pgSz w:w="11910" w:h="16840"/>
          <w:pgMar w:header="0" w:footer="982" w:top="1600" w:bottom="1180" w:left="1300" w:right="1180"/>
          <w:pgNumType w:start="5"/>
        </w:sectPr>
      </w:pPr>
    </w:p>
    <w:p>
      <w:pPr>
        <w:pStyle w:val="Heading3"/>
        <w:spacing w:line="240" w:lineRule="auto" w:before="62"/>
        <w:ind w:right="0"/>
        <w:jc w:val="both"/>
        <w:rPr>
          <w:rFonts w:ascii="宋体" w:hAnsi="宋体" w:cs="宋体" w:eastAsia="宋体" w:hint="default"/>
          <w:b w:val="0"/>
          <w:bCs w:val="0"/>
        </w:rPr>
      </w:pPr>
      <w:r>
        <w:rPr>
          <w:rFonts w:ascii="宋体" w:hAnsi="宋体" w:cs="宋体" w:eastAsia="宋体" w:hint="default"/>
        </w:rPr>
        <w:t>五、2009</w:t>
      </w:r>
      <w:r>
        <w:rPr>
          <w:rFonts w:ascii="宋体" w:hAnsi="宋体" w:cs="宋体" w:eastAsia="宋体" w:hint="default"/>
          <w:spacing w:val="-62"/>
        </w:rPr>
        <w:t> </w:t>
      </w:r>
      <w:r>
        <w:rPr>
          <w:rFonts w:ascii="宋体" w:hAnsi="宋体" w:cs="宋体" w:eastAsia="宋体" w:hint="default"/>
        </w:rPr>
        <w:t>年履行社会责任的计划</w:t>
      </w:r>
      <w:r>
        <w:rPr>
          <w:rFonts w:ascii="宋体" w:hAnsi="宋体" w:cs="宋体" w:eastAsia="宋体" w:hint="default"/>
          <w:b w:val="0"/>
          <w:bCs w:val="0"/>
        </w:rPr>
      </w:r>
    </w:p>
    <w:p>
      <w:pPr>
        <w:spacing w:line="240" w:lineRule="auto" w:before="9"/>
        <w:rPr>
          <w:rFonts w:ascii="宋体" w:hAnsi="宋体" w:cs="宋体" w:eastAsia="宋体" w:hint="default"/>
          <w:b/>
          <w:bCs/>
          <w:sz w:val="23"/>
          <w:szCs w:val="23"/>
        </w:rPr>
      </w:pPr>
    </w:p>
    <w:p>
      <w:pPr>
        <w:pStyle w:val="BodyText"/>
        <w:spacing w:line="237" w:lineRule="auto"/>
        <w:ind w:left="118" w:right="185"/>
        <w:jc w:val="both"/>
        <w:rPr>
          <w:rFonts w:ascii="宋体" w:hAnsi="宋体" w:cs="宋体" w:eastAsia="宋体" w:hint="default"/>
        </w:rPr>
      </w:pPr>
      <w:r>
        <w:rPr>
          <w:rFonts w:ascii="宋体" w:hAnsi="宋体" w:cs="宋体" w:eastAsia="宋体" w:hint="default"/>
        </w:rPr>
        <w:t>(一) 进一步强化对股东的社会责任，进一步完善股东大会、董事会、监事会、经理层</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3"/>
        </w:rPr>
        <w:t>各司其职、相互制衡的组织结构；加强公司治理，完善内部控制制度，推进科学、规范</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的法人治理结构建设，促进公司经营决策的规范化和科学化；认真履行信息披露义务；</w:t>
      </w:r>
      <w:r>
        <w:rPr>
          <w:rFonts w:ascii="宋体" w:hAnsi="宋体" w:cs="宋体" w:eastAsia="宋体" w:hint="default"/>
        </w:rPr>
        <w:t> </w:t>
      </w:r>
      <w:r>
        <w:rPr>
          <w:rFonts w:ascii="宋体" w:hAnsi="宋体" w:cs="宋体" w:eastAsia="宋体" w:hint="default"/>
          <w:spacing w:val="-3"/>
        </w:rPr>
        <w:t>紧紧围绕主营业务方向，整合资源优势，优化产业结构，充分发挥团队的积极性，进一</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步提高主干产业的核心竞争力。</w:t>
      </w:r>
    </w:p>
    <w:p>
      <w:pPr>
        <w:spacing w:line="240" w:lineRule="auto" w:before="1"/>
        <w:rPr>
          <w:rFonts w:ascii="宋体" w:hAnsi="宋体" w:cs="宋体" w:eastAsia="宋体" w:hint="default"/>
          <w:sz w:val="26"/>
          <w:szCs w:val="26"/>
        </w:rPr>
      </w:pPr>
    </w:p>
    <w:p>
      <w:pPr>
        <w:pStyle w:val="BodyText"/>
        <w:spacing w:line="310" w:lineRule="exact"/>
        <w:ind w:left="118" w:right="229"/>
        <w:jc w:val="both"/>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65"/>
        </w:rPr>
        <w:t> </w:t>
      </w:r>
      <w:r>
        <w:rPr>
          <w:rFonts w:ascii="宋体" w:hAnsi="宋体" w:cs="宋体" w:eastAsia="宋体" w:hint="default"/>
        </w:rPr>
        <w:t>进一步保护职工合法权益，建立健全员工考核、奖惩、薪酬机制；根据公司效益</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2"/>
        </w:rPr>
        <w:t>状况，适当增加员工福利待遇；继续加强员工教育培训体系建设，为员工发展提供良好</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平台。</w:t>
      </w:r>
    </w:p>
    <w:p>
      <w:pPr>
        <w:spacing w:line="240" w:lineRule="auto" w:before="12"/>
        <w:rPr>
          <w:rFonts w:ascii="宋体" w:hAnsi="宋体" w:cs="宋体" w:eastAsia="宋体" w:hint="default"/>
          <w:sz w:val="23"/>
          <w:szCs w:val="23"/>
        </w:rPr>
      </w:pPr>
    </w:p>
    <w:p>
      <w:pPr>
        <w:pStyle w:val="BodyText"/>
        <w:spacing w:line="310" w:lineRule="exact"/>
        <w:ind w:left="118" w:right="114"/>
        <w:jc w:val="both"/>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48"/>
        </w:rPr>
        <w:t> </w:t>
      </w:r>
      <w:r>
        <w:rPr>
          <w:rFonts w:ascii="宋体" w:hAnsi="宋体" w:cs="宋体" w:eastAsia="宋体" w:hint="default"/>
        </w:rPr>
        <w:t>更多的参与社会公益事业，关注扶持弱势群体，积极推动教育事业，将先进知识、</w:t>
      </w:r>
      <w:r>
        <w:rPr>
          <w:rFonts w:ascii="宋体" w:hAnsi="宋体" w:cs="宋体" w:eastAsia="宋体" w:hint="default"/>
        </w:rPr>
        <w:t> 前沿科技在全社会广泛传播和利用。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0"/>
          <w:szCs w:val="30"/>
        </w:rPr>
      </w:pPr>
    </w:p>
    <w:p>
      <w:pPr>
        <w:pStyle w:val="BodyText"/>
        <w:spacing w:line="240" w:lineRule="auto"/>
        <w:ind w:left="0" w:right="234"/>
        <w:jc w:val="right"/>
        <w:rPr>
          <w:rFonts w:ascii="宋体" w:hAnsi="宋体" w:cs="宋体" w:eastAsia="宋体" w:hint="default"/>
        </w:rPr>
      </w:pPr>
      <w:r>
        <w:rPr>
          <w:rFonts w:ascii="宋体" w:hAnsi="宋体" w:cs="宋体" w:eastAsia="宋体" w:hint="default"/>
        </w:rPr>
        <w:t>同方股份有限公司</w:t>
      </w:r>
    </w:p>
    <w:p>
      <w:pPr>
        <w:spacing w:line="240" w:lineRule="auto" w:before="11"/>
        <w:rPr>
          <w:rFonts w:ascii="宋体" w:hAnsi="宋体" w:cs="宋体" w:eastAsia="宋体" w:hint="default"/>
          <w:sz w:val="20"/>
          <w:szCs w:val="20"/>
        </w:rPr>
      </w:pPr>
    </w:p>
    <w:p>
      <w:pPr>
        <w:pStyle w:val="BodyText"/>
        <w:spacing w:line="240" w:lineRule="auto"/>
        <w:ind w:left="0" w:right="234"/>
        <w:jc w:val="right"/>
        <w:rPr>
          <w:rFonts w:ascii="宋体" w:hAnsi="宋体" w:cs="宋体" w:eastAsia="宋体" w:hint="default"/>
        </w:rPr>
      </w:pPr>
      <w:r>
        <w:rPr>
          <w:rFonts w:ascii="Times New Roman" w:hAnsi="Times New Roman" w:cs="Times New Roman" w:eastAsia="Times New Roman" w:hint="default"/>
        </w:rPr>
        <w:t>2009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4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18 </w:t>
      </w:r>
      <w:r>
        <w:rPr>
          <w:rFonts w:ascii="宋体" w:hAnsi="宋体" w:cs="宋体" w:eastAsia="宋体" w:hint="default"/>
        </w:rPr>
        <w:t>日</w:t>
      </w:r>
    </w:p>
    <w:sectPr>
      <w:headerReference w:type="default" r:id="rId86"/>
      <w:footerReference w:type="default" r:id="rId87"/>
      <w:pgSz w:w="11910" w:h="16840"/>
      <w:pgMar w:header="0" w:footer="982" w:top="1600" w:bottom="1180" w:left="1300" w:right="1180"/>
      <w:pgNumType w:start="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4.459991pt;margin-top:791.797607pt;width:13pt;height:11pt;mso-position-horizontal-relative:page;mso-position-vertical-relative:page;z-index:-900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8247pt;width:8.5pt;height:11pt;mso-position-horizontal-relative:page;mso-position-vertical-relative:page;z-index:-89857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8247pt;width:8.5pt;height:11pt;mso-position-horizontal-relative:page;mso-position-vertical-relative:page;z-index:-89855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8247pt;width:8.5pt;height:11pt;mso-position-horizontal-relative:page;mso-position-vertical-relative:page;z-index:-8985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8247pt;width:8.5pt;height:11pt;mso-position-horizontal-relative:page;mso-position-vertical-relative:page;z-index:-8985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8247pt;width:8.5pt;height:11pt;mso-position-horizontal-relative:page;mso-position-vertical-relative:page;z-index:-89848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8247pt;width:13pt;height:11pt;mso-position-horizontal-relative:page;mso-position-vertical-relative:page;z-index:-8984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8247pt;width:13pt;height:11pt;mso-position-horizontal-relative:page;mso-position-vertical-relative:page;z-index:-8984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898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370514pt;margin-top:545.197815pt;width:13pt;height:11pt;mso-position-horizontal-relative:page;mso-position-vertical-relative:page;z-index:-899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898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898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898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898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898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59991pt;margin-top:791.797607pt;width:13pt;height:11pt;mso-position-horizontal-relative:page;mso-position-vertical-relative:page;z-index:-899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179993pt;margin-top:791.797607pt;width:15.5pt;height:11pt;mso-position-horizontal-relative:page;mso-position-vertical-relative:page;z-index:-8992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79993pt;margin-top:791.797607pt;width:17.5pt;height:11pt;mso-position-horizontal-relative:page;mso-position-vertical-relative:page;z-index:-899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8247pt;width:13pt;height:11pt;mso-position-horizontal-relative:page;mso-position-vertical-relative:page;z-index:-8986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8247pt;width:8.5pt;height:11pt;mso-position-horizontal-relative:page;mso-position-vertical-relative:page;z-index:-8986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8247pt;width:8.5pt;height:11pt;mso-position-horizontal-relative:page;mso-position-vertical-relative:page;z-index:-8986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8247pt;width:8.5pt;height:11pt;mso-position-horizontal-relative:page;mso-position-vertical-relative:page;z-index:-8986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00424" type="#_x0000_t75" stroked="false">
          <v:imagedata r:id="rId1" o:title=""/>
        </v:shape>
      </w:pict>
    </w:r>
    <w:r>
      <w:rPr/>
      <w:pict>
        <v:group style="position:absolute;margin-left:69.419998pt;margin-top:54.299999pt;width:463.1pt;height:.1pt;mso-position-horizontal-relative:page;mso-position-vertical-relative:page;z-index:-900400"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9944" type="#_x0000_t75" stroked="false">
          <v:imagedata r:id="rId1" o:title=""/>
        </v:shape>
      </w:pict>
    </w:r>
    <w:r>
      <w:rPr/>
      <w:pict>
        <v:group style="position:absolute;margin-left:69.419998pt;margin-top:54.299999pt;width:463.1pt;height:.1pt;mso-position-horizontal-relative:page;mso-position-vertical-relative:page;z-index:-899920"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shape style="position:absolute;margin-left:251.720001pt;margin-top:85.827103pt;width:98.45pt;height:14pt;mso-position-horizontal-relative:page;mso-position-vertical-relative:page;z-index:-89989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6pt;width:68.670181pt;height:21pt;mso-position-horizontal-relative:page;mso-position-vertical-relative:page;z-index:-899872" type="#_x0000_t75" stroked="false">
          <v:imagedata r:id="rId1" o:title=""/>
        </v:shape>
      </w:pict>
    </w:r>
    <w:r>
      <w:rPr/>
      <w:pict>
        <v:group style="position:absolute;margin-left:69.411003pt;margin-top:54.299999pt;width:689pt;height:.1pt;mso-position-horizontal-relative:page;mso-position-vertical-relative:page;z-index:-899848"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32.9505pt;margin-top:71.667503pt;width:161.85pt;height:29.55pt;mso-position-horizontal-relative:page;mso-position-vertical-relative:page;z-index:-899824"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2008</w:t>
                </w:r>
                <w:r>
                  <w:rPr>
                    <w:rFonts w:ascii="宋体" w:hAnsi="宋体" w:cs="宋体" w:eastAsia="宋体" w:hint="default"/>
                    <w:b/>
                    <w:bCs/>
                    <w:spacing w:val="-61"/>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r>
      <w:rPr/>
      <w:pict>
        <v:shape style="position:absolute;margin-left:682.330505pt;margin-top:102.476563pt;width:75.5pt;height:12.5pt;mso-position-horizontal-relative:page;mso-position-vertical-relative:page;z-index:-89980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6pt;width:68.670181pt;height:21pt;mso-position-horizontal-relative:page;mso-position-vertical-relative:page;z-index:-899752" type="#_x0000_t75" stroked="false">
          <v:imagedata r:id="rId1" o:title=""/>
        </v:shape>
      </w:pict>
    </w:r>
    <w:r>
      <w:rPr/>
      <w:pict>
        <v:group style="position:absolute;margin-left:69.411003pt;margin-top:54.299999pt;width:689pt;height:.1pt;mso-position-horizontal-relative:page;mso-position-vertical-relative:page;z-index:-899728"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32.9505pt;margin-top:71.667503pt;width:161.85pt;height:29.55pt;mso-position-horizontal-relative:page;mso-position-vertical-relative:page;z-index:-899704"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2007</w:t>
                </w:r>
                <w:r>
                  <w:rPr>
                    <w:rFonts w:ascii="宋体" w:hAnsi="宋体" w:cs="宋体" w:eastAsia="宋体" w:hint="default"/>
                    <w:b/>
                    <w:bCs/>
                    <w:spacing w:val="-61"/>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r>
      <w:rPr/>
      <w:pict>
        <v:shape style="position:absolute;margin-left:692.830505pt;margin-top:102.476563pt;width:65pt;height:12.5pt;mso-position-horizontal-relative:page;mso-position-vertical-relative:page;z-index:-89968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单位：人民币</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6pt;width:68.670181pt;height:21pt;mso-position-horizontal-relative:page;mso-position-vertical-relative:page;z-index:-899656" type="#_x0000_t75" stroked="false">
          <v:imagedata r:id="rId1" o:title=""/>
        </v:shape>
      </w:pict>
    </w:r>
    <w:r>
      <w:rPr/>
      <w:pict>
        <v:group style="position:absolute;margin-left:69.411003pt;margin-top:54.299999pt;width:689pt;height:.1pt;mso-position-horizontal-relative:page;mso-position-vertical-relative:page;z-index:-899632"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26.9505pt;margin-top:71.667503pt;width:173.8pt;height:29.55pt;mso-position-horizontal-relative:page;mso-position-vertical-relative:page;z-index:-899608"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2008</w:t>
                </w:r>
                <w:r>
                  <w:rPr>
                    <w:rFonts w:ascii="宋体" w:hAnsi="宋体" w:cs="宋体" w:eastAsia="宋体" w:hint="default"/>
                    <w:b/>
                    <w:bCs/>
                    <w:spacing w:val="-61"/>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2.830505pt;margin-top:102.476563pt;width:65pt;height:12.5pt;mso-position-horizontal-relative:page;mso-position-vertical-relative:page;z-index:-89958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单位：人民币</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6pt;width:68.670181pt;height:21pt;mso-position-horizontal-relative:page;mso-position-vertical-relative:page;z-index:-899560" type="#_x0000_t75" stroked="false">
          <v:imagedata r:id="rId1" o:title=""/>
        </v:shape>
      </w:pict>
    </w:r>
    <w:r>
      <w:rPr/>
      <w:pict>
        <v:group style="position:absolute;margin-left:69.411003pt;margin-top:54.299999pt;width:689pt;height:.1pt;mso-position-horizontal-relative:page;mso-position-vertical-relative:page;z-index:-899536"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26.9505pt;margin-top:71.667503pt;width:173.8pt;height:29.55pt;mso-position-horizontal-relative:page;mso-position-vertical-relative:page;z-index:-899512"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2007</w:t>
                </w:r>
                <w:r>
                  <w:rPr>
                    <w:rFonts w:ascii="宋体" w:hAnsi="宋体" w:cs="宋体" w:eastAsia="宋体" w:hint="default"/>
                    <w:b/>
                    <w:bCs/>
                    <w:spacing w:val="-61"/>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2.830505pt;margin-top:102.476563pt;width:65pt;height:12.5pt;mso-position-horizontal-relative:page;mso-position-vertical-relative:page;z-index:-89948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单位：人民币</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9464" type="#_x0000_t75" stroked="false">
          <v:imagedata r:id="rId1" o:title=""/>
        </v:shape>
      </w:pict>
    </w:r>
    <w:r>
      <w:rPr/>
      <w:pict>
        <v:group style="position:absolute;margin-left:69.419998pt;margin-top:54.299999pt;width:463.1pt;height:.1pt;mso-position-horizontal-relative:page;mso-position-vertical-relative:page;z-index:-899440"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9392" type="#_x0000_t75" stroked="false">
          <v:imagedata r:id="rId1" o:title=""/>
        </v:shape>
      </w:pict>
    </w:r>
    <w:r>
      <w:rPr/>
      <w:pict>
        <v:group style="position:absolute;margin-left:69.419998pt;margin-top:54.299999pt;width:463.1pt;height:.1pt;mso-position-horizontal-relative:page;mso-position-vertical-relative:page;z-index:-899368"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group style="position:absolute;margin-left:42.540001pt;margin-top:85.830002pt;width:516.4500pt;height:.1pt;mso-position-horizontal-relative:page;mso-position-vertical-relative:page;z-index:-899344" coordorigin="851,1717" coordsize="10329,2">
          <v:shape style="position:absolute;left:851;top:1717;width:10329;height:2" coordorigin="851,1717" coordsize="10329,0" path="m851,1717l11179,1717e" filled="false" stroked="true" strokeweight="1.5pt" strokecolor="#000000">
            <v:path arrowok="t"/>
          </v:shap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9320" type="#_x0000_t75" stroked="false">
          <v:imagedata r:id="rId1" o:title=""/>
        </v:shape>
      </w:pict>
    </w:r>
    <w:r>
      <w:rPr/>
      <w:pict>
        <v:group style="position:absolute;margin-left:69.419998pt;margin-top:54.299999pt;width:463.1pt;height:.1pt;mso-position-horizontal-relative:page;mso-position-vertical-relative:page;z-index:-899296"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9224" type="#_x0000_t75" stroked="false">
          <v:imagedata r:id="rId1" o:title=""/>
        </v:shape>
      </w:pict>
    </w:r>
    <w:r>
      <w:rPr/>
      <w:pict>
        <v:group style="position:absolute;margin-left:69.419998pt;margin-top:54.299999pt;width:463.1pt;height:.1pt;mso-position-horizontal-relative:page;mso-position-vertical-relative:page;z-index:-899200"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group style="position:absolute;margin-left:84.839996pt;margin-top:85.830002pt;width:431.9pt;height:.1pt;mso-position-horizontal-relative:page;mso-position-vertical-relative:page;z-index:-899176" coordorigin="1697,1717" coordsize="8638,2">
          <v:shape style="position:absolute;left:1697;top:1717;width:8638;height:2" coordorigin="1697,1717" coordsize="8638,0" path="m1697,1717l10334,1717e" filled="false" stroked="true" strokeweight="1.5pt" strokecolor="#000000">
            <v:path arrowok="t"/>
          </v:shape>
          <w10:wrap type="none"/>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9152" type="#_x0000_t75" stroked="false">
          <v:imagedata r:id="rId1" o:title=""/>
        </v:shape>
      </w:pict>
    </w:r>
    <w:r>
      <w:rPr/>
      <w:pict>
        <v:group style="position:absolute;margin-left:69.419998pt;margin-top:54.299999pt;width:463.1pt;height:.1pt;mso-position-horizontal-relative:page;mso-position-vertical-relative:page;z-index:-899128"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00352" type="#_x0000_t75" stroked="false">
          <v:imagedata r:id="rId1" o:title=""/>
        </v:shape>
      </w:pict>
    </w:r>
    <w:r>
      <w:rPr/>
      <w:pict>
        <v:group style="position:absolute;margin-left:69.419998pt;margin-top:54.299999pt;width:463.1pt;height:.1pt;mso-position-horizontal-relative:page;mso-position-vertical-relative:page;z-index:-900328"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9104" type="#_x0000_t75" stroked="false">
          <v:imagedata r:id="rId1" o:title=""/>
        </v:shape>
      </w:pict>
    </w:r>
    <w:r>
      <w:rPr/>
      <w:pict>
        <v:group style="position:absolute;margin-left:69.419998pt;margin-top:54.299999pt;width:463.1pt;height:.1pt;mso-position-horizontal-relative:page;mso-position-vertical-relative:page;z-index:-899080"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group style="position:absolute;margin-left:84.839996pt;margin-top:85.830002pt;width:431.9pt;height:.1pt;mso-position-horizontal-relative:page;mso-position-vertical-relative:page;z-index:-899056" coordorigin="1697,1717" coordsize="8638,2">
          <v:shape style="position:absolute;left:1697;top:1717;width:8638;height:2" coordorigin="1697,1717" coordsize="8638,0" path="m1697,1717l10334,1717e" filled="false" stroked="true" strokeweight="1.5pt" strokecolor="#000000">
            <v:path arrowok="t"/>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9032" type="#_x0000_t75" stroked="false">
          <v:imagedata r:id="rId1" o:title=""/>
        </v:shape>
      </w:pict>
    </w:r>
    <w:r>
      <w:rPr/>
      <w:pict>
        <v:group style="position:absolute;margin-left:69.419998pt;margin-top:54.299999pt;width:463.1pt;height:.1pt;mso-position-horizontal-relative:page;mso-position-vertical-relative:page;z-index:-899008"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8984" type="#_x0000_t75" stroked="false">
          <v:imagedata r:id="rId1" o:title=""/>
        </v:shape>
      </w:pict>
    </w:r>
    <w:r>
      <w:rPr/>
      <w:pict>
        <v:group style="position:absolute;margin-left:69.419998pt;margin-top:54.299999pt;width:463.1pt;height:.1pt;mso-position-horizontal-relative:page;mso-position-vertical-relative:page;z-index:-898960"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group style="position:absolute;margin-left:84.839996pt;margin-top:85.830002pt;width:431.9pt;height:.1pt;mso-position-horizontal-relative:page;mso-position-vertical-relative:page;z-index:-898936" coordorigin="1697,1717" coordsize="8638,2">
          <v:shape style="position:absolute;left:1697;top:1717;width:8638;height:2" coordorigin="1697,1717" coordsize="8638,0" path="m1697,1717l10334,1717e" filled="false" stroked="true" strokeweight="1.5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8912" type="#_x0000_t75" stroked="false">
          <v:imagedata r:id="rId1" o:title=""/>
        </v:shape>
      </w:pict>
    </w:r>
    <w:r>
      <w:rPr/>
      <w:pict>
        <v:group style="position:absolute;margin-left:69.419998pt;margin-top:54.299999pt;width:463.1pt;height:.1pt;mso-position-horizontal-relative:page;mso-position-vertical-relative:page;z-index:-898888"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8864" type="#_x0000_t75" stroked="false">
          <v:imagedata r:id="rId1" o:title=""/>
        </v:shape>
      </w:pict>
    </w:r>
    <w:r>
      <w:rPr/>
      <w:pict>
        <v:group style="position:absolute;margin-left:69.419998pt;margin-top:54.299999pt;width:463.1pt;height:.1pt;mso-position-horizontal-relative:page;mso-position-vertical-relative:page;z-index:-898840"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group style="position:absolute;margin-left:84.089996pt;margin-top:85.080002pt;width:433.4pt;height:1.5pt;mso-position-horizontal-relative:page;mso-position-vertical-relative:page;z-index:-898816" coordorigin="1682,1702" coordsize="8668,30">
          <v:group style="position:absolute;left:1697;top:1717;width:6660;height:2" coordorigin="1697,1717" coordsize="6660,2">
            <v:shape style="position:absolute;left:1697;top:1717;width:6660;height:2" coordorigin="1697,1717" coordsize="6660,0" path="m1697,1717l8357,1717e" filled="false" stroked="true" strokeweight="1.5pt" strokecolor="#000000">
              <v:path arrowok="t"/>
            </v:shape>
          </v:group>
          <v:group style="position:absolute;left:8357;top:1717;width:1978;height:2" coordorigin="8357,1717" coordsize="1978,2">
            <v:shape style="position:absolute;left:8357;top:1717;width:1978;height:2" coordorigin="8357,1717" coordsize="1978,0" path="m8357,1717l10334,1717e" filled="false" stroked="true" strokeweight="1.5pt" strokecolor="#000000">
              <v:path arrowok="t"/>
            </v:shape>
          </v:group>
          <w10:wrap type="none"/>
        </v:group>
      </w:pict>
    </w:r>
    <w:r>
      <w:rPr/>
      <w:pict>
        <v:shape style="position:absolute;margin-left:89.239998pt;margin-top:87.865326pt;width:65.2pt;height:11pt;mso-position-horizontal-relative:page;mso-position-vertical-relative:page;z-index:-898792"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关联方（项目）</w:t>
                </w:r>
                <w:r>
                  <w:rPr>
                    <w:rFonts w:ascii="Microsoft JhengHei" w:hAnsi="Microsoft JhengHei" w:cs="Microsoft JhengHei" w:eastAsia="Microsoft JhengHei" w:hint="default"/>
                    <w:sz w:val="18"/>
                    <w:szCs w:val="18"/>
                  </w:rPr>
                </w:r>
              </w:p>
            </w:txbxContent>
          </v:textbox>
          <w10:wrap type="none"/>
        </v:shape>
      </w:pict>
    </w:r>
    <w:r>
      <w:rPr/>
      <w:pict>
        <v:shape style="position:absolute;margin-left:356.179993pt;margin-top:87.865326pt;width:38.15pt;height:11pt;mso-position-horizontal-relative:page;mso-position-vertical-relative:page;z-index:-898768"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xbxContent>
          </v:textbox>
          <w10:wrap type="none"/>
        </v:shape>
      </w:pict>
    </w:r>
    <w:r>
      <w:rPr/>
      <w:pict>
        <v:shape style="position:absolute;margin-left:456.502991pt;margin-top:87.865326pt;width:38.15pt;height:11pt;mso-position-horizontal-relative:page;mso-position-vertical-relative:page;z-index:-898744"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8720" type="#_x0000_t75" stroked="false">
          <v:imagedata r:id="rId1" o:title=""/>
        </v:shape>
      </w:pict>
    </w:r>
    <w:r>
      <w:rPr/>
      <w:pict>
        <v:group style="position:absolute;margin-left:69.419998pt;margin-top:54.299999pt;width:463.1pt;height:.1pt;mso-position-horizontal-relative:page;mso-position-vertical-relative:page;z-index:-898696"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00304" type="#_x0000_t75" stroked="false">
          <v:imagedata r:id="rId1" o:title=""/>
        </v:shape>
      </w:pict>
    </w:r>
    <w:r>
      <w:rPr/>
      <w:pict>
        <v:group style="position:absolute;margin-left:69.419998pt;margin-top:54.299999pt;width:463.1pt;height:.1pt;mso-position-horizontal-relative:page;mso-position-vertical-relative:page;z-index:-900280"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00256" type="#_x0000_t75" stroked="false">
          <v:imagedata r:id="rId1" o:title=""/>
        </v:shape>
      </w:pict>
    </w:r>
    <w:r>
      <w:rPr/>
      <w:pict>
        <v:group style="position:absolute;margin-left:69.419998pt;margin-top:54.299999pt;width:463.1pt;height:.1pt;mso-position-horizontal-relative:page;mso-position-vertical-relative:page;z-index:-900232"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00208" type="#_x0000_t75" stroked="false">
          <v:imagedata r:id="rId1" o:title=""/>
        </v:shape>
      </w:pict>
    </w:r>
    <w:r>
      <w:rPr/>
      <w:pict>
        <v:group style="position:absolute;margin-left:69.419998pt;margin-top:54.299999pt;width:463.1pt;height:.1pt;mso-position-horizontal-relative:page;mso-position-vertical-relative:page;z-index:-900184"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00160" type="#_x0000_t75" stroked="false">
          <v:imagedata r:id="rId1" o:title=""/>
        </v:shape>
      </w:pict>
    </w:r>
    <w:r>
      <w:rPr/>
      <w:pict>
        <v:group style="position:absolute;margin-left:69.419998pt;margin-top:54.299999pt;width:463.1pt;height:.1pt;mso-position-horizontal-relative:page;mso-position-vertical-relative:page;z-index:-900136"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00112" type="#_x0000_t75" stroked="false">
          <v:imagedata r:id="rId1" o:title=""/>
        </v:shape>
      </w:pict>
    </w:r>
    <w:r>
      <w:rPr/>
      <w:pict>
        <v:group style="position:absolute;margin-left:69.419998pt;margin-top:54.299999pt;width:463.1pt;height:.1pt;mso-position-horizontal-relative:page;mso-position-vertical-relative:page;z-index:-900088"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00064" type="#_x0000_t75" stroked="false">
          <v:imagedata r:id="rId1" o:title=""/>
        </v:shape>
      </w:pict>
    </w:r>
    <w:r>
      <w:rPr/>
      <w:pict>
        <v:group style="position:absolute;margin-left:69.419998pt;margin-top:54.299999pt;width:463.1pt;height:.1pt;mso-position-horizontal-relative:page;mso-position-vertical-relative:page;z-index:-900040" coordorigin="1388,1086" coordsize="9262,2">
          <v:shape style="position:absolute;left:1388;top:1086;width:9262;height:2" coordorigin="1388,1086" coordsize="9262,0" path="m1388,1086l10650,1086e" filled="false" stroked="true" strokeweight=".72pt" strokecolor="#000000">
            <v:path arrowok="t"/>
          </v:shape>
          <w10:wrap type="none"/>
        </v:group>
      </w:pict>
    </w:r>
    <w:r>
      <w:rPr/>
      <w:pict>
        <v:shape style="position:absolute;margin-left:251.720001pt;margin-top:85.827103pt;width:98.45pt;height:14pt;mso-position-horizontal-relative:page;mso-position-vertical-relative:page;z-index:-90001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899992" type="#_x0000_t75" stroked="false">
          <v:imagedata r:id="rId1" o:title=""/>
        </v:shape>
      </w:pict>
    </w:r>
    <w:r>
      <w:rPr/>
      <w:pict>
        <v:group style="position:absolute;margin-left:69.419998pt;margin-top:54.299999pt;width:463.1pt;height:.1pt;mso-position-horizontal-relative:page;mso-position-vertical-relative:page;z-index:-899968" coordorigin="1388,1086" coordsize="9262,2">
          <v:shape style="position:absolute;left:1388;top:1086;width:9262;height:2" coordorigin="1388,1086" coordsize="9262,0" path="m1388,1086l10650,1086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ind w:left="3092"/>
      <w:outlineLvl w:val="1"/>
    </w:pPr>
    <w:rPr>
      <w:rFonts w:ascii="宋体" w:hAnsi="宋体" w:eastAsia="宋体"/>
      <w:b/>
      <w:bCs/>
      <w:sz w:val="30"/>
      <w:szCs w:val="30"/>
    </w:rPr>
  </w:style>
  <w:style w:styleId="Heading2" w:type="paragraph">
    <w:name w:val="Heading 2"/>
    <w:basedOn w:val="Normal"/>
    <w:uiPriority w:val="1"/>
    <w:qFormat/>
    <w:pPr>
      <w:ind w:left="238"/>
      <w:outlineLvl w:val="2"/>
    </w:pPr>
    <w:rPr>
      <w:rFonts w:ascii="宋体" w:hAnsi="宋体" w:eastAsia="宋体"/>
      <w:b/>
      <w:bCs/>
      <w:sz w:val="28"/>
      <w:szCs w:val="28"/>
    </w:rPr>
  </w:style>
  <w:style w:styleId="Heading3" w:type="paragraph">
    <w:name w:val="Heading 3"/>
    <w:basedOn w:val="Normal"/>
    <w:uiPriority w:val="1"/>
    <w:qFormat/>
    <w:pPr>
      <w:ind w:left="118"/>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hyperlink" Target="mailto:600100@thtf.com.cn" TargetMode="External"/><Relationship Id="rId10" Type="http://schemas.openxmlformats.org/officeDocument/2006/relationships/hyperlink" Target="http://www.thtf.com.cn/" TargetMode="External"/><Relationship Id="rId11" Type="http://schemas.openxmlformats.org/officeDocument/2006/relationships/hyperlink" Target="http://www.sse.com.cn/"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2.xml"/><Relationship Id="rId15" Type="http://schemas.openxmlformats.org/officeDocument/2006/relationships/image" Target="media/image6.png"/><Relationship Id="rId16" Type="http://schemas.openxmlformats.org/officeDocument/2006/relationships/header" Target="header3.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eader" Target="header7.xml"/><Relationship Id="rId26" Type="http://schemas.openxmlformats.org/officeDocument/2006/relationships/image" Target="media/image12.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2.xml"/><Relationship Id="rId32" Type="http://schemas.openxmlformats.org/officeDocument/2006/relationships/header" Target="header12.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3.xml"/><Relationship Id="rId37" Type="http://schemas.openxmlformats.org/officeDocument/2006/relationships/header" Target="header16.xml"/><Relationship Id="rId38" Type="http://schemas.openxmlformats.org/officeDocument/2006/relationships/header" Target="header17.xml"/><Relationship Id="rId39" Type="http://schemas.openxmlformats.org/officeDocument/2006/relationships/footer" Target="footer4.xml"/><Relationship Id="rId40" Type="http://schemas.openxmlformats.org/officeDocument/2006/relationships/footer" Target="footer5.xml"/><Relationship Id="rId41" Type="http://schemas.openxmlformats.org/officeDocument/2006/relationships/header" Target="header18.xml"/><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header" Target="header25.xml"/><Relationship Id="rId49" Type="http://schemas.openxmlformats.org/officeDocument/2006/relationships/image" Target="media/image14.png"/><Relationship Id="rId50" Type="http://schemas.openxmlformats.org/officeDocument/2006/relationships/header" Target="header26.xml"/><Relationship Id="rId51" Type="http://schemas.openxmlformats.org/officeDocument/2006/relationships/footer" Target="footer6.xml"/><Relationship Id="rId52" Type="http://schemas.openxmlformats.org/officeDocument/2006/relationships/header" Target="header27.xml"/><Relationship Id="rId53" Type="http://schemas.openxmlformats.org/officeDocument/2006/relationships/footer" Target="footer7.xml"/><Relationship Id="rId54" Type="http://schemas.openxmlformats.org/officeDocument/2006/relationships/header" Target="header28.xml"/><Relationship Id="rId55" Type="http://schemas.openxmlformats.org/officeDocument/2006/relationships/footer" Target="footer8.xml"/><Relationship Id="rId56" Type="http://schemas.openxmlformats.org/officeDocument/2006/relationships/header" Target="header29.xml"/><Relationship Id="rId57" Type="http://schemas.openxmlformats.org/officeDocument/2006/relationships/footer" Target="footer9.xml"/><Relationship Id="rId58" Type="http://schemas.openxmlformats.org/officeDocument/2006/relationships/header" Target="header30.xml"/><Relationship Id="rId59" Type="http://schemas.openxmlformats.org/officeDocument/2006/relationships/footer" Target="footer10.xml"/><Relationship Id="rId60" Type="http://schemas.openxmlformats.org/officeDocument/2006/relationships/header" Target="header31.xml"/><Relationship Id="rId61" Type="http://schemas.openxmlformats.org/officeDocument/2006/relationships/footer" Target="footer11.xml"/><Relationship Id="rId62" Type="http://schemas.openxmlformats.org/officeDocument/2006/relationships/header" Target="header32.xml"/><Relationship Id="rId63" Type="http://schemas.openxmlformats.org/officeDocument/2006/relationships/footer" Target="footer12.xml"/><Relationship Id="rId64" Type="http://schemas.openxmlformats.org/officeDocument/2006/relationships/header" Target="header33.xml"/><Relationship Id="rId65" Type="http://schemas.openxmlformats.org/officeDocument/2006/relationships/footer" Target="footer13.xml"/><Relationship Id="rId66" Type="http://schemas.openxmlformats.org/officeDocument/2006/relationships/header" Target="header34.xml"/><Relationship Id="rId67" Type="http://schemas.openxmlformats.org/officeDocument/2006/relationships/footer" Target="footer14.xml"/><Relationship Id="rId68" Type="http://schemas.openxmlformats.org/officeDocument/2006/relationships/header" Target="header35.xml"/><Relationship Id="rId69" Type="http://schemas.openxmlformats.org/officeDocument/2006/relationships/footer" Target="footer15.xml"/><Relationship Id="rId70" Type="http://schemas.openxmlformats.org/officeDocument/2006/relationships/header" Target="header36.xml"/><Relationship Id="rId71" Type="http://schemas.openxmlformats.org/officeDocument/2006/relationships/footer" Target="footer16.xml"/><Relationship Id="rId72" Type="http://schemas.openxmlformats.org/officeDocument/2006/relationships/header" Target="header37.xml"/><Relationship Id="rId73" Type="http://schemas.openxmlformats.org/officeDocument/2006/relationships/footer" Target="footer17.xml"/><Relationship Id="rId74" Type="http://schemas.openxmlformats.org/officeDocument/2006/relationships/header" Target="header38.xml"/><Relationship Id="rId75" Type="http://schemas.openxmlformats.org/officeDocument/2006/relationships/footer" Target="footer18.xml"/><Relationship Id="rId76" Type="http://schemas.openxmlformats.org/officeDocument/2006/relationships/header" Target="header39.xml"/><Relationship Id="rId77" Type="http://schemas.openxmlformats.org/officeDocument/2006/relationships/footer" Target="footer19.xml"/><Relationship Id="rId78" Type="http://schemas.openxmlformats.org/officeDocument/2006/relationships/header" Target="header40.xml"/><Relationship Id="rId79" Type="http://schemas.openxmlformats.org/officeDocument/2006/relationships/footer" Target="footer20.xml"/><Relationship Id="rId80" Type="http://schemas.openxmlformats.org/officeDocument/2006/relationships/header" Target="header41.xml"/><Relationship Id="rId81" Type="http://schemas.openxmlformats.org/officeDocument/2006/relationships/footer" Target="footer21.xml"/><Relationship Id="rId82" Type="http://schemas.openxmlformats.org/officeDocument/2006/relationships/header" Target="header42.xml"/><Relationship Id="rId83" Type="http://schemas.openxmlformats.org/officeDocument/2006/relationships/footer" Target="footer22.xml"/><Relationship Id="rId84" Type="http://schemas.openxmlformats.org/officeDocument/2006/relationships/header" Target="header43.xml"/><Relationship Id="rId85" Type="http://schemas.openxmlformats.org/officeDocument/2006/relationships/footer" Target="footer23.xml"/><Relationship Id="rId86" Type="http://schemas.openxmlformats.org/officeDocument/2006/relationships/header" Target="header44.xml"/><Relationship Id="rId87" Type="http://schemas.openxmlformats.org/officeDocument/2006/relationships/footer" Target="footer2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13.jpeg"/></Relationships>

</file>

<file path=word/_rels/header12.xml.rels><?xml version="1.0" encoding="UTF-8" standalone="yes"?>
<Relationships xmlns="http://schemas.openxmlformats.org/package/2006/relationships"><Relationship Id="rId1" Type="http://schemas.openxmlformats.org/officeDocument/2006/relationships/image" Target="media/image13.jpeg"/></Relationships>

</file>

<file path=word/_rels/header13.xml.rels><?xml version="1.0" encoding="UTF-8" standalone="yes"?>
<Relationships xmlns="http://schemas.openxmlformats.org/package/2006/relationships"><Relationship Id="rId1" Type="http://schemas.openxmlformats.org/officeDocument/2006/relationships/image" Target="media/image13.jpeg"/></Relationships>

</file>

<file path=word/_rels/header14.xml.rels><?xml version="1.0" encoding="UTF-8" standalone="yes"?>
<Relationships xmlns="http://schemas.openxmlformats.org/package/2006/relationships"><Relationship Id="rId1" Type="http://schemas.openxmlformats.org/officeDocument/2006/relationships/image" Target="media/image13.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1" Type="http://schemas.openxmlformats.org/officeDocument/2006/relationships/image" Target="media/image2.jpeg"/></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s>

</file>

<file path=word/_rels/header24.xml.rels><?xml version="1.0" encoding="UTF-8" standalone="yes"?>
<Relationships xmlns="http://schemas.openxmlformats.org/package/2006/relationships"><Relationship Id="rId1" Type="http://schemas.openxmlformats.org/officeDocument/2006/relationships/image" Target="media/image2.jpeg"/></Relationships>

</file>

<file path=word/_rels/header25.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dc:title>清华同方股份有限公司</dc:title>
  <dcterms:created xsi:type="dcterms:W3CDTF">2020-04-02T00:20:27Z</dcterms:created>
  <dcterms:modified xsi:type="dcterms:W3CDTF">2020-04-02T00:20:27Z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2009-04-17T00:00:00Z</vt:filetime>
  </property>
  <property fmtid="{D5CDD505-2E9C-101B-9397-08002B2CF9AE}" pid="3" name="Creator">
    <vt:lpwstr>Acrobat PDFMaker 7.0 for Word</vt:lpwstr>
  </property>
  <property fmtid="{D5CDD505-2E9C-101B-9397-08002B2CF9AE}" pid="4" name="LastSaved">
    <vt:filetime>2020-04-01T00:00:00Z</vt:filetime>
  </property>
</Properties>
</file>